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3CDF2" w14:textId="6064E879" w:rsidR="00E335F9" w:rsidRPr="008176BF" w:rsidRDefault="00E335F9" w:rsidP="008176BF">
      <w:pPr>
        <w:jc w:val="center"/>
        <w:rPr>
          <w:rFonts w:ascii="Arial" w:hAnsi="Arial" w:cs="Arial"/>
          <w:b/>
          <w:bCs/>
        </w:rPr>
      </w:pPr>
      <w:r w:rsidRPr="008176BF">
        <w:rPr>
          <w:rFonts w:ascii="Arial" w:hAnsi="Arial" w:cs="Arial"/>
          <w:b/>
          <w:bCs/>
        </w:rPr>
        <w:t>Calculation of the Capital-Related Revenue Requirements for WCCP Capital Expenditures</w:t>
      </w:r>
    </w:p>
    <w:p w14:paraId="43BCFBC5" w14:textId="77777777" w:rsidR="00E335F9" w:rsidRPr="008176BF" w:rsidRDefault="00E335F9" w:rsidP="00E335F9">
      <w:pPr>
        <w:pStyle w:val="Heading2"/>
        <w:rPr>
          <w:rFonts w:ascii="Arial" w:hAnsi="Arial" w:cs="Arial"/>
        </w:rPr>
      </w:pPr>
      <w:bookmarkStart w:id="0" w:name="_Toc161871579"/>
      <w:r w:rsidRPr="008176BF">
        <w:rPr>
          <w:rFonts w:ascii="Arial" w:hAnsi="Arial" w:cs="Arial"/>
        </w:rPr>
        <w:t>Capital-Related Revenue Requirement</w:t>
      </w:r>
      <w:bookmarkEnd w:id="0"/>
    </w:p>
    <w:p w14:paraId="4413A063" w14:textId="2E585BF0" w:rsidR="00E335F9" w:rsidRPr="008176BF" w:rsidRDefault="00E335F9" w:rsidP="00E335F9">
      <w:pPr>
        <w:pStyle w:val="heading4Text"/>
        <w:ind w:firstLine="720"/>
        <w:rPr>
          <w:rFonts w:ascii="Arial" w:hAnsi="Arial" w:cs="Arial"/>
        </w:rPr>
      </w:pPr>
      <w:r w:rsidRPr="008176BF">
        <w:rPr>
          <w:rFonts w:ascii="Arial" w:hAnsi="Arial" w:cs="Arial"/>
        </w:rPr>
        <w:t>The capital-related revenue requirement</w:t>
      </w:r>
      <w:r w:rsidR="00C7149E">
        <w:rPr>
          <w:rFonts w:ascii="Arial" w:hAnsi="Arial" w:cs="Arial"/>
        </w:rPr>
        <w:t xml:space="preserve"> recorded in the Wildfire Risk Mitigation Balancing Account (WRMBA)</w:t>
      </w:r>
      <w:r w:rsidRPr="008176BF">
        <w:rPr>
          <w:rFonts w:ascii="Arial" w:hAnsi="Arial" w:cs="Arial"/>
        </w:rPr>
        <w:t xml:space="preserve">, which is based on Plant-In-Service, includes depreciation expense, applicable taxes, SCE’s applicable return associated with SCE’s capital expenditures, and interest. </w:t>
      </w:r>
    </w:p>
    <w:p w14:paraId="3FFCDE6A" w14:textId="77777777" w:rsidR="00E335F9" w:rsidRPr="008176BF" w:rsidRDefault="00E335F9" w:rsidP="00E335F9">
      <w:pPr>
        <w:pStyle w:val="Heading3"/>
        <w:rPr>
          <w:rFonts w:ascii="Arial" w:hAnsi="Arial" w:cs="Arial"/>
        </w:rPr>
      </w:pPr>
      <w:bookmarkStart w:id="1" w:name="_Toc161871580"/>
      <w:r w:rsidRPr="008176BF">
        <w:rPr>
          <w:rFonts w:ascii="Arial" w:hAnsi="Arial" w:cs="Arial"/>
        </w:rPr>
        <w:t>Capital Additions and Plant-In-Service</w:t>
      </w:r>
      <w:bookmarkEnd w:id="1"/>
    </w:p>
    <w:p w14:paraId="62ED6A4A" w14:textId="2FDC3F79" w:rsidR="00E335F9" w:rsidRPr="008176BF" w:rsidRDefault="00E335F9" w:rsidP="00E335F9">
      <w:pPr>
        <w:pStyle w:val="heading5Text"/>
        <w:ind w:firstLine="1440"/>
        <w:rPr>
          <w:rFonts w:ascii="Arial" w:hAnsi="Arial" w:cs="Arial"/>
        </w:rPr>
      </w:pPr>
      <w:r w:rsidRPr="008176BF">
        <w:rPr>
          <w:rFonts w:ascii="Arial" w:hAnsi="Arial" w:cs="Arial"/>
        </w:rPr>
        <w:t xml:space="preserve">Capital expenditures are not included in rate base until the assets are ready for service. The accounting for this is prescribed by the </w:t>
      </w:r>
      <w:r w:rsidR="006B4C10">
        <w:rPr>
          <w:rFonts w:ascii="Arial" w:hAnsi="Arial" w:cs="Arial"/>
        </w:rPr>
        <w:t>Federal Energy Regulatory Commission (</w:t>
      </w:r>
      <w:r w:rsidRPr="008176BF">
        <w:rPr>
          <w:rFonts w:ascii="Arial" w:hAnsi="Arial" w:cs="Arial"/>
        </w:rPr>
        <w:t>FERC</w:t>
      </w:r>
      <w:r w:rsidR="006B4C10">
        <w:rPr>
          <w:rFonts w:ascii="Arial" w:hAnsi="Arial" w:cs="Arial"/>
        </w:rPr>
        <w:t>)</w:t>
      </w:r>
      <w:r w:rsidRPr="008176BF">
        <w:rPr>
          <w:rFonts w:ascii="Arial" w:hAnsi="Arial" w:cs="Arial"/>
        </w:rPr>
        <w:t>. When incurred, capital expenditures record to FERC Account 107, CWIP.</w:t>
      </w:r>
      <w:r w:rsidR="00CB4C2A">
        <w:rPr>
          <w:rStyle w:val="FootnoteReference"/>
          <w:rFonts w:cs="Arial"/>
        </w:rPr>
        <w:footnoteReference w:id="1"/>
      </w:r>
      <w:r w:rsidRPr="008176BF">
        <w:rPr>
          <w:rFonts w:ascii="Arial" w:hAnsi="Arial" w:cs="Arial"/>
        </w:rPr>
        <w:t xml:space="preserve"> While in CWIP, costs typically accrue capitalized financing costs, referred to as AFUDC,</w:t>
      </w:r>
      <w:r w:rsidR="000A0130">
        <w:rPr>
          <w:rStyle w:val="FootnoteReference"/>
          <w:rFonts w:cs="Arial"/>
        </w:rPr>
        <w:footnoteReference w:id="2"/>
      </w:r>
      <w:r w:rsidRPr="008176BF">
        <w:rPr>
          <w:rFonts w:ascii="Arial" w:hAnsi="Arial" w:cs="Arial"/>
        </w:rPr>
        <w:t xml:space="preserve"> at rates based on a prescribed formula in the FERC </w:t>
      </w:r>
      <w:r w:rsidR="009418BD">
        <w:rPr>
          <w:rFonts w:ascii="Arial" w:hAnsi="Arial" w:cs="Arial"/>
        </w:rPr>
        <w:t>Uniform System of Account (</w:t>
      </w:r>
      <w:r w:rsidRPr="008176BF">
        <w:rPr>
          <w:rFonts w:ascii="Arial" w:hAnsi="Arial" w:cs="Arial"/>
        </w:rPr>
        <w:t>USOA</w:t>
      </w:r>
      <w:r w:rsidR="009418BD">
        <w:rPr>
          <w:rFonts w:ascii="Arial" w:hAnsi="Arial" w:cs="Arial"/>
        </w:rPr>
        <w:t>)</w:t>
      </w:r>
      <w:r w:rsidRPr="008176BF">
        <w:rPr>
          <w:rFonts w:ascii="Arial" w:hAnsi="Arial" w:cs="Arial"/>
        </w:rPr>
        <w:t>. Once the assets are ready for service, cumulative costs, including both corporate overheads and AFUDC, are transferred from CWIP to Plant-In-Service as Capital Additions. At this same time, AFUDC accruals are stopped, the cumulative balance is included in rate base, and depreciation expense begins.</w:t>
      </w:r>
    </w:p>
    <w:p w14:paraId="4913744C" w14:textId="77777777" w:rsidR="00E335F9" w:rsidRPr="008176BF" w:rsidRDefault="00E335F9" w:rsidP="00E335F9">
      <w:pPr>
        <w:pStyle w:val="Heading4"/>
        <w:rPr>
          <w:rFonts w:ascii="Arial" w:hAnsi="Arial" w:cs="Arial"/>
        </w:rPr>
      </w:pPr>
      <w:bookmarkStart w:id="2" w:name="_Toc161871581"/>
      <w:r w:rsidRPr="008176BF">
        <w:rPr>
          <w:rFonts w:ascii="Arial" w:hAnsi="Arial" w:cs="Arial"/>
        </w:rPr>
        <w:t>Depreciation Expense</w:t>
      </w:r>
      <w:bookmarkEnd w:id="2"/>
    </w:p>
    <w:p w14:paraId="0A61522B" w14:textId="415E2347" w:rsidR="00E335F9" w:rsidRPr="008176BF" w:rsidRDefault="00E335F9" w:rsidP="00E335F9">
      <w:pPr>
        <w:pStyle w:val="heading5Text"/>
        <w:ind w:firstLine="2160"/>
        <w:rPr>
          <w:rFonts w:ascii="Arial" w:hAnsi="Arial" w:cs="Arial"/>
        </w:rPr>
      </w:pPr>
      <w:r w:rsidRPr="008176BF">
        <w:rPr>
          <w:rFonts w:ascii="Arial" w:hAnsi="Arial" w:cs="Arial"/>
        </w:rPr>
        <w:t xml:space="preserve">To provide service to its customers, SCE incurs expenses and makes capital expenditures. </w:t>
      </w:r>
      <w:r w:rsidR="00EB284B">
        <w:rPr>
          <w:rFonts w:ascii="Arial" w:hAnsi="Arial" w:cs="Arial"/>
        </w:rPr>
        <w:t>Generally Accepted Accounting Principles (</w:t>
      </w:r>
      <w:r w:rsidRPr="008176BF">
        <w:rPr>
          <w:rFonts w:ascii="Arial" w:hAnsi="Arial" w:cs="Arial"/>
        </w:rPr>
        <w:t>GAAP</w:t>
      </w:r>
      <w:r w:rsidR="00EB284B">
        <w:rPr>
          <w:rFonts w:ascii="Arial" w:hAnsi="Arial" w:cs="Arial"/>
        </w:rPr>
        <w:t>)</w:t>
      </w:r>
      <w:r w:rsidRPr="008176BF">
        <w:rPr>
          <w:rFonts w:ascii="Arial" w:hAnsi="Arial" w:cs="Arial"/>
        </w:rPr>
        <w:t xml:space="preserve"> and the application of FERC USOA govern whether a particular cost should be capitalized or expensed. While SCE earns a return on its capital assets by applying an authorized rate of return to its rate base, SCE’s return of investors’ capital occurs through depreciation expense. Depreciation expense, recorded in the WRMBA, is accrued at depreciation rates authorized in SCE’s applicable </w:t>
      </w:r>
      <w:r w:rsidR="00C74BAB">
        <w:rPr>
          <w:rFonts w:ascii="Arial" w:hAnsi="Arial" w:cs="Arial"/>
        </w:rPr>
        <w:t>General Rate Case (</w:t>
      </w:r>
      <w:r w:rsidRPr="008176BF">
        <w:rPr>
          <w:rFonts w:ascii="Arial" w:hAnsi="Arial" w:cs="Arial"/>
        </w:rPr>
        <w:t>GRC</w:t>
      </w:r>
      <w:r w:rsidR="00C74BAB">
        <w:rPr>
          <w:rFonts w:ascii="Arial" w:hAnsi="Arial" w:cs="Arial"/>
        </w:rPr>
        <w:t>)</w:t>
      </w:r>
      <w:r w:rsidRPr="008176BF">
        <w:rPr>
          <w:rFonts w:ascii="Arial" w:hAnsi="Arial" w:cs="Arial"/>
        </w:rPr>
        <w:t xml:space="preserve">. Depreciation provides </w:t>
      </w:r>
      <w:r w:rsidRPr="008176BF">
        <w:rPr>
          <w:rFonts w:ascii="Arial" w:hAnsi="Arial" w:cs="Arial"/>
        </w:rPr>
        <w:lastRenderedPageBreak/>
        <w:t>a mechanism for the recovery of the original cost of the capital expenditures, and the future cost to retire those assets over their useful life. Depreciation expense is calculated, starting from the date Capital Additions are recorded as Plant-In-Service. The recorded Plant-In-Service is the base to which the annual depreciation rate is applied.</w:t>
      </w:r>
    </w:p>
    <w:p w14:paraId="5299E4D5" w14:textId="77777777" w:rsidR="00E335F9" w:rsidRPr="008176BF" w:rsidRDefault="00E335F9" w:rsidP="00E335F9">
      <w:pPr>
        <w:pStyle w:val="Heading4"/>
        <w:rPr>
          <w:rFonts w:ascii="Arial" w:hAnsi="Arial" w:cs="Arial"/>
        </w:rPr>
      </w:pPr>
      <w:bookmarkStart w:id="3" w:name="_Toc161871582"/>
      <w:r w:rsidRPr="008176BF">
        <w:rPr>
          <w:rFonts w:ascii="Arial" w:hAnsi="Arial" w:cs="Arial"/>
        </w:rPr>
        <w:t>Income Taxes</w:t>
      </w:r>
      <w:bookmarkEnd w:id="3"/>
    </w:p>
    <w:p w14:paraId="74EC9578" w14:textId="77777777" w:rsidR="00E335F9" w:rsidRPr="008176BF" w:rsidRDefault="00E335F9" w:rsidP="00E335F9">
      <w:pPr>
        <w:pStyle w:val="heading5Text"/>
        <w:ind w:firstLine="2160"/>
        <w:rPr>
          <w:rFonts w:ascii="Arial" w:hAnsi="Arial" w:cs="Arial"/>
        </w:rPr>
      </w:pPr>
      <w:r w:rsidRPr="008176BF">
        <w:rPr>
          <w:rFonts w:ascii="Arial" w:hAnsi="Arial" w:cs="Arial"/>
        </w:rPr>
        <w:t>The recovery of costs recorded in SCE’s WRMBA includes the related income tax expense. For ratemaking purposes, income tax expense is a function of revenue requirement, cost-of-service amounts, and capital expenditures, as adjusted to comply with income tax rules. Total income tax expense is equal to the current federal and state income tax expense plus the deferred income tax expense.</w:t>
      </w:r>
    </w:p>
    <w:p w14:paraId="332F117C" w14:textId="77777777" w:rsidR="00E335F9" w:rsidRPr="008176BF" w:rsidRDefault="00E335F9" w:rsidP="00E335F9">
      <w:pPr>
        <w:pStyle w:val="heading5Text"/>
        <w:ind w:firstLine="2160"/>
        <w:rPr>
          <w:rFonts w:ascii="Arial" w:hAnsi="Arial" w:cs="Arial"/>
        </w:rPr>
      </w:pPr>
      <w:r w:rsidRPr="008176BF">
        <w:rPr>
          <w:rFonts w:ascii="Arial" w:hAnsi="Arial" w:cs="Arial"/>
        </w:rPr>
        <w:t xml:space="preserve">Current income tax expense is computed by multiplying taxable income by the applicable income tax rate. Taxable income is computed by applying Income Tax Adjustments to book net operating revenue to conform to federal and state tax rules. </w:t>
      </w:r>
    </w:p>
    <w:p w14:paraId="2FBE8350" w14:textId="77777777" w:rsidR="00E335F9" w:rsidRPr="008176BF" w:rsidRDefault="00E335F9" w:rsidP="00E335F9">
      <w:pPr>
        <w:pStyle w:val="heading5Text"/>
        <w:ind w:firstLine="2160"/>
        <w:rPr>
          <w:rFonts w:ascii="Arial" w:hAnsi="Arial" w:cs="Arial"/>
        </w:rPr>
      </w:pPr>
      <w:r w:rsidRPr="008176BF">
        <w:rPr>
          <w:rFonts w:ascii="Arial" w:hAnsi="Arial" w:cs="Arial"/>
        </w:rPr>
        <w:t xml:space="preserve">To compute the deferred income tax expense, Income Tax Adjustment amounts that are subject to the tax normalization method of accounting treatment required by Internal Revenue Code (IRC) Section 168(i)(9) or that are authorized by the Commission to be normalized (hereinafter simply referred to as “normalization”) are multiplied by the applicable income tax rate. The tax normalization rules of the IRC and related guidance state that, for ratemaking purposes, if the depreciation method permitted by the IRC differs from the book depreciation method used for cost-of-service purposes, then a taxpayer is required to credit the resulting amount of taxes deferred to a reserve for deferred taxes, i.e., to an accumulated deferred income tax (ADIT) balance sheet account that is included in the adjustment to rate base. </w:t>
      </w:r>
    </w:p>
    <w:p w14:paraId="3AC04F8E" w14:textId="77777777" w:rsidR="00E335F9" w:rsidRPr="008176BF" w:rsidRDefault="00E335F9" w:rsidP="00E335F9">
      <w:pPr>
        <w:pStyle w:val="heading5Text"/>
        <w:ind w:firstLine="2160"/>
        <w:rPr>
          <w:rFonts w:ascii="Arial" w:hAnsi="Arial" w:cs="Arial"/>
        </w:rPr>
      </w:pPr>
      <w:r w:rsidRPr="008176BF">
        <w:rPr>
          <w:rFonts w:ascii="Arial" w:hAnsi="Arial" w:cs="Arial"/>
        </w:rPr>
        <w:lastRenderedPageBreak/>
        <w:t>Income Tax Adjustments not subject to normalization are accorded “flow-through” tax treatment. Under flow-through treatment, any tax benefit or detriment associated with Income Tax Adjustments flow directly into rates without any offsetting deferred income tax expense or benefit. Only the current income tax expense would be affected by these Income Tax Adjustments. Accordingly, under flow-through ratemaking, tax positions that reduce current income tax expense benefit current ratepayers as SCE claims these accelerated tax deductions.</w:t>
      </w:r>
    </w:p>
    <w:p w14:paraId="7EB8DCF7" w14:textId="77777777" w:rsidR="00E335F9" w:rsidRPr="008176BF" w:rsidRDefault="00E335F9" w:rsidP="00E335F9">
      <w:pPr>
        <w:pStyle w:val="heading5Text"/>
        <w:ind w:firstLine="2160"/>
        <w:rPr>
          <w:rFonts w:ascii="Arial" w:hAnsi="Arial" w:cs="Arial"/>
        </w:rPr>
      </w:pPr>
      <w:r w:rsidRPr="008176BF">
        <w:rPr>
          <w:rFonts w:ascii="Arial" w:hAnsi="Arial" w:cs="Arial"/>
        </w:rPr>
        <w:t>Primarily, there are three types of Income Tax Adjustments used to derive income tax expense for purposes of calculating WRMBA-related revenue requirements: tax depreciation, tax repairs deduction, and cost of removal.</w:t>
      </w:r>
    </w:p>
    <w:p w14:paraId="1501DC87" w14:textId="77777777" w:rsidR="00E335F9" w:rsidRPr="008176BF" w:rsidRDefault="00E335F9" w:rsidP="00E335F9">
      <w:pPr>
        <w:pStyle w:val="Heading5"/>
        <w:rPr>
          <w:rFonts w:ascii="Arial" w:hAnsi="Arial" w:cs="Arial"/>
        </w:rPr>
      </w:pPr>
      <w:r w:rsidRPr="008176BF">
        <w:rPr>
          <w:rFonts w:ascii="Arial" w:hAnsi="Arial" w:cs="Arial"/>
        </w:rPr>
        <w:t>Tax Depreciation</w:t>
      </w:r>
    </w:p>
    <w:p w14:paraId="0375F6FF" w14:textId="77777777" w:rsidR="00E335F9" w:rsidRPr="008176BF" w:rsidRDefault="00E335F9" w:rsidP="00E335F9">
      <w:pPr>
        <w:pStyle w:val="heading6Text"/>
        <w:ind w:firstLine="2880"/>
        <w:rPr>
          <w:rFonts w:ascii="Arial" w:hAnsi="Arial" w:cs="Arial"/>
        </w:rPr>
      </w:pPr>
      <w:r w:rsidRPr="008176BF">
        <w:rPr>
          <w:rFonts w:ascii="Arial" w:hAnsi="Arial" w:cs="Arial"/>
        </w:rPr>
        <w:t>For Federal income tax purposes, assets placed in service after 1980 are depreciated using either the Accelerated Cost Recovery System (ACRS) or the Modified Accelerated Cost Recovery System (MACRS) under IRC Section 168. ACRS and MACRS generally provide greater annual depreciation deductions in the early years of an asset’s life than typically allowed for financial reporting (i.e., “book”) purposes. SCE utilizes ACRS/MACRS depreciation to the extent permitted by the IRC and has reflected these depreciation amounts in this proceeding. Differences between tax depreciation under IRC Section 168 and depreciation expenses for ratemaking and book purposes are subject to normalization.</w:t>
      </w:r>
    </w:p>
    <w:p w14:paraId="5F9140D8" w14:textId="77777777" w:rsidR="00E335F9" w:rsidRPr="008176BF" w:rsidRDefault="00E335F9" w:rsidP="00E335F9">
      <w:pPr>
        <w:pStyle w:val="heading6Text"/>
        <w:ind w:firstLine="2880"/>
        <w:rPr>
          <w:rFonts w:ascii="Arial" w:hAnsi="Arial" w:cs="Arial"/>
        </w:rPr>
      </w:pPr>
      <w:r w:rsidRPr="008176BF">
        <w:rPr>
          <w:rFonts w:ascii="Arial" w:hAnsi="Arial" w:cs="Arial"/>
        </w:rPr>
        <w:t xml:space="preserve">California has never adopted ACRS/MACRS depreciation and instead permits the asset depreciation range (ADR) methodology, which typically includes straight-line, the sum of the years-digit, or other acceptable declining balance approach over its depreciation period. The ADR rules are not subject to the normalization requirements of IRC Section 168(i)(9). Therefore, flow-through tax treatment applies to these state tax depreciation differences, </w:t>
      </w:r>
      <w:proofErr w:type="gramStart"/>
      <w:r w:rsidRPr="008176BF">
        <w:rPr>
          <w:rFonts w:ascii="Arial" w:hAnsi="Arial" w:cs="Arial"/>
        </w:rPr>
        <w:t>and also</w:t>
      </w:r>
      <w:proofErr w:type="gramEnd"/>
      <w:r w:rsidRPr="008176BF">
        <w:rPr>
          <w:rFonts w:ascii="Arial" w:hAnsi="Arial" w:cs="Arial"/>
        </w:rPr>
        <w:t xml:space="preserve"> to pre-1981 (i.e., pre-MACRS/ACRS) federal tax depreciation adjustments.</w:t>
      </w:r>
    </w:p>
    <w:p w14:paraId="62717EC0" w14:textId="77777777" w:rsidR="00E335F9" w:rsidRPr="008176BF" w:rsidRDefault="00E335F9" w:rsidP="00E335F9">
      <w:pPr>
        <w:pStyle w:val="Heading5"/>
        <w:rPr>
          <w:rFonts w:ascii="Arial" w:hAnsi="Arial" w:cs="Arial"/>
        </w:rPr>
      </w:pPr>
      <w:r w:rsidRPr="008176BF">
        <w:rPr>
          <w:rFonts w:ascii="Arial" w:hAnsi="Arial" w:cs="Arial"/>
        </w:rPr>
        <w:lastRenderedPageBreak/>
        <w:t>Tax Repairs Deduction</w:t>
      </w:r>
    </w:p>
    <w:p w14:paraId="37187540" w14:textId="77777777" w:rsidR="00E335F9" w:rsidRPr="008176BF" w:rsidRDefault="00E335F9" w:rsidP="00E335F9">
      <w:pPr>
        <w:pStyle w:val="heading6Text"/>
        <w:ind w:firstLine="2880"/>
        <w:rPr>
          <w:rFonts w:ascii="Arial" w:hAnsi="Arial" w:cs="Arial"/>
        </w:rPr>
      </w:pPr>
      <w:r w:rsidRPr="008176BF">
        <w:rPr>
          <w:rFonts w:ascii="Arial" w:hAnsi="Arial" w:cs="Arial"/>
        </w:rPr>
        <w:t>This Income Tax Adjustment reflects the book-tax difference for expenditures that are deductible as repairs for tax purposes when incurred but capitalized for book purposes. For tax purposes, SCE applies the repair deduction guidance in IRS Revenue Procedures 2011-43 and 2013-24. The notable feature of these revenue procedures is these procedures define “units of property” more broadly than the applicable regulatory accounting guidance. These more expansive unit of property definitions generally result in the deduction of expenditures for tax purposes that typically are capitalized for book purposes. The IRC does not require repair deductions be normalized. Therefore, SCE utilizes flow-through tax treatment for these differences.</w:t>
      </w:r>
    </w:p>
    <w:p w14:paraId="4056E880" w14:textId="77777777" w:rsidR="00E335F9" w:rsidRPr="008176BF" w:rsidRDefault="00E335F9" w:rsidP="00E335F9">
      <w:pPr>
        <w:pStyle w:val="Heading5"/>
        <w:rPr>
          <w:rFonts w:ascii="Arial" w:hAnsi="Arial" w:cs="Arial"/>
        </w:rPr>
      </w:pPr>
      <w:r w:rsidRPr="008176BF">
        <w:rPr>
          <w:rFonts w:ascii="Arial" w:hAnsi="Arial" w:cs="Arial"/>
        </w:rPr>
        <w:t>Cost of Removal</w:t>
      </w:r>
    </w:p>
    <w:p w14:paraId="61223E94" w14:textId="77777777" w:rsidR="00E335F9" w:rsidRPr="008176BF" w:rsidRDefault="00E335F9" w:rsidP="00E335F9">
      <w:pPr>
        <w:pStyle w:val="heading6Text"/>
        <w:ind w:firstLine="2880"/>
        <w:rPr>
          <w:rFonts w:ascii="Arial" w:hAnsi="Arial" w:cs="Arial"/>
        </w:rPr>
      </w:pPr>
      <w:r w:rsidRPr="008176BF">
        <w:rPr>
          <w:rFonts w:ascii="Arial" w:hAnsi="Arial" w:cs="Arial"/>
        </w:rPr>
        <w:t>Removal costs are deductible for income tax purposes when they are incurred. For book purposes, removal costs are estimated and accrued over the life of the asset as a component of book depreciation expense. Removal costs associated with assets depreciable under IRC Section 168 are accorded normalization treatment, whereas removal costs associated with assets not depreciable under IRC Section 168 are generally accorded flow-through tax treatment.</w:t>
      </w:r>
    </w:p>
    <w:p w14:paraId="79C7A9ED" w14:textId="77777777" w:rsidR="00E335F9" w:rsidRPr="008176BF" w:rsidRDefault="00E335F9" w:rsidP="00E335F9">
      <w:pPr>
        <w:pStyle w:val="Heading4"/>
        <w:rPr>
          <w:rFonts w:ascii="Arial" w:hAnsi="Arial" w:cs="Arial"/>
        </w:rPr>
      </w:pPr>
      <w:bookmarkStart w:id="4" w:name="_Toc161871583"/>
      <w:r w:rsidRPr="008176BF">
        <w:rPr>
          <w:rFonts w:ascii="Arial" w:hAnsi="Arial" w:cs="Arial"/>
        </w:rPr>
        <w:t>Property Taxes</w:t>
      </w:r>
      <w:bookmarkEnd w:id="4"/>
    </w:p>
    <w:p w14:paraId="7BCED418" w14:textId="77777777" w:rsidR="00E335F9" w:rsidRPr="008176BF" w:rsidRDefault="00E335F9" w:rsidP="00E335F9">
      <w:pPr>
        <w:pStyle w:val="heading5Text"/>
        <w:ind w:firstLine="2160"/>
        <w:rPr>
          <w:rFonts w:ascii="Arial" w:hAnsi="Arial" w:cs="Arial"/>
        </w:rPr>
      </w:pPr>
      <w:r w:rsidRPr="008176BF">
        <w:rPr>
          <w:rFonts w:ascii="Arial" w:hAnsi="Arial" w:cs="Arial"/>
        </w:rPr>
        <w:t>SCE has an obligation to pay ad valorem (property) taxes to the taxing authorities of each state in which taxable property is located. Taxable property is derived from the capital expenditures, net of accumulated depreciation and deferred taxes and adjusted by an assessment value ratio. Property tax expense is a function of taxable property and the applicable property tax rate.</w:t>
      </w:r>
    </w:p>
    <w:p w14:paraId="48AB853E" w14:textId="77777777" w:rsidR="00E335F9" w:rsidRPr="008176BF" w:rsidRDefault="00E335F9" w:rsidP="00E335F9">
      <w:pPr>
        <w:pStyle w:val="Heading4"/>
        <w:rPr>
          <w:rFonts w:ascii="Arial" w:hAnsi="Arial" w:cs="Arial"/>
        </w:rPr>
      </w:pPr>
      <w:bookmarkStart w:id="5" w:name="_Toc161871584"/>
      <w:r w:rsidRPr="008176BF">
        <w:rPr>
          <w:rFonts w:ascii="Arial" w:hAnsi="Arial" w:cs="Arial"/>
        </w:rPr>
        <w:t>Return on Rate Base</w:t>
      </w:r>
      <w:bookmarkEnd w:id="5"/>
    </w:p>
    <w:p w14:paraId="77238458" w14:textId="10C6A1A7" w:rsidR="00E335F9" w:rsidRPr="008176BF" w:rsidRDefault="00E335F9" w:rsidP="00E335F9">
      <w:pPr>
        <w:pStyle w:val="heading5Text"/>
        <w:ind w:firstLine="2160"/>
        <w:rPr>
          <w:rFonts w:ascii="Arial" w:hAnsi="Arial" w:cs="Arial"/>
        </w:rPr>
      </w:pPr>
      <w:r w:rsidRPr="008176BF">
        <w:rPr>
          <w:rFonts w:ascii="Arial" w:hAnsi="Arial" w:cs="Arial"/>
        </w:rPr>
        <w:t>SCE calculated the rate of return on rate base, using the currently authorized rate of return of 7.87</w:t>
      </w:r>
      <w:r w:rsidR="002578AC">
        <w:rPr>
          <w:rFonts w:ascii="Arial" w:hAnsi="Arial" w:cs="Arial"/>
        </w:rPr>
        <w:t xml:space="preserve"> percent</w:t>
      </w:r>
      <w:r w:rsidRPr="008176BF">
        <w:rPr>
          <w:rFonts w:ascii="Arial" w:hAnsi="Arial" w:cs="Arial"/>
        </w:rPr>
        <w:t xml:space="preserve">, as approved in </w:t>
      </w:r>
      <w:r w:rsidR="002578AC">
        <w:rPr>
          <w:rFonts w:ascii="Arial" w:hAnsi="Arial" w:cs="Arial"/>
        </w:rPr>
        <w:t>Decision (</w:t>
      </w:r>
      <w:r w:rsidRPr="008176BF">
        <w:rPr>
          <w:rFonts w:ascii="Arial" w:hAnsi="Arial" w:cs="Arial"/>
        </w:rPr>
        <w:t>D.</w:t>
      </w:r>
      <w:r w:rsidR="002578AC">
        <w:rPr>
          <w:rFonts w:ascii="Arial" w:hAnsi="Arial" w:cs="Arial"/>
        </w:rPr>
        <w:t>)</w:t>
      </w:r>
      <w:r w:rsidRPr="008176BF">
        <w:rPr>
          <w:rFonts w:ascii="Arial" w:hAnsi="Arial" w:cs="Arial"/>
        </w:rPr>
        <w:t xml:space="preserve">22-12-031 (as </w:t>
      </w:r>
      <w:r w:rsidRPr="008176BF">
        <w:rPr>
          <w:rFonts w:ascii="Arial" w:hAnsi="Arial" w:cs="Arial"/>
        </w:rPr>
        <w:lastRenderedPageBreak/>
        <w:t>corrected in D.23-01-002) and Advice 5120-E. On a recorded basis, SCE will update its rate of return on rate base to be consistent with the then-current authorized rate of return.</w:t>
      </w:r>
    </w:p>
    <w:p w14:paraId="28992898" w14:textId="77777777" w:rsidR="00E335F9" w:rsidRPr="008176BF" w:rsidRDefault="00E335F9" w:rsidP="00E335F9">
      <w:pPr>
        <w:pStyle w:val="Heading4"/>
        <w:rPr>
          <w:rFonts w:ascii="Arial" w:hAnsi="Arial" w:cs="Arial"/>
        </w:rPr>
      </w:pPr>
      <w:bookmarkStart w:id="6" w:name="_Toc161871585"/>
      <w:r w:rsidRPr="008176BF">
        <w:rPr>
          <w:rFonts w:ascii="Arial" w:hAnsi="Arial" w:cs="Arial"/>
        </w:rPr>
        <w:t>Interest</w:t>
      </w:r>
      <w:bookmarkEnd w:id="6"/>
    </w:p>
    <w:p w14:paraId="16B7162E" w14:textId="77777777" w:rsidR="00E335F9" w:rsidRPr="008176BF" w:rsidRDefault="00E335F9" w:rsidP="00E335F9">
      <w:pPr>
        <w:pStyle w:val="heading5Text"/>
        <w:ind w:firstLine="2160"/>
        <w:rPr>
          <w:rFonts w:ascii="Arial" w:hAnsi="Arial" w:cs="Arial"/>
        </w:rPr>
      </w:pPr>
      <w:r w:rsidRPr="008176BF">
        <w:rPr>
          <w:rFonts w:ascii="Arial" w:hAnsi="Arial" w:cs="Arial"/>
        </w:rPr>
        <w:t>The balance recorded in the WRMBA accrues monthly interest, using the three-month non-financial commercial paper rate, as specified in SCE’s Commission-approved WRMBA tariff.</w:t>
      </w:r>
    </w:p>
    <w:p w14:paraId="08BB4969" w14:textId="77777777" w:rsidR="00E335F9" w:rsidRPr="008176BF" w:rsidRDefault="00E335F9" w:rsidP="00E335F9">
      <w:pPr>
        <w:rPr>
          <w:rFonts w:ascii="Arial" w:hAnsi="Arial" w:cs="Arial"/>
          <w:b/>
          <w:bCs/>
        </w:rPr>
      </w:pPr>
    </w:p>
    <w:sectPr w:rsidR="00E335F9" w:rsidRPr="008176BF">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FE85E" w14:textId="77777777" w:rsidR="00F84507" w:rsidRDefault="00F84507" w:rsidP="00E335F9">
      <w:pPr>
        <w:spacing w:after="0" w:line="240" w:lineRule="auto"/>
      </w:pPr>
      <w:r>
        <w:separator/>
      </w:r>
    </w:p>
  </w:endnote>
  <w:endnote w:type="continuationSeparator" w:id="0">
    <w:p w14:paraId="65951C46" w14:textId="77777777" w:rsidR="00F84507" w:rsidRDefault="00F84507" w:rsidP="00E335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4452954"/>
      <w:docPartObj>
        <w:docPartGallery w:val="Page Numbers (Bottom of Page)"/>
        <w:docPartUnique/>
      </w:docPartObj>
    </w:sdtPr>
    <w:sdtContent>
      <w:sdt>
        <w:sdtPr>
          <w:id w:val="1728636285"/>
          <w:docPartObj>
            <w:docPartGallery w:val="Page Numbers (Top of Page)"/>
            <w:docPartUnique/>
          </w:docPartObj>
        </w:sdtPr>
        <w:sdtContent>
          <w:p w14:paraId="7A9B3A4B" w14:textId="64C6E08F" w:rsidR="00DE7C2E" w:rsidRDefault="00DE7C2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481D890" w14:textId="77777777" w:rsidR="00DE7C2E" w:rsidRDefault="00DE7C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D89EA" w14:textId="77777777" w:rsidR="00F84507" w:rsidRDefault="00F84507" w:rsidP="00E335F9">
      <w:pPr>
        <w:spacing w:after="0" w:line="240" w:lineRule="auto"/>
      </w:pPr>
      <w:r>
        <w:separator/>
      </w:r>
    </w:p>
  </w:footnote>
  <w:footnote w:type="continuationSeparator" w:id="0">
    <w:p w14:paraId="2EDDC75D" w14:textId="77777777" w:rsidR="00F84507" w:rsidRDefault="00F84507" w:rsidP="00E335F9">
      <w:pPr>
        <w:spacing w:after="0" w:line="240" w:lineRule="auto"/>
      </w:pPr>
      <w:r>
        <w:continuationSeparator/>
      </w:r>
    </w:p>
  </w:footnote>
  <w:footnote w:id="1">
    <w:p w14:paraId="2A56638E" w14:textId="2327727B" w:rsidR="00CB4C2A" w:rsidRPr="00B77FDF" w:rsidRDefault="00CB4C2A">
      <w:pPr>
        <w:pStyle w:val="FootnoteText"/>
        <w:rPr>
          <w:rFonts w:ascii="Arial" w:hAnsi="Arial" w:cs="Arial"/>
        </w:rPr>
      </w:pPr>
      <w:r w:rsidRPr="00B77FDF">
        <w:rPr>
          <w:rStyle w:val="FootnoteReference"/>
          <w:rFonts w:ascii="Arial" w:hAnsi="Arial" w:cs="Arial"/>
        </w:rPr>
        <w:footnoteRef/>
      </w:r>
      <w:r w:rsidRPr="00B77FDF">
        <w:rPr>
          <w:rFonts w:ascii="Arial" w:hAnsi="Arial" w:cs="Arial"/>
        </w:rPr>
        <w:t xml:space="preserve"> </w:t>
      </w:r>
      <w:r w:rsidRPr="00B77FDF">
        <w:rPr>
          <w:rFonts w:ascii="Arial" w:hAnsi="Arial" w:cs="Arial"/>
        </w:rPr>
        <w:tab/>
        <w:t>“CWIP” stands for “Construction-Work-In-Progress.”</w:t>
      </w:r>
    </w:p>
  </w:footnote>
  <w:footnote w:id="2">
    <w:p w14:paraId="09EF375E" w14:textId="1E045C7C" w:rsidR="000A0130" w:rsidRPr="000A0130" w:rsidRDefault="000A0130">
      <w:pPr>
        <w:pStyle w:val="FootnoteText"/>
        <w:rPr>
          <w:rFonts w:ascii="Arial" w:hAnsi="Arial" w:cs="Arial"/>
        </w:rPr>
      </w:pPr>
      <w:r w:rsidRPr="000A0130">
        <w:rPr>
          <w:rStyle w:val="FootnoteReference"/>
          <w:rFonts w:ascii="Arial" w:hAnsi="Arial" w:cs="Arial"/>
        </w:rPr>
        <w:footnoteRef/>
      </w:r>
      <w:r w:rsidRPr="000A0130">
        <w:rPr>
          <w:rFonts w:ascii="Arial" w:hAnsi="Arial" w:cs="Arial"/>
        </w:rPr>
        <w:t xml:space="preserve"> </w:t>
      </w:r>
      <w:r w:rsidRPr="000A0130">
        <w:rPr>
          <w:rFonts w:ascii="Arial" w:hAnsi="Arial" w:cs="Arial"/>
        </w:rPr>
        <w:tab/>
        <w:t>“AFUDC” stands for “Allowance for Funds Used During Construction.”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E6E7176"/>
    <w:lvl w:ilvl="0">
      <w:start w:val="1"/>
      <w:numFmt w:val="upperRoman"/>
      <w:pStyle w:val="Heading1"/>
      <w:lvlText w:val="%1."/>
      <w:legacy w:legacy="1" w:legacySpace="0" w:legacyIndent="144"/>
      <w:lvlJc w:val="left"/>
      <w:pPr>
        <w:ind w:left="0" w:hanging="144"/>
      </w:pPr>
      <w:rPr>
        <w:u w:val="none"/>
      </w:rPr>
    </w:lvl>
    <w:lvl w:ilvl="1">
      <w:start w:val="1"/>
      <w:numFmt w:val="upperLetter"/>
      <w:pStyle w:val="Heading2"/>
      <w:lvlText w:val="%2."/>
      <w:legacy w:legacy="1" w:legacySpace="0" w:legacyIndent="720"/>
      <w:lvlJc w:val="left"/>
      <w:pPr>
        <w:ind w:left="720" w:hanging="720"/>
      </w:pPr>
      <w:rPr>
        <w:u w:val="none"/>
      </w:rPr>
    </w:lvl>
    <w:lvl w:ilvl="2">
      <w:start w:val="1"/>
      <w:numFmt w:val="decimal"/>
      <w:pStyle w:val="Heading3"/>
      <w:lvlText w:val="%3."/>
      <w:legacy w:legacy="1" w:legacySpace="0" w:legacyIndent="720"/>
      <w:lvlJc w:val="left"/>
      <w:pPr>
        <w:ind w:left="1440" w:hanging="720"/>
      </w:pPr>
      <w:rPr>
        <w:u w:val="none"/>
      </w:rPr>
    </w:lvl>
    <w:lvl w:ilvl="3">
      <w:start w:val="1"/>
      <w:numFmt w:val="lowerLetter"/>
      <w:pStyle w:val="Heading4"/>
      <w:lvlText w:val="%4)"/>
      <w:legacy w:legacy="1" w:legacySpace="0" w:legacyIndent="720"/>
      <w:lvlJc w:val="left"/>
      <w:pPr>
        <w:ind w:left="2160" w:hanging="720"/>
      </w:pPr>
      <w:rPr>
        <w:u w:val="none"/>
      </w:rPr>
    </w:lvl>
    <w:lvl w:ilvl="4">
      <w:start w:val="1"/>
      <w:numFmt w:val="decimal"/>
      <w:pStyle w:val="Heading5"/>
      <w:lvlText w:val="(%5)"/>
      <w:legacy w:legacy="1" w:legacySpace="0" w:legacyIndent="720"/>
      <w:lvlJc w:val="left"/>
      <w:pPr>
        <w:ind w:left="2880" w:hanging="720"/>
      </w:pPr>
      <w:rPr>
        <w:u w:val="none"/>
      </w:rPr>
    </w:lvl>
    <w:lvl w:ilvl="5">
      <w:start w:val="1"/>
      <w:numFmt w:val="lowerLetter"/>
      <w:pStyle w:val="Heading6"/>
      <w:lvlText w:val="(%6)"/>
      <w:legacy w:legacy="1" w:legacySpace="0" w:legacyIndent="720"/>
      <w:lvlJc w:val="left"/>
      <w:pPr>
        <w:ind w:left="3600" w:hanging="720"/>
      </w:pPr>
      <w:rPr>
        <w:u w:val="none"/>
      </w:rPr>
    </w:lvl>
    <w:lvl w:ilvl="6">
      <w:start w:val="1"/>
      <w:numFmt w:val="lowerRoman"/>
      <w:pStyle w:val="Heading7"/>
      <w:lvlText w:val="(%7)"/>
      <w:legacy w:legacy="1" w:legacySpace="0" w:legacyIndent="720"/>
      <w:lvlJc w:val="left"/>
      <w:pPr>
        <w:ind w:left="4320" w:hanging="720"/>
      </w:pPr>
      <w:rPr>
        <w:u w:val="none"/>
      </w:rPr>
    </w:lvl>
    <w:lvl w:ilvl="7">
      <w:start w:val="1"/>
      <w:numFmt w:val="lowerLetter"/>
      <w:lvlText w:val="(%8)"/>
      <w:legacy w:legacy="1" w:legacySpace="0" w:legacyIndent="720"/>
      <w:lvlJc w:val="left"/>
      <w:pPr>
        <w:ind w:left="5040" w:hanging="720"/>
      </w:pPr>
      <w:rPr>
        <w:u w:val="none"/>
      </w:rPr>
    </w:lvl>
    <w:lvl w:ilvl="8">
      <w:start w:val="1"/>
      <w:numFmt w:val="lowerRoman"/>
      <w:lvlText w:val="(%9)"/>
      <w:legacy w:legacy="1" w:legacySpace="0" w:legacyIndent="720"/>
      <w:lvlJc w:val="left"/>
      <w:pPr>
        <w:ind w:left="5760" w:hanging="720"/>
      </w:pPr>
      <w:rPr>
        <w:u w:val="none"/>
      </w:rPr>
    </w:lvl>
  </w:abstractNum>
  <w:num w:numId="1" w16cid:durableId="11547556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5F9"/>
    <w:rsid w:val="00013346"/>
    <w:rsid w:val="000A0130"/>
    <w:rsid w:val="0014553C"/>
    <w:rsid w:val="002578AC"/>
    <w:rsid w:val="006B4C10"/>
    <w:rsid w:val="008176BF"/>
    <w:rsid w:val="009418BD"/>
    <w:rsid w:val="00B77FDF"/>
    <w:rsid w:val="00C7149E"/>
    <w:rsid w:val="00C74BAB"/>
    <w:rsid w:val="00CB4C2A"/>
    <w:rsid w:val="00DE7C2E"/>
    <w:rsid w:val="00E335F9"/>
    <w:rsid w:val="00EA7D6E"/>
    <w:rsid w:val="00EB284B"/>
    <w:rsid w:val="00F30349"/>
    <w:rsid w:val="00F845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F489A"/>
  <w15:chartTrackingRefBased/>
  <w15:docId w15:val="{3D189AD3-8E3A-4424-B4B2-31FB13BBD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E335F9"/>
    <w:pPr>
      <w:keepNext/>
      <w:keepLines/>
      <w:numPr>
        <w:numId w:val="1"/>
      </w:numPr>
      <w:spacing w:after="0" w:line="480" w:lineRule="atLeast"/>
      <w:ind w:firstLine="0"/>
      <w:jc w:val="center"/>
      <w:outlineLvl w:val="0"/>
    </w:pPr>
    <w:rPr>
      <w:rFonts w:ascii="Times New Roman" w:eastAsia="Times New Roman" w:hAnsi="Times New Roman" w:cs="Times New Roman"/>
      <w:b/>
      <w:color w:val="0000FF"/>
      <w:kern w:val="0"/>
      <w:sz w:val="24"/>
      <w:szCs w:val="20"/>
      <w:u w:val="single"/>
      <w14:ligatures w14:val="none"/>
    </w:rPr>
  </w:style>
  <w:style w:type="paragraph" w:styleId="Heading2">
    <w:name w:val="heading 2"/>
    <w:basedOn w:val="Heading1"/>
    <w:next w:val="Normal"/>
    <w:link w:val="Heading2Char"/>
    <w:qFormat/>
    <w:rsid w:val="00E335F9"/>
    <w:pPr>
      <w:numPr>
        <w:ilvl w:val="1"/>
      </w:numPr>
      <w:jc w:val="left"/>
      <w:outlineLvl w:val="1"/>
    </w:pPr>
  </w:style>
  <w:style w:type="paragraph" w:styleId="Heading3">
    <w:name w:val="heading 3"/>
    <w:basedOn w:val="Heading2"/>
    <w:next w:val="Normal"/>
    <w:link w:val="Heading3Char"/>
    <w:qFormat/>
    <w:rsid w:val="00E335F9"/>
    <w:pPr>
      <w:numPr>
        <w:ilvl w:val="2"/>
      </w:numPr>
      <w:outlineLvl w:val="2"/>
    </w:pPr>
  </w:style>
  <w:style w:type="paragraph" w:styleId="Heading4">
    <w:name w:val="heading 4"/>
    <w:basedOn w:val="Heading3"/>
    <w:next w:val="heading4Text"/>
    <w:link w:val="Heading4Char"/>
    <w:qFormat/>
    <w:rsid w:val="00E335F9"/>
    <w:pPr>
      <w:numPr>
        <w:ilvl w:val="3"/>
      </w:numPr>
      <w:outlineLvl w:val="3"/>
    </w:pPr>
  </w:style>
  <w:style w:type="paragraph" w:styleId="Heading5">
    <w:name w:val="heading 5"/>
    <w:basedOn w:val="Heading4"/>
    <w:next w:val="heading5Text"/>
    <w:link w:val="Heading5Char"/>
    <w:qFormat/>
    <w:rsid w:val="00E335F9"/>
    <w:pPr>
      <w:numPr>
        <w:ilvl w:val="4"/>
      </w:numPr>
      <w:outlineLvl w:val="4"/>
    </w:pPr>
  </w:style>
  <w:style w:type="paragraph" w:styleId="Heading6">
    <w:name w:val="heading 6"/>
    <w:basedOn w:val="Heading5"/>
    <w:next w:val="heading6Text"/>
    <w:link w:val="Heading6Char"/>
    <w:qFormat/>
    <w:rsid w:val="00E335F9"/>
    <w:pPr>
      <w:numPr>
        <w:ilvl w:val="5"/>
      </w:numPr>
      <w:outlineLvl w:val="5"/>
    </w:pPr>
  </w:style>
  <w:style w:type="paragraph" w:styleId="Heading7">
    <w:name w:val="heading 7"/>
    <w:basedOn w:val="Heading6"/>
    <w:next w:val="Normal"/>
    <w:link w:val="Heading7Char"/>
    <w:qFormat/>
    <w:rsid w:val="00E335F9"/>
    <w:pPr>
      <w:numPr>
        <w:ilvl w:val="6"/>
      </w:numPr>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35F9"/>
    <w:rPr>
      <w:rFonts w:ascii="Times New Roman" w:eastAsia="Times New Roman" w:hAnsi="Times New Roman" w:cs="Times New Roman"/>
      <w:b/>
      <w:color w:val="0000FF"/>
      <w:kern w:val="0"/>
      <w:sz w:val="24"/>
      <w:szCs w:val="20"/>
      <w:u w:val="single"/>
      <w14:ligatures w14:val="none"/>
    </w:rPr>
  </w:style>
  <w:style w:type="character" w:customStyle="1" w:styleId="Heading2Char">
    <w:name w:val="Heading 2 Char"/>
    <w:basedOn w:val="DefaultParagraphFont"/>
    <w:link w:val="Heading2"/>
    <w:rsid w:val="00E335F9"/>
    <w:rPr>
      <w:rFonts w:ascii="Times New Roman" w:eastAsia="Times New Roman" w:hAnsi="Times New Roman" w:cs="Times New Roman"/>
      <w:b/>
      <w:color w:val="0000FF"/>
      <w:kern w:val="0"/>
      <w:sz w:val="24"/>
      <w:szCs w:val="20"/>
      <w:u w:val="single"/>
      <w14:ligatures w14:val="none"/>
    </w:rPr>
  </w:style>
  <w:style w:type="character" w:customStyle="1" w:styleId="Heading3Char">
    <w:name w:val="Heading 3 Char"/>
    <w:basedOn w:val="DefaultParagraphFont"/>
    <w:link w:val="Heading3"/>
    <w:rsid w:val="00E335F9"/>
    <w:rPr>
      <w:rFonts w:ascii="Times New Roman" w:eastAsia="Times New Roman" w:hAnsi="Times New Roman" w:cs="Times New Roman"/>
      <w:b/>
      <w:color w:val="0000FF"/>
      <w:kern w:val="0"/>
      <w:sz w:val="24"/>
      <w:szCs w:val="20"/>
      <w:u w:val="single"/>
      <w14:ligatures w14:val="none"/>
    </w:rPr>
  </w:style>
  <w:style w:type="character" w:customStyle="1" w:styleId="Heading4Char">
    <w:name w:val="Heading 4 Char"/>
    <w:basedOn w:val="DefaultParagraphFont"/>
    <w:link w:val="Heading4"/>
    <w:rsid w:val="00E335F9"/>
    <w:rPr>
      <w:rFonts w:ascii="Times New Roman" w:eastAsia="Times New Roman" w:hAnsi="Times New Roman" w:cs="Times New Roman"/>
      <w:b/>
      <w:color w:val="0000FF"/>
      <w:kern w:val="0"/>
      <w:sz w:val="24"/>
      <w:szCs w:val="20"/>
      <w:u w:val="single"/>
      <w14:ligatures w14:val="none"/>
    </w:rPr>
  </w:style>
  <w:style w:type="character" w:customStyle="1" w:styleId="Heading5Char">
    <w:name w:val="Heading 5 Char"/>
    <w:basedOn w:val="DefaultParagraphFont"/>
    <w:link w:val="Heading5"/>
    <w:rsid w:val="00E335F9"/>
    <w:rPr>
      <w:rFonts w:ascii="Times New Roman" w:eastAsia="Times New Roman" w:hAnsi="Times New Roman" w:cs="Times New Roman"/>
      <w:b/>
      <w:color w:val="0000FF"/>
      <w:kern w:val="0"/>
      <w:sz w:val="24"/>
      <w:szCs w:val="20"/>
      <w:u w:val="single"/>
      <w14:ligatures w14:val="none"/>
    </w:rPr>
  </w:style>
  <w:style w:type="character" w:customStyle="1" w:styleId="Heading6Char">
    <w:name w:val="Heading 6 Char"/>
    <w:basedOn w:val="DefaultParagraphFont"/>
    <w:link w:val="Heading6"/>
    <w:rsid w:val="00E335F9"/>
    <w:rPr>
      <w:rFonts w:ascii="Times New Roman" w:eastAsia="Times New Roman" w:hAnsi="Times New Roman" w:cs="Times New Roman"/>
      <w:b/>
      <w:color w:val="0000FF"/>
      <w:kern w:val="0"/>
      <w:sz w:val="24"/>
      <w:szCs w:val="20"/>
      <w:u w:val="single"/>
      <w14:ligatures w14:val="none"/>
    </w:rPr>
  </w:style>
  <w:style w:type="character" w:customStyle="1" w:styleId="Heading7Char">
    <w:name w:val="Heading 7 Char"/>
    <w:basedOn w:val="DefaultParagraphFont"/>
    <w:link w:val="Heading7"/>
    <w:rsid w:val="00E335F9"/>
    <w:rPr>
      <w:rFonts w:ascii="Times New Roman" w:eastAsia="Times New Roman" w:hAnsi="Times New Roman" w:cs="Times New Roman"/>
      <w:b/>
      <w:color w:val="0000FF"/>
      <w:kern w:val="0"/>
      <w:sz w:val="24"/>
      <w:szCs w:val="20"/>
      <w:u w:val="single"/>
      <w14:ligatures w14:val="none"/>
    </w:rPr>
  </w:style>
  <w:style w:type="paragraph" w:customStyle="1" w:styleId="heading4Text">
    <w:name w:val="heading 4 Text"/>
    <w:basedOn w:val="Normal"/>
    <w:link w:val="heading4TextChar"/>
    <w:rsid w:val="00E335F9"/>
    <w:pPr>
      <w:spacing w:after="0" w:line="480" w:lineRule="atLeast"/>
      <w:ind w:firstLine="2160"/>
    </w:pPr>
    <w:rPr>
      <w:rFonts w:ascii="Times New Roman" w:eastAsia="Times New Roman" w:hAnsi="Times New Roman" w:cs="Times New Roman"/>
      <w:kern w:val="0"/>
      <w:sz w:val="24"/>
      <w:szCs w:val="20"/>
      <w14:ligatures w14:val="none"/>
    </w:rPr>
  </w:style>
  <w:style w:type="paragraph" w:customStyle="1" w:styleId="heading5Text">
    <w:name w:val="heading 5 Text"/>
    <w:basedOn w:val="Normal"/>
    <w:link w:val="heading5TextChar"/>
    <w:rsid w:val="00E335F9"/>
    <w:pPr>
      <w:spacing w:after="0" w:line="480" w:lineRule="atLeast"/>
      <w:ind w:firstLine="2880"/>
    </w:pPr>
    <w:rPr>
      <w:rFonts w:ascii="Times New Roman" w:eastAsia="Times New Roman" w:hAnsi="Times New Roman" w:cs="Times New Roman"/>
      <w:kern w:val="0"/>
      <w:sz w:val="24"/>
      <w:szCs w:val="20"/>
      <w14:ligatures w14:val="none"/>
    </w:rPr>
  </w:style>
  <w:style w:type="paragraph" w:customStyle="1" w:styleId="heading6Text">
    <w:name w:val="heading 6 Text"/>
    <w:basedOn w:val="Normal"/>
    <w:rsid w:val="00E335F9"/>
    <w:pPr>
      <w:spacing w:after="0" w:line="480" w:lineRule="atLeast"/>
      <w:ind w:firstLine="3600"/>
    </w:pPr>
    <w:rPr>
      <w:rFonts w:ascii="Times New Roman" w:eastAsia="Times New Roman" w:hAnsi="Times New Roman" w:cs="Times New Roman"/>
      <w:kern w:val="0"/>
      <w:sz w:val="24"/>
      <w:szCs w:val="20"/>
      <w14:ligatures w14:val="none"/>
    </w:rPr>
  </w:style>
  <w:style w:type="paragraph" w:styleId="FootnoteText">
    <w:name w:val="footnote text"/>
    <w:basedOn w:val="Normal"/>
    <w:link w:val="FootnoteTextChar"/>
    <w:rsid w:val="00E335F9"/>
    <w:pPr>
      <w:spacing w:after="120" w:line="240" w:lineRule="atLeast"/>
      <w:ind w:left="360" w:hanging="360"/>
    </w:pPr>
    <w:rPr>
      <w:rFonts w:ascii="Times New Roman" w:eastAsia="Times New Roman" w:hAnsi="Times New Roman" w:cs="Times New Roman"/>
      <w:kern w:val="0"/>
      <w:szCs w:val="20"/>
      <w14:ligatures w14:val="none"/>
    </w:rPr>
  </w:style>
  <w:style w:type="character" w:customStyle="1" w:styleId="FootnoteTextChar">
    <w:name w:val="Footnote Text Char"/>
    <w:basedOn w:val="DefaultParagraphFont"/>
    <w:link w:val="FootnoteText"/>
    <w:rsid w:val="00E335F9"/>
    <w:rPr>
      <w:rFonts w:ascii="Times New Roman" w:eastAsia="Times New Roman" w:hAnsi="Times New Roman" w:cs="Times New Roman"/>
      <w:kern w:val="0"/>
      <w:szCs w:val="20"/>
      <w14:ligatures w14:val="none"/>
    </w:rPr>
  </w:style>
  <w:style w:type="character" w:styleId="FootnoteReference">
    <w:name w:val="footnote reference"/>
    <w:aliases w:val="Style 5,o,fr,Style 13,Style 12,Style 15,Style 17,Style 9,o1,fr1,o2,fr2,o3,fr3,Style 18,(NECG) Footnote Reference,Style 20,Style 7,Style 8,Style 19,Style 28,Style 11,Style 16,Styl,Footnote Reference (EIS),fnr,Footnote reference (EA),."/>
    <w:basedOn w:val="DefaultParagraphFont"/>
    <w:qFormat/>
    <w:rsid w:val="00E335F9"/>
    <w:rPr>
      <w:rFonts w:ascii="Times New Roman" w:hAnsi="Times New Roman"/>
      <w:color w:val="FF0000"/>
      <w:position w:val="6"/>
      <w:sz w:val="16"/>
      <w:u w:val="single"/>
    </w:rPr>
  </w:style>
  <w:style w:type="character" w:customStyle="1" w:styleId="heading4TextChar">
    <w:name w:val="heading 4 Text Char"/>
    <w:link w:val="heading4Text"/>
    <w:rsid w:val="00E335F9"/>
    <w:rPr>
      <w:rFonts w:ascii="Times New Roman" w:eastAsia="Times New Roman" w:hAnsi="Times New Roman" w:cs="Times New Roman"/>
      <w:kern w:val="0"/>
      <w:sz w:val="24"/>
      <w:szCs w:val="20"/>
      <w14:ligatures w14:val="none"/>
    </w:rPr>
  </w:style>
  <w:style w:type="character" w:customStyle="1" w:styleId="heading5TextChar">
    <w:name w:val="heading 5 Text Char"/>
    <w:link w:val="heading5Text"/>
    <w:rsid w:val="00E335F9"/>
    <w:rPr>
      <w:rFonts w:ascii="Times New Roman" w:eastAsia="Times New Roman" w:hAnsi="Times New Roman" w:cs="Times New Roman"/>
      <w:kern w:val="0"/>
      <w:sz w:val="24"/>
      <w:szCs w:val="20"/>
      <w14:ligatures w14:val="none"/>
    </w:rPr>
  </w:style>
  <w:style w:type="paragraph" w:styleId="Header">
    <w:name w:val="header"/>
    <w:basedOn w:val="Normal"/>
    <w:link w:val="HeaderChar"/>
    <w:uiPriority w:val="99"/>
    <w:unhideWhenUsed/>
    <w:rsid w:val="00E335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35F9"/>
  </w:style>
  <w:style w:type="paragraph" w:styleId="Footer">
    <w:name w:val="footer"/>
    <w:basedOn w:val="Normal"/>
    <w:link w:val="FooterChar"/>
    <w:uiPriority w:val="99"/>
    <w:unhideWhenUsed/>
    <w:rsid w:val="00E335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3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ata Request Response" ma:contentTypeID="0x010100467F9C8BEA693240B87572EA900F32170056BB0A30A73F3E41B8D140887E196634" ma:contentTypeVersion="53" ma:contentTypeDescription="" ma:contentTypeScope="" ma:versionID="752ca441317febc83cc5b5f2b055b93a">
  <xsd:schema xmlns:xsd="http://www.w3.org/2001/XMLSchema" xmlns:xs="http://www.w3.org/2001/XMLSchema" xmlns:p="http://schemas.microsoft.com/office/2006/metadata/properties" xmlns:ns2="8430d550-c2bd-4ade-ae56-0b82b076c537" xmlns:ns3="f5667e0a-ecdb-4766-84eb-ebc6e4f78fb7" xmlns:ns4="http://schemas.microsoft.com/sharepoint/v3/fields" xmlns:ns5="http://schemas.microsoft.com/sharepoint/v4" xmlns:ns6="e45da448-bf9c-43e8-8676-7e88d583ded9" targetNamespace="http://schemas.microsoft.com/office/2006/metadata/properties" ma:root="true" ma:fieldsID="a5fb168198f06f493740714d2c7a24b6" ns2:_="" ns3:_="" ns4:_="" ns5:_="" ns6:_="">
    <xsd:import namespace="8430d550-c2bd-4ade-ae56-0b82b076c537"/>
    <xsd:import namespace="f5667e0a-ecdb-4766-84eb-ebc6e4f78fb7"/>
    <xsd:import namespace="http://schemas.microsoft.com/sharepoint/v3/fields"/>
    <xsd:import namespace="http://schemas.microsoft.com/sharepoint/v4"/>
    <xsd:import namespace="e45da448-bf9c-43e8-8676-7e88d583ded9"/>
    <xsd:element name="properties">
      <xsd:complexType>
        <xsd:sequence>
          <xsd:element name="documentManagement">
            <xsd:complexType>
              <xsd:all>
                <xsd:element ref="ns2:Response_x0020_Date" minOccurs="0"/>
                <xsd:element ref="ns3:Question_x0020_Number" minOccurs="0"/>
                <xsd:element ref="ns3:Document_x0020_Type" minOccurs="0"/>
                <xsd:element ref="ns2:Classification" minOccurs="0"/>
                <xsd:element ref="ns2:Data_x0020_Request_x0020_Set_x0020_Name1" minOccurs="0"/>
                <xsd:element ref="ns2:Data_x0020_Request_x0020_Set_x0020_Name" minOccurs="0"/>
                <xsd:element ref="ns2:Party" minOccurs="0"/>
                <xsd:element ref="ns2:Proceeding_x0020_Number" minOccurs="0"/>
                <xsd:element ref="ns2:Received_x0020_Date" minOccurs="0"/>
                <xsd:element ref="ns2:HeaderSpid" minOccurs="0"/>
                <xsd:element ref="ns2:RimsSpid" minOccurs="0"/>
                <xsd:element ref="ns2:Year" minOccurs="0"/>
                <xsd:element ref="ns3:Witness" minOccurs="0"/>
                <xsd:element ref="ns3:Assignee" minOccurs="0"/>
                <xsd:element ref="ns3:Attorney" minOccurs="0"/>
                <xsd:element ref="ns4:_Status" minOccurs="0"/>
                <xsd:element ref="ns2:_dlc_DocIdUrl" minOccurs="0"/>
                <xsd:element ref="ns2:_dlc_DocId" minOccurs="0"/>
                <xsd:element ref="ns2:DR_x0020_360_x0020_Link" minOccurs="0"/>
                <xsd:element ref="ns2:_dlc_DocIdPersistId" minOccurs="0"/>
                <xsd:element ref="ns3:MediaServiceAutoTags" minOccurs="0"/>
                <xsd:element ref="ns3:MediaServiceOCR" minOccurs="0"/>
                <xsd:element ref="ns5:IconOverlay" minOccurs="0"/>
                <xsd:element ref="ns3:Case_x0020_manager_x0020_Text" minOccurs="0"/>
                <xsd:element ref="ns3:Case_x0020_Analyst_x0020_Text" minOccurs="0"/>
                <xsd:element ref="ns2:Bates_x0020_Beg" minOccurs="0"/>
                <xsd:element ref="ns2:Bates_x0020_End" minOccurs="0"/>
                <xsd:element ref="ns2:Agency" minOccurs="0"/>
                <xsd:element ref="ns2:Acronym" minOccurs="0"/>
                <xsd:element ref="ns2:Question" minOccurs="0"/>
                <xsd:element ref="ns3:MediaServiceDateTaken" minOccurs="0"/>
                <xsd:element ref="ns2:IsBatesProfiled" minOccurs="0"/>
                <xsd:element ref="ns3:MediaServiceLocation" minOccurs="0"/>
                <xsd:element ref="ns2:SharedWithUsers" minOccurs="0"/>
                <xsd:element ref="ns2:SharedWithDetails" minOccurs="0"/>
                <xsd:element ref="ns3:MediaServiceGenerationTime" minOccurs="0"/>
                <xsd:element ref="ns3:MediaServiceEventHashCode" minOccurs="0"/>
                <xsd:element ref="ns3:MediaServiceAutoKeyPoints" minOccurs="0"/>
                <xsd:element ref="ns3:MediaServiceKeyPoints" minOccurs="0"/>
                <xsd:element ref="ns3:IsManualHandling" minOccurs="0"/>
                <xsd:element ref="ns2:Do_x0020_Not_x0020_Produce" minOccurs="0"/>
                <xsd:element ref="ns3:lcf76f155ced4ddcb4097134ff3c332f" minOccurs="0"/>
                <xsd:element ref="ns6:TaxCatchAll" minOccurs="0"/>
                <xsd:element ref="ns3:MediaLengthInSeconds" minOccurs="0"/>
                <xsd:element ref="ns3:MediaServiceObjectDetectorVersions" minOccurs="0"/>
                <xsd:element ref="ns3:Exhibit" minOccurs="0"/>
                <xsd:element ref="ns3:Volum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0d550-c2bd-4ade-ae56-0b82b076c537" elementFormDefault="qualified">
    <xsd:import namespace="http://schemas.microsoft.com/office/2006/documentManagement/types"/>
    <xsd:import namespace="http://schemas.microsoft.com/office/infopath/2007/PartnerControls"/>
    <xsd:element name="Response_x0020_Date" ma:index="2" nillable="true" ma:displayName="Response Date" ma:format="DateOnly" ma:internalName="Response_x0020_Date">
      <xsd:simpleType>
        <xsd:restriction base="dms:DateTime"/>
      </xsd:simpleType>
    </xsd:element>
    <xsd:element name="Classification" ma:index="5" nillable="true" ma:displayName="Classification" ma:default="Public" ma:format="Dropdown" ma:indexed="true" ma:internalName="Classification">
      <xsd:simpleType>
        <xsd:restriction base="dms:Choice">
          <xsd:enumeration value="Public"/>
          <xsd:enumeration value="Internal"/>
          <xsd:enumeration value="Confidential"/>
          <xsd:enumeration value="Confidential - MFE Restricted"/>
          <xsd:enumeration value="Confidential - FERC Restricted"/>
          <xsd:enumeration value="Confidential - FERC and MFE Restricted"/>
        </xsd:restriction>
      </xsd:simpleType>
    </xsd:element>
    <xsd:element name="Data_x0020_Request_x0020_Set_x0020_Name1" ma:index="6" nillable="true" ma:displayName="Data Request Set Name" ma:indexed="true" ma:internalName="Data_x0020_Request_x0020_Set_x0020_Name0">
      <xsd:simpleType>
        <xsd:restriction base="dms:Text">
          <xsd:maxLength value="255"/>
        </xsd:restriction>
      </xsd:simpleType>
    </xsd:element>
    <xsd:element name="Data_x0020_Request_x0020_Set_x0020_Name" ma:index="7" nillable="true" ma:displayName="Data Request Set" ma:internalName="Data_x0020_Request_x0020_Set_x0020_Name">
      <xsd:simpleType>
        <xsd:restriction base="dms:Text">
          <xsd:maxLength value="255"/>
        </xsd:restriction>
      </xsd:simpleType>
    </xsd:element>
    <xsd:element name="Party" ma:index="8" nillable="true" ma:displayName="Party" ma:indexed="true" ma:internalName="Party">
      <xsd:simpleType>
        <xsd:restriction base="dms:Text">
          <xsd:maxLength value="255"/>
        </xsd:restriction>
      </xsd:simpleType>
    </xsd:element>
    <xsd:element name="Proceeding_x0020_Number" ma:index="9" nillable="true" ma:displayName="Proceeding Number" ma:indexed="true" ma:internalName="Proceeding_x0020_Number">
      <xsd:simpleType>
        <xsd:restriction base="dms:Text">
          <xsd:maxLength value="255"/>
        </xsd:restriction>
      </xsd:simpleType>
    </xsd:element>
    <xsd:element name="Received_x0020_Date" ma:index="10" nillable="true" ma:displayName="Received Date" ma:format="DateOnly" ma:internalName="Received_x0020_Date">
      <xsd:simpleType>
        <xsd:restriction base="dms:DateTime"/>
      </xsd:simpleType>
    </xsd:element>
    <xsd:element name="HeaderSpid" ma:index="11" nillable="true" ma:displayName="HeaderSpid" ma:indexed="true" ma:internalName="HeaderSpid" ma:readOnly="false">
      <xsd:simpleType>
        <xsd:restriction base="dms:Text">
          <xsd:maxLength value="255"/>
        </xsd:restriction>
      </xsd:simpleType>
    </xsd:element>
    <xsd:element name="RimsSpid" ma:index="12" nillable="true" ma:displayName="RimsSpid" ma:indexed="true" ma:internalName="RimsSpid">
      <xsd:simpleType>
        <xsd:restriction base="dms:Text">
          <xsd:maxLength value="255"/>
        </xsd:restriction>
      </xsd:simpleType>
    </xsd:element>
    <xsd:element name="Year" ma:index="13" nillable="true" ma:displayName="Year" ma:indexed="true" ma:internalName="Year">
      <xsd:simpleType>
        <xsd:restriction base="dms:Text">
          <xsd:maxLength value="255"/>
        </xsd:restriction>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DR_x0020_360_x0020_Link" ma:index="21" nillable="true" ma:displayName="DR 360 Link" ma:format="Hyperlink" ma:hidden="true" ma:internalName="DR_x0020_360_x0020_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Bates_x0020_Beg" ma:index="33" nillable="true" ma:displayName="Bates Beg" ma:internalName="Bates_x0020_Beg">
      <xsd:simpleType>
        <xsd:restriction base="dms:Text">
          <xsd:maxLength value="255"/>
        </xsd:restriction>
      </xsd:simpleType>
    </xsd:element>
    <xsd:element name="Bates_x0020_End" ma:index="34" nillable="true" ma:displayName="Bates End" ma:internalName="Bates_x0020_End">
      <xsd:simpleType>
        <xsd:restriction base="dms:Text">
          <xsd:maxLength value="255"/>
        </xsd:restriction>
      </xsd:simpleType>
    </xsd:element>
    <xsd:element name="Agency" ma:index="35" nillable="true" ma:displayName="Agency" ma:internalName="Agency">
      <xsd:simpleType>
        <xsd:restriction base="dms:Text">
          <xsd:maxLength value="255"/>
        </xsd:restriction>
      </xsd:simpleType>
    </xsd:element>
    <xsd:element name="Acronym" ma:index="36" nillable="true" ma:displayName="Acronym" ma:internalName="Acronym">
      <xsd:simpleType>
        <xsd:restriction base="dms:Text">
          <xsd:maxLength value="255"/>
        </xsd:restriction>
      </xsd:simpleType>
    </xsd:element>
    <xsd:element name="Question" ma:index="38" nillable="true" ma:displayName="Question" ma:internalName="Question">
      <xsd:simpleType>
        <xsd:restriction base="dms:Note"/>
      </xsd:simpleType>
    </xsd:element>
    <xsd:element name="IsBatesProfiled" ma:index="40" nillable="true" ma:displayName="IsBatesProfiled" ma:internalName="IsBatesProfiled">
      <xsd:simpleType>
        <xsd:restriction base="dms:Text">
          <xsd:maxLength value="255"/>
        </xsd:restriction>
      </xsd:simpleType>
    </xsd:element>
    <xsd:element name="SharedWithUsers" ma:index="4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Shared With Details" ma:internalName="SharedWithDetails" ma:readOnly="true">
      <xsd:simpleType>
        <xsd:restriction base="dms:Note">
          <xsd:maxLength value="255"/>
        </xsd:restriction>
      </xsd:simpleType>
    </xsd:element>
    <xsd:element name="Do_x0020_Not_x0020_Produce" ma:index="49" nillable="true" ma:displayName="Do Not Produce" ma:default="Not Applicable" ma:description="This will skip the movement of items into completed doc set on approval as well as cleanup of In progress questions on set complete." ma:format="Dropdown" ma:internalName="Do_x0020_Not_x0020_Produce">
      <xsd:simpleType>
        <xsd:restriction base="dms:Choice">
          <xsd:enumeration value="Not Applicable"/>
          <xsd:enumeration value="Yes"/>
        </xsd:restriction>
      </xsd:simpleType>
    </xsd:element>
  </xsd:schema>
  <xsd:schema xmlns:xsd="http://www.w3.org/2001/XMLSchema" xmlns:xs="http://www.w3.org/2001/XMLSchema" xmlns:dms="http://schemas.microsoft.com/office/2006/documentManagement/types" xmlns:pc="http://schemas.microsoft.com/office/infopath/2007/PartnerControls" targetNamespace="f5667e0a-ecdb-4766-84eb-ebc6e4f78fb7" elementFormDefault="qualified">
    <xsd:import namespace="http://schemas.microsoft.com/office/2006/documentManagement/types"/>
    <xsd:import namespace="http://schemas.microsoft.com/office/infopath/2007/PartnerControls"/>
    <xsd:element name="Question_x0020_Number" ma:index="3" nillable="true" ma:displayName="Question Number" ma:indexed="true" ma:internalName="Question_x0020_Number">
      <xsd:simpleType>
        <xsd:restriction base="dms:Text">
          <xsd:maxLength value="255"/>
        </xsd:restriction>
      </xsd:simpleType>
    </xsd:element>
    <xsd:element name="Document_x0020_Type" ma:index="4" nillable="true" ma:displayName="Document Type" ma:default="Attachment" ma:format="Dropdown" ma:indexed="true" ma:internalName="Document_x0020_Type">
      <xsd:simpleType>
        <xsd:restriction base="dms:Choice">
          <xsd:enumeration value="Answer"/>
          <xsd:enumeration value="Attachment"/>
          <xsd:enumeration value="Declaration"/>
          <xsd:enumeration value="Production Overlay"/>
          <xsd:enumeration value="CPUC Initial Request"/>
          <xsd:enumeration value="DO NOT PRODUCE"/>
          <xsd:enumeration value="Transmittal"/>
          <xsd:enumeration value="Confirmation"/>
        </xsd:restriction>
      </xsd:simpleType>
    </xsd:element>
    <xsd:element name="Witness" ma:index="14" nillable="true" ma:displayName="Witness" ma:indexed="true" ma:internalName="Witness">
      <xsd:simpleType>
        <xsd:restriction base="dms:Text">
          <xsd:maxLength value="255"/>
        </xsd:restriction>
      </xsd:simpleType>
    </xsd:element>
    <xsd:element name="Assignee" ma:index="15" nillable="true" ma:displayName="Assignee" ma:internalName="Assignee">
      <xsd:simpleType>
        <xsd:restriction base="dms:Text">
          <xsd:maxLength value="255"/>
        </xsd:restriction>
      </xsd:simpleType>
    </xsd:element>
    <xsd:element name="Attorney" ma:index="16" nillable="true" ma:displayName="Attorney" ma:internalName="Attorney">
      <xsd:simpleType>
        <xsd:restriction base="dms:Text">
          <xsd:maxLength value="255"/>
        </xsd:restriction>
      </xsd:simpleType>
    </xsd:element>
    <xsd:element name="MediaServiceAutoTags" ma:index="28" nillable="true" ma:displayName="MediaServiceAutoTags" ma:internalName="MediaServiceAutoTags" ma:readOnly="true">
      <xsd:simpleType>
        <xsd:restriction base="dms:Text"/>
      </xsd:simpleType>
    </xsd:element>
    <xsd:element name="MediaServiceOCR" ma:index="29" nillable="true" ma:displayName="MediaServiceOCR" ma:internalName="MediaServiceOCR" ma:readOnly="true">
      <xsd:simpleType>
        <xsd:restriction base="dms:Note">
          <xsd:maxLength value="255"/>
        </xsd:restriction>
      </xsd:simpleType>
    </xsd:element>
    <xsd:element name="Case_x0020_manager_x0020_Text" ma:index="31" nillable="true" ma:displayName="Case manager Text" ma:internalName="Case_x0020_manager_x0020_Text">
      <xsd:simpleType>
        <xsd:restriction base="dms:Text">
          <xsd:maxLength value="255"/>
        </xsd:restriction>
      </xsd:simpleType>
    </xsd:element>
    <xsd:element name="Case_x0020_Analyst_x0020_Text" ma:index="32" nillable="true" ma:displayName="Case Analyst Text" ma:internalName="Case_x0020_Analyst_x0020_Text">
      <xsd:simpleType>
        <xsd:restriction base="dms:Text">
          <xsd:maxLength value="255"/>
        </xsd:restriction>
      </xsd:simpleType>
    </xsd:element>
    <xsd:element name="MediaServiceDateTaken" ma:index="39" nillable="true" ma:displayName="MediaServiceDateTaken" ma:hidden="true" ma:internalName="MediaServiceDateTaken" ma:readOnly="true">
      <xsd:simpleType>
        <xsd:restriction base="dms:Text"/>
      </xsd:simpleType>
    </xsd:element>
    <xsd:element name="MediaServiceLocation" ma:index="41" nillable="true" ma:displayName="Location" ma:internalName="MediaServiceLocation" ma:readOnly="true">
      <xsd:simpleType>
        <xsd:restriction base="dms:Text"/>
      </xsd:simpleType>
    </xsd:element>
    <xsd:element name="MediaServiceGenerationTime" ma:index="44" nillable="true" ma:displayName="MediaServiceGenerationTime" ma:hidden="true" ma:internalName="MediaServiceGenerationTime" ma:readOnly="true">
      <xsd:simpleType>
        <xsd:restriction base="dms:Text"/>
      </xsd:simpleType>
    </xsd:element>
    <xsd:element name="MediaServiceEventHashCode" ma:index="45" nillable="true" ma:displayName="MediaServiceEventHashCode" ma:hidden="true" ma:internalName="MediaServiceEventHashCode" ma:readOnly="true">
      <xsd:simpleType>
        <xsd:restriction base="dms:Text"/>
      </xsd:simpleType>
    </xsd:element>
    <xsd:element name="MediaServiceAutoKeyPoints" ma:index="46" nillable="true" ma:displayName="MediaServiceAutoKeyPoints" ma:hidden="true" ma:internalName="MediaServiceAutoKeyPoints" ma:readOnly="true">
      <xsd:simpleType>
        <xsd:restriction base="dms:Note"/>
      </xsd:simpleType>
    </xsd:element>
    <xsd:element name="MediaServiceKeyPoints" ma:index="47" nillable="true" ma:displayName="KeyPoints" ma:internalName="MediaServiceKeyPoints" ma:readOnly="true">
      <xsd:simpleType>
        <xsd:restriction base="dms:Note">
          <xsd:maxLength value="255"/>
        </xsd:restriction>
      </xsd:simpleType>
    </xsd:element>
    <xsd:element name="IsManualHandling" ma:index="48" nillable="true" ma:displayName="Manual Handling" ma:default="No" ma:format="Dropdown" ma:internalName="IsManualHandling">
      <xsd:simpleType>
        <xsd:restriction base="dms:Choice">
          <xsd:enumeration value="Yes"/>
          <xsd:enumeration value="No"/>
        </xsd:restriction>
      </xsd:simpleType>
    </xsd:element>
    <xsd:element name="lcf76f155ced4ddcb4097134ff3c332f" ma:index="51" nillable="true" ma:taxonomy="true" ma:internalName="lcf76f155ced4ddcb4097134ff3c332f" ma:taxonomyFieldName="MediaServiceImageTags" ma:displayName="Image Tags" ma:readOnly="false" ma:fieldId="{5cf76f15-5ced-4ddc-b409-7134ff3c332f}" ma:taxonomyMulti="true" ma:sspId="1da7e81d-6ea8-45c5-b51f-f6fb8dd5843f" ma:termSetId="09814cd3-568e-fe90-9814-8d621ff8fb84" ma:anchorId="fba54fb3-c3e1-fe81-a776-ca4b69148c4d" ma:open="true" ma:isKeyword="false">
      <xsd:complexType>
        <xsd:sequence>
          <xsd:element ref="pc:Terms" minOccurs="0" maxOccurs="1"/>
        </xsd:sequence>
      </xsd:complexType>
    </xsd:element>
    <xsd:element name="MediaLengthInSeconds" ma:index="53" nillable="true" ma:displayName="MediaLengthInSeconds" ma:hidden="true" ma:internalName="MediaLengthInSeconds" ma:readOnly="true">
      <xsd:simpleType>
        <xsd:restriction base="dms:Unknown"/>
      </xsd:simpleType>
    </xsd:element>
    <xsd:element name="MediaServiceObjectDetectorVersions" ma:index="54" nillable="true" ma:displayName="MediaServiceObjectDetectorVersions" ma:hidden="true" ma:internalName="MediaServiceObjectDetectorVersions" ma:readOnly="true">
      <xsd:simpleType>
        <xsd:restriction base="dms:Text"/>
      </xsd:simpleType>
    </xsd:element>
    <xsd:element name="Exhibit" ma:index="55" nillable="true" ma:displayName="Exhibit" ma:internalName="Exhibit">
      <xsd:simpleType>
        <xsd:restriction base="dms:Text">
          <xsd:maxLength value="255"/>
        </xsd:restriction>
      </xsd:simpleType>
    </xsd:element>
    <xsd:element name="Volume" ma:index="56" nillable="true" ma:displayName="Volume" ma:internalName="Volume">
      <xsd:simpleType>
        <xsd:restriction base="dms:Text">
          <xsd:maxLength value="255"/>
        </xsd:restriction>
      </xsd:simpleType>
    </xsd:element>
    <xsd:element name="MediaServiceSearchProperties" ma:index="5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7" nillable="true" ma:displayName="Status" ma:format="Dropdown" ma:indexed="true" ma:internalName="_Status">
      <xsd:simpleType>
        <xsd:restriction base="dms:Choice">
          <xsd:enumeration value="(1) New"/>
          <xsd:enumeration value="(2) In Progress"/>
          <xsd:enumeration value="(3) Review"/>
          <xsd:enumeration value="(4) Law Review"/>
          <xsd:enumeration value="(5) Approved For Case Admin"/>
          <xsd:enumeration value="(6) Complet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0"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45da448-bf9c-43e8-8676-7e88d583ded9" elementFormDefault="qualified">
    <xsd:import namespace="http://schemas.microsoft.com/office/2006/documentManagement/types"/>
    <xsd:import namespace="http://schemas.microsoft.com/office/infopath/2007/PartnerControls"/>
    <xsd:element name="TaxCatchAll" ma:index="52" nillable="true" ma:displayName="Taxonomy Catch All Column" ma:hidden="true" ma:list="{65a278c3-a9af-4b00-9d48-f36cd2a1cf94}" ma:internalName="TaxCatchAll" ma:showField="CatchAllData" ma:web="8430d550-c2bd-4ade-ae56-0b82b076c5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45da448-bf9c-43e8-8676-7e88d583ded9" xsi:nil="true"/>
    <Data_x0020_Request_x0020_Set_x0020_Name xmlns="8430d550-c2bd-4ade-ae56-0b82b076c537">DR - 33689 02.a-c</Data_x0020_Request_x0020_Set_x0020_Name>
    <Response_x0020_Date xmlns="8430d550-c2bd-4ade-ae56-0b82b076c537">2024-05-07T22:50:25+00:00</Response_x0020_Date>
    <Acronym xmlns="8430d550-c2bd-4ade-ae56-0b82b076c537">2023-UPS</Acronym>
    <RimsSpid xmlns="8430d550-c2bd-4ade-ae56-0b82b076c537">22181</RimsSpid>
    <_Status xmlns="http://schemas.microsoft.com/sharepoint/v3/fields" xsi:nil="true"/>
    <IconOverlay xmlns="http://schemas.microsoft.com/sharepoint/v4" xsi:nil="true"/>
    <Data_x0020_Request_x0020_Set_x0020_Name1 xmlns="8430d550-c2bd-4ade-ae56-0b82b076c537">SPD-SCE-SB884-002 BA MA</Data_x0020_Request_x0020_Set_x0020_Name1>
    <Received_x0020_Date xmlns="8430d550-c2bd-4ade-ae56-0b82b076c537">2024-04-23T07:00:00+00:00</Received_x0020_Date>
    <Year xmlns="8430d550-c2bd-4ade-ae56-0b82b076c537" xsi:nil="true"/>
    <HeaderSpid xmlns="8430d550-c2bd-4ade-ae56-0b82b076c537">9472</HeaderSpid>
    <Question xmlns="8430d550-c2bd-4ade-ae56-0b82b076c537">In SCE’s response to Question 1.d and 1.e, the excel spreadsheet included footnotes to the current dollar value variable on the tabs titled Part d and Part e.
     a. Please provide a narrative description of the distinction between “capital-related revenue requirement undercollection” and “total capital expenditures incurred”.
     b. Please provide a narrative description of the distinction between “O&amp;M revenue requirement undercollection” and “total O&amp;M dollars spent”.
     c. Please explain why “interest expenses” were included in the WMPMA and FRMMA balance.</Question>
    <Classification xmlns="8430d550-c2bd-4ade-ae56-0b82b076c537">Public</Classification>
    <Proceeding_x0020_Number xmlns="8430d550-c2bd-4ade-ae56-0b82b076c537">2023-UPS</Proceeding_x0020_Number>
    <Party xmlns="8430d550-c2bd-4ade-ae56-0b82b076c537">SPD</Party>
    <DR_x0020_360_x0020_Link xmlns="8430d550-c2bd-4ade-ae56-0b82b076c537">
      <Url xsi:nil="true"/>
      <Description xsi:nil="true"/>
    </DR_x0020_360_x0020_Link>
    <Agency xmlns="8430d550-c2bd-4ade-ae56-0b82b076c537">Office of Energy Infrastructure Safety (OEIS)</Agency>
    <_dlc_DocId xmlns="8430d550-c2bd-4ade-ae56-0b82b076c537">RCMS365-1419139168-219457</_dlc_DocId>
    <_dlc_DocIdUrl xmlns="8430d550-c2bd-4ade-ae56-0b82b076c537">
      <Url>https://edisonintl.sharepoint.com/teams/rcms365/_layouts/15/DocIdRedir.aspx?ID=RCMS365-1419139168-219457</Url>
      <Description>RCMS365-1419139168-219457</Description>
    </_dlc_DocIdUrl>
    <lcf76f155ced4ddcb4097134ff3c332f xmlns="f5667e0a-ecdb-4766-84eb-ebc6e4f78fb7">
      <Terms xmlns="http://schemas.microsoft.com/office/infopath/2007/PartnerControls"/>
    </lcf76f155ced4ddcb4097134ff3c332f>
    <Witness xmlns="f5667e0a-ecdb-4766-84eb-ebc6e4f78fb7" xsi:nil="true"/>
    <Assignee xmlns="f5667e0a-ecdb-4766-84eb-ebc6e4f78fb7">Erin Pulgar</Assignee>
    <Question_x0020_Number xmlns="f5667e0a-ecdb-4766-84eb-ebc6e4f78fb7">02.a-c</Question_x0020_Number>
    <Attorney xmlns="f5667e0a-ecdb-4766-84eb-ebc6e4f78fb7">Peter Shakro</Attorney>
    <Volume xmlns="f5667e0a-ecdb-4766-84eb-ebc6e4f78fb7" xsi:nil="true"/>
    <Exhibit xmlns="f5667e0a-ecdb-4766-84eb-ebc6e4f78fb7" xsi:nil="true"/>
    <Document_x0020_Type xmlns="f5667e0a-ecdb-4766-84eb-ebc6e4f78fb7">Attachment</Document_x0020_Type>
    <Case_x0020_Analyst_x0020_Text xmlns="f5667e0a-ecdb-4766-84eb-ebc6e4f78fb7" xsi:nil="true"/>
    <IsManualHandling xmlns="f5667e0a-ecdb-4766-84eb-ebc6e4f78fb7">No</IsManualHandling>
    <Bates_x0020_Beg xmlns="8430d550-c2bd-4ade-ae56-0b82b076c537" xsi:nil="true"/>
    <Bates_x0020_End xmlns="8430d550-c2bd-4ade-ae56-0b82b076c537" xsi:nil="true"/>
    <IsBatesProfiled xmlns="8430d550-c2bd-4ade-ae56-0b82b076c537" xsi:nil="true"/>
    <Do_x0020_Not_x0020_Produce xmlns="8430d550-c2bd-4ade-ae56-0b82b076c537">Not Applicable</Do_x0020_Not_x0020_Produce>
    <Case_x0020_manager_x0020_Text xmlns="f5667e0a-ecdb-4766-84eb-ebc6e4f78fb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5DD7B3D-38BB-42B9-9E52-A1DEDD83B85F}"/>
</file>

<file path=customXml/itemProps2.xml><?xml version="1.0" encoding="utf-8"?>
<ds:datastoreItem xmlns:ds="http://schemas.openxmlformats.org/officeDocument/2006/customXml" ds:itemID="{CB9D2117-9F1F-4D10-B671-61AEC6E508FF}">
  <ds:schemaRefs>
    <ds:schemaRef ds:uri="http://schemas.openxmlformats.org/officeDocument/2006/bibliography"/>
  </ds:schemaRefs>
</ds:datastoreItem>
</file>

<file path=customXml/itemProps3.xml><?xml version="1.0" encoding="utf-8"?>
<ds:datastoreItem xmlns:ds="http://schemas.openxmlformats.org/officeDocument/2006/customXml" ds:itemID="{0702A55E-79A8-4F81-93E2-1D5832E6F44B}">
  <ds:schemaRefs>
    <ds:schemaRef ds:uri="http://schemas.microsoft.com/office/2006/metadata/properties"/>
    <ds:schemaRef ds:uri="http://schemas.microsoft.com/office/infopath/2007/PartnerControls"/>
    <ds:schemaRef ds:uri="e45da448-bf9c-43e8-8676-7e88d583ded9"/>
    <ds:schemaRef ds:uri="980b6804-2f73-485c-8e9c-8e82f58ad61c"/>
  </ds:schemaRefs>
</ds:datastoreItem>
</file>

<file path=customXml/itemProps4.xml><?xml version="1.0" encoding="utf-8"?>
<ds:datastoreItem xmlns:ds="http://schemas.openxmlformats.org/officeDocument/2006/customXml" ds:itemID="{B91036CE-CBED-4D79-A771-913E80C71CB1}">
  <ds:schemaRefs>
    <ds:schemaRef ds:uri="http://schemas.microsoft.com/sharepoint/v3/contenttype/forms"/>
  </ds:schemaRefs>
</ds:datastoreItem>
</file>

<file path=customXml/itemProps5.xml><?xml version="1.0" encoding="utf-8"?>
<ds:datastoreItem xmlns:ds="http://schemas.openxmlformats.org/officeDocument/2006/customXml" ds:itemID="{21664737-9CB8-441E-B52C-9797D5F37393}"/>
</file>

<file path=docProps/app.xml><?xml version="1.0" encoding="utf-8"?>
<Properties xmlns="http://schemas.openxmlformats.org/officeDocument/2006/extended-properties" xmlns:vt="http://schemas.openxmlformats.org/officeDocument/2006/docPropsVTypes">
  <Template>Normal.dotm</Template>
  <TotalTime>1</TotalTime>
  <Pages>5</Pages>
  <Words>1152</Words>
  <Characters>6573</Characters>
  <Application>Microsoft Office Word</Application>
  <DocSecurity>0</DocSecurity>
  <Lines>54</Lines>
  <Paragraphs>15</Paragraphs>
  <ScaleCrop>false</ScaleCrop>
  <Company>SOUTHERN CALIFORNIA EDISON</Company>
  <LinksUpToDate>false</LinksUpToDate>
  <CharactersWithSpaces>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Pulgar</dc:creator>
  <cp:keywords/>
  <dc:description/>
  <cp:lastModifiedBy>Erin Pulgar</cp:lastModifiedBy>
  <cp:revision>3</cp:revision>
  <dcterms:created xsi:type="dcterms:W3CDTF">2024-04-25T22:27:00Z</dcterms:created>
  <dcterms:modified xsi:type="dcterms:W3CDTF">2024-04-25T22:27:00Z</dcterms:modified>
  <cp:contentStatus>(6) Complete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0x010100467F9C8BEA693240B87572EA900F32170056BB0A30A73F3E41B8D140887E196634</vt:lpwstr>
  </property>
  <property fmtid="{D5CDD505-2E9C-101B-9397-08002B2CF9AE}" pid="3" name="MSIP_Label_bc3dd1c7-2c40-4a31-84b2-bec599b321a0_Enabled">
    <vt:lpwstr>true</vt:lpwstr>
  </property>
  <property fmtid="{D5CDD505-2E9C-101B-9397-08002B2CF9AE}" pid="4" name="MSIP_Label_bc3dd1c7-2c40-4a31-84b2-bec599b321a0_SetDate">
    <vt:lpwstr>2024-03-25T18:11:58Z</vt:lpwstr>
  </property>
  <property fmtid="{D5CDD505-2E9C-101B-9397-08002B2CF9AE}" pid="5" name="MSIP_Label_bc3dd1c7-2c40-4a31-84b2-bec599b321a0_Method">
    <vt:lpwstr>Standard</vt:lpwstr>
  </property>
  <property fmtid="{D5CDD505-2E9C-101B-9397-08002B2CF9AE}" pid="6" name="MSIP_Label_bc3dd1c7-2c40-4a31-84b2-bec599b321a0_Name">
    <vt:lpwstr>bc3dd1c7-2c40-4a31-84b2-bec599b321a0</vt:lpwstr>
  </property>
  <property fmtid="{D5CDD505-2E9C-101B-9397-08002B2CF9AE}" pid="7" name="MSIP_Label_bc3dd1c7-2c40-4a31-84b2-bec599b321a0_SiteId">
    <vt:lpwstr>5b2a8fee-4c95-4bdc-8aae-196f8aacb1b6</vt:lpwstr>
  </property>
  <property fmtid="{D5CDD505-2E9C-101B-9397-08002B2CF9AE}" pid="8" name="MSIP_Label_bc3dd1c7-2c40-4a31-84b2-bec599b321a0_ActionId">
    <vt:lpwstr>1b463aa1-c956-414e-af6d-8bb3beda92b1</vt:lpwstr>
  </property>
  <property fmtid="{D5CDD505-2E9C-101B-9397-08002B2CF9AE}" pid="9" name="MSIP_Label_bc3dd1c7-2c40-4a31-84b2-bec599b321a0_ContentBits">
    <vt:lpwstr>0</vt:lpwstr>
  </property>
  <property fmtid="{D5CDD505-2E9C-101B-9397-08002B2CF9AE}" pid="10" name="MediaServiceImageTags">
    <vt:lpwstr/>
  </property>
  <property fmtid="{D5CDD505-2E9C-101B-9397-08002B2CF9AE}" pid="11" name="_dlc_DocIdItemGuid">
    <vt:lpwstr>3670ac42-f7b8-4b94-927f-17e02200d0e9</vt:lpwstr>
  </property>
  <property fmtid="{D5CDD505-2E9C-101B-9397-08002B2CF9AE}" pid="12" name="_docset_NoMedatataSyncRequired">
    <vt:lpwstr>False</vt:lpwstr>
  </property>
  <property fmtid="{D5CDD505-2E9C-101B-9397-08002B2CF9AE}" pid="13" name="Review Status">
    <vt:lpwstr>https://edisonintl.sharepoint.com/teams/rcms365/Lists/Data Request Review Tasks/Review%20Task%20View.aspx?QuestionDocID=219084  , Completed</vt:lpwstr>
  </property>
  <property fmtid="{D5CDD505-2E9C-101B-9397-08002B2CF9AE}" pid="14" name="MarkedForDeletion">
    <vt:bool>false</vt:bool>
  </property>
  <property fmtid="{D5CDD505-2E9C-101B-9397-08002B2CF9AE}" pid="15" name="Reassignment">
    <vt:lpwstr>, </vt:lpwstr>
  </property>
  <property fmtid="{D5CDD505-2E9C-101B-9397-08002B2CF9AE}" pid="16" name="Start Security WF">
    <vt:lpwstr>, </vt:lpwstr>
  </property>
  <property fmtid="{D5CDD505-2E9C-101B-9397-08002B2CF9AE}" pid="17" name="Party0">
    <vt:lpwstr>SPD</vt:lpwstr>
  </property>
  <property fmtid="{D5CDD505-2E9C-101B-9397-08002B2CF9AE}" pid="18" name="Data Request Set Name1">
    <vt:lpwstr>SPD-SCE-SB884-002 BA MA</vt:lpwstr>
  </property>
  <property fmtid="{D5CDD505-2E9C-101B-9397-08002B2CF9AE}" pid="19" name="DeletedBy">
    <vt:lpwstr/>
  </property>
  <property fmtid="{D5CDD505-2E9C-101B-9397-08002B2CF9AE}" pid="20" name="Manual Handling">
    <vt:lpwstr>, </vt:lpwstr>
  </property>
  <property fmtid="{D5CDD505-2E9C-101B-9397-08002B2CF9AE}" pid="21" name="Test WF">
    <vt:lpwstr>, </vt:lpwstr>
  </property>
  <property fmtid="{D5CDD505-2E9C-101B-9397-08002B2CF9AE}" pid="22" name="Document Review Status">
    <vt:lpwstr>Pending for Case Admin</vt:lpwstr>
  </property>
  <property fmtid="{D5CDD505-2E9C-101B-9397-08002B2CF9AE}" pid="23" name="Modified Date">
    <vt:filetime>2024-05-07T07:00:00Z</vt:filetime>
  </property>
</Properties>
</file>