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BB45C" w14:textId="77777777" w:rsidR="00F27B8F" w:rsidRPr="0027789B" w:rsidRDefault="00F27B8F" w:rsidP="004B181D">
      <w:pPr>
        <w:pStyle w:val="FilingTitle"/>
        <w:suppressLineNumbers w:val="0"/>
        <w:spacing w:after="0"/>
        <w:jc w:val="left"/>
        <w:rPr>
          <w:sz w:val="36"/>
          <w:szCs w:val="24"/>
        </w:rPr>
      </w:pPr>
      <w:r w:rsidRPr="0027789B">
        <w:rPr>
          <w:noProof/>
        </w:rPr>
        <w:drawing>
          <wp:inline distT="0" distB="0" distL="0" distR="0" wp14:anchorId="369B07DF" wp14:editId="7489D65E">
            <wp:extent cx="2971800" cy="12261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1226185"/>
                    </a:xfrm>
                    <a:prstGeom prst="rect">
                      <a:avLst/>
                    </a:prstGeom>
                    <a:noFill/>
                    <a:ln>
                      <a:noFill/>
                    </a:ln>
                  </pic:spPr>
                </pic:pic>
              </a:graphicData>
            </a:graphic>
          </wp:inline>
        </w:drawing>
      </w:r>
    </w:p>
    <w:p w14:paraId="31131BF1" w14:textId="36A9E76F" w:rsidR="00F27B8F" w:rsidRPr="0027789B" w:rsidRDefault="003E41CE" w:rsidP="004B181D">
      <w:pPr>
        <w:pStyle w:val="FilingTitle"/>
        <w:suppressLineNumbers w:val="0"/>
        <w:spacing w:after="0"/>
        <w:jc w:val="right"/>
        <w:rPr>
          <w:b w:val="0"/>
          <w:i/>
          <w:sz w:val="24"/>
          <w:szCs w:val="24"/>
        </w:rPr>
      </w:pPr>
      <w:r>
        <w:rPr>
          <w:b w:val="0"/>
          <w:i/>
          <w:sz w:val="24"/>
          <w:szCs w:val="24"/>
        </w:rPr>
        <w:t>ACES 2</w:t>
      </w:r>
      <w:r w:rsidR="000B389D">
        <w:rPr>
          <w:b w:val="0"/>
          <w:i/>
          <w:sz w:val="24"/>
          <w:szCs w:val="24"/>
        </w:rPr>
        <w:t xml:space="preserve"> RFO </w:t>
      </w:r>
      <w:r w:rsidR="00A14CEB">
        <w:rPr>
          <w:b w:val="0"/>
          <w:i/>
          <w:sz w:val="24"/>
          <w:szCs w:val="24"/>
        </w:rPr>
        <w:t>Pro Forma</w:t>
      </w:r>
    </w:p>
    <w:p w14:paraId="4523C351" w14:textId="77777777" w:rsidR="00F27B8F" w:rsidRPr="0027789B" w:rsidRDefault="00F27B8F" w:rsidP="004B181D">
      <w:pPr>
        <w:pStyle w:val="Heading1Text"/>
        <w:jc w:val="center"/>
        <w:rPr>
          <w:b/>
        </w:rPr>
      </w:pPr>
    </w:p>
    <w:p w14:paraId="0808E14E" w14:textId="18BACBAC" w:rsidR="001E217F" w:rsidRPr="004E2914" w:rsidRDefault="003E41CE" w:rsidP="006A274A">
      <w:pPr>
        <w:spacing w:before="240"/>
        <w:jc w:val="center"/>
        <w:rPr>
          <w:b/>
        </w:rPr>
      </w:pPr>
      <w:r>
        <w:rPr>
          <w:b/>
          <w:color w:val="000000" w:themeColor="text1"/>
        </w:rPr>
        <w:t>ALISO CANYON</w:t>
      </w:r>
      <w:r w:rsidR="00A14CEB">
        <w:rPr>
          <w:b/>
          <w:color w:val="000000" w:themeColor="text1"/>
        </w:rPr>
        <w:t xml:space="preserve"> ENERGY STORAGE </w:t>
      </w:r>
      <w:r>
        <w:rPr>
          <w:b/>
          <w:color w:val="000000" w:themeColor="text1"/>
        </w:rPr>
        <w:t xml:space="preserve">2 </w:t>
      </w:r>
      <w:r w:rsidR="00A14CEB">
        <w:rPr>
          <w:b/>
          <w:color w:val="000000" w:themeColor="text1"/>
        </w:rPr>
        <w:t>RFO</w:t>
      </w:r>
      <w:r>
        <w:rPr>
          <w:b/>
          <w:color w:val="000000" w:themeColor="text1"/>
        </w:rPr>
        <w:t xml:space="preserve"> (“ACES 2 RFO”)</w:t>
      </w:r>
    </w:p>
    <w:p w14:paraId="57B82FDF" w14:textId="77777777" w:rsidR="001E217F" w:rsidRPr="004E2914" w:rsidRDefault="001E217F" w:rsidP="006A274A">
      <w:pPr>
        <w:spacing w:before="240"/>
        <w:jc w:val="center"/>
        <w:rPr>
          <w:b/>
        </w:rPr>
      </w:pPr>
      <w:r w:rsidRPr="004E2914">
        <w:rPr>
          <w:b/>
        </w:rPr>
        <w:t>PRO FORMA</w:t>
      </w:r>
    </w:p>
    <w:p w14:paraId="4364DB26" w14:textId="77777777" w:rsidR="009273DF" w:rsidRDefault="001E217F" w:rsidP="006A274A">
      <w:pPr>
        <w:spacing w:before="240"/>
        <w:jc w:val="center"/>
        <w:rPr>
          <w:b/>
        </w:rPr>
      </w:pPr>
      <w:r w:rsidRPr="004E2914">
        <w:rPr>
          <w:b/>
        </w:rPr>
        <w:t xml:space="preserve">ENERGY STORAGE RESOURCE ADEQUACY </w:t>
      </w:r>
    </w:p>
    <w:p w14:paraId="5011633D" w14:textId="0F38213E" w:rsidR="001E217F" w:rsidRDefault="001E217F" w:rsidP="006A274A">
      <w:pPr>
        <w:spacing w:before="240"/>
        <w:jc w:val="center"/>
        <w:rPr>
          <w:b/>
        </w:rPr>
      </w:pPr>
      <w:r w:rsidRPr="004E2914">
        <w:rPr>
          <w:b/>
        </w:rPr>
        <w:t xml:space="preserve">PURCHASE </w:t>
      </w:r>
      <w:r w:rsidR="009273DF">
        <w:rPr>
          <w:b/>
        </w:rPr>
        <w:t xml:space="preserve">AND SALE </w:t>
      </w:r>
      <w:r w:rsidRPr="004E2914">
        <w:rPr>
          <w:b/>
        </w:rPr>
        <w:t>AGREEMENT</w:t>
      </w:r>
    </w:p>
    <w:p w14:paraId="46190436" w14:textId="77777777" w:rsidR="001E217F" w:rsidRPr="004E2914" w:rsidRDefault="001E217F" w:rsidP="006A274A">
      <w:pPr>
        <w:spacing w:before="240"/>
        <w:jc w:val="center"/>
        <w:rPr>
          <w:b/>
        </w:rPr>
      </w:pPr>
      <w:r>
        <w:rPr>
          <w:b/>
        </w:rPr>
        <w:t>(ENERGY PUT OPTION)</w:t>
      </w:r>
    </w:p>
    <w:p w14:paraId="48C3586B" w14:textId="77777777" w:rsidR="001E217F" w:rsidRPr="004E2914" w:rsidRDefault="001E217F" w:rsidP="006A274A">
      <w:pPr>
        <w:spacing w:before="240"/>
        <w:jc w:val="center"/>
        <w:rPr>
          <w:i/>
        </w:rPr>
      </w:pPr>
      <w:r w:rsidRPr="004E2914">
        <w:rPr>
          <w:i/>
        </w:rPr>
        <w:t>between</w:t>
      </w:r>
    </w:p>
    <w:p w14:paraId="0923E1AF" w14:textId="70DC06D9" w:rsidR="001E217F" w:rsidRPr="004E2914" w:rsidRDefault="001E217F" w:rsidP="006A274A">
      <w:pPr>
        <w:spacing w:before="240"/>
        <w:jc w:val="center"/>
        <w:rPr>
          <w:b/>
        </w:rPr>
      </w:pPr>
      <w:r w:rsidRPr="004E2914">
        <w:rPr>
          <w:b/>
        </w:rPr>
        <w:t>SOUTHERN CALIFORNIA EDISON COMPANY</w:t>
      </w:r>
    </w:p>
    <w:p w14:paraId="3F388B87" w14:textId="07D242B8" w:rsidR="00A26DC1" w:rsidRDefault="006A274A" w:rsidP="006A274A">
      <w:pPr>
        <w:spacing w:before="240"/>
        <w:jc w:val="center"/>
        <w:rPr>
          <w:i/>
        </w:rPr>
      </w:pPr>
      <w:r>
        <w:rPr>
          <w:i/>
        </w:rPr>
        <w:t>and</w:t>
      </w:r>
    </w:p>
    <w:p w14:paraId="395E1872" w14:textId="285638AE" w:rsidR="006A274A" w:rsidRPr="00A26DC1" w:rsidRDefault="001E217F" w:rsidP="006A274A">
      <w:pPr>
        <w:spacing w:before="240"/>
        <w:jc w:val="center"/>
        <w:rPr>
          <w:i/>
        </w:rPr>
      </w:pPr>
      <w:r w:rsidRPr="00DB7FE0">
        <w:rPr>
          <w:b/>
          <w:i/>
          <w:color w:val="0000FF"/>
        </w:rPr>
        <w:t>[SELLER]</w:t>
      </w:r>
    </w:p>
    <w:p w14:paraId="530565CC" w14:textId="1032497C" w:rsidR="00700CB2" w:rsidRDefault="001E217F" w:rsidP="00DB7FE0">
      <w:pPr>
        <w:spacing w:before="240"/>
        <w:jc w:val="center"/>
        <w:rPr>
          <w:i/>
        </w:rPr>
      </w:pPr>
      <w:r w:rsidRPr="004E2914">
        <w:rPr>
          <w:i/>
        </w:rPr>
        <w:t>(ID#</w:t>
      </w:r>
      <w:r>
        <w:rPr>
          <w:i/>
        </w:rPr>
        <w:t xml:space="preserve"> </w:t>
      </w:r>
      <w:r w:rsidRPr="006A70AB">
        <w:rPr>
          <w:i/>
          <w:color w:val="0000FF"/>
        </w:rPr>
        <w:t>[Number]</w:t>
      </w:r>
      <w:r w:rsidR="00A26DC1">
        <w:rPr>
          <w:i/>
        </w:rPr>
        <w:t>)</w:t>
      </w:r>
    </w:p>
    <w:p w14:paraId="1A9C97F8" w14:textId="521D4EB5" w:rsidR="00BC743C" w:rsidRDefault="00BC743C" w:rsidP="00DB7FE0">
      <w:pPr>
        <w:spacing w:before="240"/>
        <w:jc w:val="center"/>
      </w:pPr>
    </w:p>
    <w:p w14:paraId="226D31D4" w14:textId="77777777" w:rsidR="00BC743C" w:rsidRPr="0027789B" w:rsidRDefault="00BC743C" w:rsidP="00DB7FE0">
      <w:pPr>
        <w:spacing w:before="240"/>
        <w:jc w:val="center"/>
        <w:sectPr w:rsidR="00BC743C" w:rsidRPr="0027789B" w:rsidSect="0068413C">
          <w:headerReference w:type="default" r:id="rId12"/>
          <w:footerReference w:type="default" r:id="rId13"/>
          <w:pgSz w:w="12240" w:h="15840" w:code="1"/>
          <w:pgMar w:top="1440" w:right="1440" w:bottom="1440" w:left="1440" w:header="720" w:footer="720" w:gutter="0"/>
          <w:pgNumType w:fmt="lowerRoman"/>
          <w:cols w:space="720"/>
          <w:titlePg/>
          <w:docGrid w:linePitch="360"/>
        </w:sectPr>
      </w:pPr>
    </w:p>
    <w:p w14:paraId="4DEBC05E" w14:textId="77777777" w:rsidR="000B389D" w:rsidRDefault="0089176A" w:rsidP="00DD474F">
      <w:pPr>
        <w:pStyle w:val="TOC1"/>
        <w:rPr>
          <w:rFonts w:asciiTheme="minorHAnsi" w:hAnsiTheme="minorHAnsi" w:cstheme="minorBidi"/>
          <w:noProof/>
          <w:sz w:val="22"/>
          <w:szCs w:val="22"/>
        </w:rPr>
      </w:pPr>
      <w:r w:rsidRPr="0027789B">
        <w:rPr>
          <w:noProof/>
        </w:rPr>
        <w:lastRenderedPageBreak/>
        <w:fldChar w:fldCharType="begin"/>
      </w:r>
      <w:r w:rsidRPr="0027789B">
        <w:instrText xml:space="preserve"> TOC \o "1-2" \h \z \u </w:instrText>
      </w:r>
      <w:r w:rsidRPr="0027789B">
        <w:rPr>
          <w:noProof/>
        </w:rPr>
        <w:fldChar w:fldCharType="separate"/>
      </w:r>
      <w:hyperlink w:anchor="_Toc510788214" w:history="1">
        <w:r w:rsidR="000B389D" w:rsidRPr="009437F9">
          <w:rPr>
            <w:rStyle w:val="Hyperlink"/>
            <w:noProof/>
          </w:rPr>
          <w:t>ARTICLE 1.</w:t>
        </w:r>
        <w:r w:rsidR="000B389D">
          <w:rPr>
            <w:rFonts w:asciiTheme="minorHAnsi" w:hAnsiTheme="minorHAnsi" w:cstheme="minorBidi"/>
            <w:noProof/>
            <w:sz w:val="22"/>
            <w:szCs w:val="22"/>
          </w:rPr>
          <w:tab/>
        </w:r>
        <w:r w:rsidR="000B389D" w:rsidRPr="009437F9">
          <w:rPr>
            <w:rStyle w:val="Hyperlink"/>
            <w:noProof/>
          </w:rPr>
          <w:t>PURCHASE AND SALE OF PRODUCT</w:t>
        </w:r>
        <w:r w:rsidR="000B389D">
          <w:rPr>
            <w:noProof/>
            <w:webHidden/>
          </w:rPr>
          <w:tab/>
        </w:r>
        <w:r w:rsidR="000B389D">
          <w:rPr>
            <w:noProof/>
            <w:webHidden/>
          </w:rPr>
          <w:fldChar w:fldCharType="begin"/>
        </w:r>
        <w:r w:rsidR="000B389D">
          <w:rPr>
            <w:noProof/>
            <w:webHidden/>
          </w:rPr>
          <w:instrText xml:space="preserve"> PAGEREF _Toc510788214 \h </w:instrText>
        </w:r>
        <w:r w:rsidR="000B389D">
          <w:rPr>
            <w:noProof/>
            <w:webHidden/>
          </w:rPr>
        </w:r>
        <w:r w:rsidR="000B389D">
          <w:rPr>
            <w:noProof/>
            <w:webHidden/>
          </w:rPr>
          <w:fldChar w:fldCharType="separate"/>
        </w:r>
        <w:r w:rsidR="000B389D">
          <w:rPr>
            <w:noProof/>
            <w:webHidden/>
          </w:rPr>
          <w:t>1</w:t>
        </w:r>
        <w:r w:rsidR="000B389D">
          <w:rPr>
            <w:noProof/>
            <w:webHidden/>
          </w:rPr>
          <w:fldChar w:fldCharType="end"/>
        </w:r>
      </w:hyperlink>
    </w:p>
    <w:p w14:paraId="683FC078" w14:textId="77777777" w:rsidR="000B389D" w:rsidRDefault="00D700F7">
      <w:pPr>
        <w:pStyle w:val="TOC2"/>
        <w:rPr>
          <w:rFonts w:asciiTheme="minorHAnsi" w:eastAsiaTheme="minorEastAsia" w:hAnsiTheme="minorHAnsi" w:cstheme="minorBidi"/>
          <w:noProof/>
          <w:sz w:val="22"/>
          <w:szCs w:val="22"/>
        </w:rPr>
      </w:pPr>
      <w:hyperlink w:anchor="_Toc510788215" w:history="1">
        <w:r w:rsidR="000B389D" w:rsidRPr="009437F9">
          <w:rPr>
            <w:rStyle w:val="Hyperlink"/>
            <w:noProof/>
          </w:rPr>
          <w:t>1.01</w:t>
        </w:r>
        <w:r w:rsidR="000B389D">
          <w:rPr>
            <w:rFonts w:asciiTheme="minorHAnsi" w:eastAsiaTheme="minorEastAsia" w:hAnsiTheme="minorHAnsi" w:cstheme="minorBidi"/>
            <w:noProof/>
            <w:sz w:val="22"/>
            <w:szCs w:val="22"/>
          </w:rPr>
          <w:tab/>
        </w:r>
        <w:r w:rsidR="000B389D" w:rsidRPr="009437F9">
          <w:rPr>
            <w:rStyle w:val="Hyperlink"/>
            <w:noProof/>
          </w:rPr>
          <w:t>Product.</w:t>
        </w:r>
        <w:r w:rsidR="000B389D">
          <w:rPr>
            <w:noProof/>
            <w:webHidden/>
          </w:rPr>
          <w:tab/>
        </w:r>
        <w:r w:rsidR="000B389D">
          <w:rPr>
            <w:noProof/>
            <w:webHidden/>
          </w:rPr>
          <w:fldChar w:fldCharType="begin"/>
        </w:r>
        <w:r w:rsidR="000B389D">
          <w:rPr>
            <w:noProof/>
            <w:webHidden/>
          </w:rPr>
          <w:instrText xml:space="preserve"> PAGEREF _Toc510788215 \h </w:instrText>
        </w:r>
        <w:r w:rsidR="000B389D">
          <w:rPr>
            <w:noProof/>
            <w:webHidden/>
          </w:rPr>
        </w:r>
        <w:r w:rsidR="000B389D">
          <w:rPr>
            <w:noProof/>
            <w:webHidden/>
          </w:rPr>
          <w:fldChar w:fldCharType="separate"/>
        </w:r>
        <w:r w:rsidR="000B389D">
          <w:rPr>
            <w:noProof/>
            <w:webHidden/>
          </w:rPr>
          <w:t>1</w:t>
        </w:r>
        <w:r w:rsidR="000B389D">
          <w:rPr>
            <w:noProof/>
            <w:webHidden/>
          </w:rPr>
          <w:fldChar w:fldCharType="end"/>
        </w:r>
      </w:hyperlink>
    </w:p>
    <w:p w14:paraId="70C7B221" w14:textId="77777777" w:rsidR="000B389D" w:rsidRDefault="00D700F7">
      <w:pPr>
        <w:pStyle w:val="TOC2"/>
        <w:rPr>
          <w:rFonts w:asciiTheme="minorHAnsi" w:eastAsiaTheme="minorEastAsia" w:hAnsiTheme="minorHAnsi" w:cstheme="minorBidi"/>
          <w:noProof/>
          <w:sz w:val="22"/>
          <w:szCs w:val="22"/>
        </w:rPr>
      </w:pPr>
      <w:hyperlink w:anchor="_Toc510788216" w:history="1">
        <w:r w:rsidR="000B389D" w:rsidRPr="009437F9">
          <w:rPr>
            <w:rStyle w:val="Hyperlink"/>
            <w:noProof/>
          </w:rPr>
          <w:t>1.02</w:t>
        </w:r>
        <w:r w:rsidR="000B389D">
          <w:rPr>
            <w:rFonts w:asciiTheme="minorHAnsi" w:eastAsiaTheme="minorEastAsia" w:hAnsiTheme="minorHAnsi" w:cstheme="minorBidi"/>
            <w:noProof/>
            <w:sz w:val="22"/>
            <w:szCs w:val="22"/>
          </w:rPr>
          <w:tab/>
        </w:r>
        <w:r w:rsidR="000B389D" w:rsidRPr="009437F9">
          <w:rPr>
            <w:rStyle w:val="Hyperlink"/>
            <w:noProof/>
          </w:rPr>
          <w:t>Project.</w:t>
        </w:r>
        <w:r w:rsidR="000B389D">
          <w:rPr>
            <w:noProof/>
            <w:webHidden/>
          </w:rPr>
          <w:tab/>
        </w:r>
        <w:r w:rsidR="000B389D">
          <w:rPr>
            <w:noProof/>
            <w:webHidden/>
          </w:rPr>
          <w:fldChar w:fldCharType="begin"/>
        </w:r>
        <w:r w:rsidR="000B389D">
          <w:rPr>
            <w:noProof/>
            <w:webHidden/>
          </w:rPr>
          <w:instrText xml:space="preserve"> PAGEREF _Toc510788216 \h </w:instrText>
        </w:r>
        <w:r w:rsidR="000B389D">
          <w:rPr>
            <w:noProof/>
            <w:webHidden/>
          </w:rPr>
        </w:r>
        <w:r w:rsidR="000B389D">
          <w:rPr>
            <w:noProof/>
            <w:webHidden/>
          </w:rPr>
          <w:fldChar w:fldCharType="separate"/>
        </w:r>
        <w:r w:rsidR="000B389D">
          <w:rPr>
            <w:noProof/>
            <w:webHidden/>
          </w:rPr>
          <w:t>2</w:t>
        </w:r>
        <w:r w:rsidR="000B389D">
          <w:rPr>
            <w:noProof/>
            <w:webHidden/>
          </w:rPr>
          <w:fldChar w:fldCharType="end"/>
        </w:r>
      </w:hyperlink>
    </w:p>
    <w:p w14:paraId="38098377" w14:textId="77777777" w:rsidR="000B389D" w:rsidRDefault="00D700F7">
      <w:pPr>
        <w:pStyle w:val="TOC2"/>
        <w:rPr>
          <w:rFonts w:asciiTheme="minorHAnsi" w:eastAsiaTheme="minorEastAsia" w:hAnsiTheme="minorHAnsi" w:cstheme="minorBidi"/>
          <w:noProof/>
          <w:sz w:val="22"/>
          <w:szCs w:val="22"/>
        </w:rPr>
      </w:pPr>
      <w:hyperlink w:anchor="_Toc510788217" w:history="1">
        <w:r w:rsidR="000B389D" w:rsidRPr="009437F9">
          <w:rPr>
            <w:rStyle w:val="Hyperlink"/>
            <w:noProof/>
          </w:rPr>
          <w:t>1.03</w:t>
        </w:r>
        <w:r w:rsidR="000B389D">
          <w:rPr>
            <w:rFonts w:asciiTheme="minorHAnsi" w:eastAsiaTheme="minorEastAsia" w:hAnsiTheme="minorHAnsi" w:cstheme="minorBidi"/>
            <w:noProof/>
            <w:sz w:val="22"/>
            <w:szCs w:val="22"/>
          </w:rPr>
          <w:tab/>
        </w:r>
        <w:r w:rsidR="000B389D" w:rsidRPr="009437F9">
          <w:rPr>
            <w:rStyle w:val="Hyperlink"/>
            <w:noProof/>
          </w:rPr>
          <w:t>Capacity.</w:t>
        </w:r>
        <w:r w:rsidR="000B389D">
          <w:rPr>
            <w:noProof/>
            <w:webHidden/>
          </w:rPr>
          <w:tab/>
        </w:r>
        <w:r w:rsidR="000B389D">
          <w:rPr>
            <w:noProof/>
            <w:webHidden/>
          </w:rPr>
          <w:fldChar w:fldCharType="begin"/>
        </w:r>
        <w:r w:rsidR="000B389D">
          <w:rPr>
            <w:noProof/>
            <w:webHidden/>
          </w:rPr>
          <w:instrText xml:space="preserve"> PAGEREF _Toc510788217 \h </w:instrText>
        </w:r>
        <w:r w:rsidR="000B389D">
          <w:rPr>
            <w:noProof/>
            <w:webHidden/>
          </w:rPr>
        </w:r>
        <w:r w:rsidR="000B389D">
          <w:rPr>
            <w:noProof/>
            <w:webHidden/>
          </w:rPr>
          <w:fldChar w:fldCharType="separate"/>
        </w:r>
        <w:r w:rsidR="000B389D">
          <w:rPr>
            <w:noProof/>
            <w:webHidden/>
          </w:rPr>
          <w:t>3</w:t>
        </w:r>
        <w:r w:rsidR="000B389D">
          <w:rPr>
            <w:noProof/>
            <w:webHidden/>
          </w:rPr>
          <w:fldChar w:fldCharType="end"/>
        </w:r>
      </w:hyperlink>
    </w:p>
    <w:p w14:paraId="60054039" w14:textId="77777777" w:rsidR="000B389D" w:rsidRDefault="00D700F7">
      <w:pPr>
        <w:pStyle w:val="TOC2"/>
        <w:rPr>
          <w:rFonts w:asciiTheme="minorHAnsi" w:eastAsiaTheme="minorEastAsia" w:hAnsiTheme="minorHAnsi" w:cstheme="minorBidi"/>
          <w:noProof/>
          <w:sz w:val="22"/>
          <w:szCs w:val="22"/>
        </w:rPr>
      </w:pPr>
      <w:hyperlink w:anchor="_Toc510788218" w:history="1">
        <w:r w:rsidR="000B389D" w:rsidRPr="009437F9">
          <w:rPr>
            <w:rStyle w:val="Hyperlink"/>
            <w:noProof/>
          </w:rPr>
          <w:t>1.04</w:t>
        </w:r>
        <w:r w:rsidR="000B389D">
          <w:rPr>
            <w:rFonts w:asciiTheme="minorHAnsi" w:eastAsiaTheme="minorEastAsia" w:hAnsiTheme="minorHAnsi" w:cstheme="minorBidi"/>
            <w:noProof/>
            <w:sz w:val="22"/>
            <w:szCs w:val="22"/>
          </w:rPr>
          <w:tab/>
        </w:r>
        <w:r w:rsidR="000B389D" w:rsidRPr="009437F9">
          <w:rPr>
            <w:rStyle w:val="Hyperlink"/>
            <w:noProof/>
          </w:rPr>
          <w:t>Monthly Capacity Price.</w:t>
        </w:r>
        <w:r w:rsidR="000B389D">
          <w:rPr>
            <w:noProof/>
            <w:webHidden/>
          </w:rPr>
          <w:tab/>
        </w:r>
        <w:r w:rsidR="000B389D">
          <w:rPr>
            <w:noProof/>
            <w:webHidden/>
          </w:rPr>
          <w:fldChar w:fldCharType="begin"/>
        </w:r>
        <w:r w:rsidR="000B389D">
          <w:rPr>
            <w:noProof/>
            <w:webHidden/>
          </w:rPr>
          <w:instrText xml:space="preserve"> PAGEREF _Toc510788218 \h </w:instrText>
        </w:r>
        <w:r w:rsidR="000B389D">
          <w:rPr>
            <w:noProof/>
            <w:webHidden/>
          </w:rPr>
        </w:r>
        <w:r w:rsidR="000B389D">
          <w:rPr>
            <w:noProof/>
            <w:webHidden/>
          </w:rPr>
          <w:fldChar w:fldCharType="separate"/>
        </w:r>
        <w:r w:rsidR="000B389D">
          <w:rPr>
            <w:noProof/>
            <w:webHidden/>
          </w:rPr>
          <w:t>3</w:t>
        </w:r>
        <w:r w:rsidR="000B389D">
          <w:rPr>
            <w:noProof/>
            <w:webHidden/>
          </w:rPr>
          <w:fldChar w:fldCharType="end"/>
        </w:r>
      </w:hyperlink>
    </w:p>
    <w:p w14:paraId="447DBC4C" w14:textId="77777777" w:rsidR="000B389D" w:rsidRDefault="00D700F7">
      <w:pPr>
        <w:pStyle w:val="TOC2"/>
        <w:rPr>
          <w:rFonts w:asciiTheme="minorHAnsi" w:eastAsiaTheme="minorEastAsia" w:hAnsiTheme="minorHAnsi" w:cstheme="minorBidi"/>
          <w:noProof/>
          <w:sz w:val="22"/>
          <w:szCs w:val="22"/>
        </w:rPr>
      </w:pPr>
      <w:hyperlink w:anchor="_Toc510788219" w:history="1">
        <w:r w:rsidR="000B389D" w:rsidRPr="009437F9">
          <w:rPr>
            <w:rStyle w:val="Hyperlink"/>
            <w:noProof/>
          </w:rPr>
          <w:t>1.05</w:t>
        </w:r>
        <w:r w:rsidR="000B389D">
          <w:rPr>
            <w:rFonts w:asciiTheme="minorHAnsi" w:eastAsiaTheme="minorEastAsia" w:hAnsiTheme="minorHAnsi" w:cstheme="minorBidi"/>
            <w:noProof/>
            <w:sz w:val="22"/>
            <w:szCs w:val="22"/>
          </w:rPr>
          <w:tab/>
        </w:r>
        <w:r w:rsidR="000B389D" w:rsidRPr="009437F9">
          <w:rPr>
            <w:rStyle w:val="Hyperlink"/>
            <w:noProof/>
          </w:rPr>
          <w:t>Exclusive Rights.</w:t>
        </w:r>
        <w:r w:rsidR="000B389D">
          <w:rPr>
            <w:noProof/>
            <w:webHidden/>
          </w:rPr>
          <w:tab/>
        </w:r>
        <w:r w:rsidR="000B389D">
          <w:rPr>
            <w:noProof/>
            <w:webHidden/>
          </w:rPr>
          <w:fldChar w:fldCharType="begin"/>
        </w:r>
        <w:r w:rsidR="000B389D">
          <w:rPr>
            <w:noProof/>
            <w:webHidden/>
          </w:rPr>
          <w:instrText xml:space="preserve"> PAGEREF _Toc510788219 \h </w:instrText>
        </w:r>
        <w:r w:rsidR="000B389D">
          <w:rPr>
            <w:noProof/>
            <w:webHidden/>
          </w:rPr>
        </w:r>
        <w:r w:rsidR="000B389D">
          <w:rPr>
            <w:noProof/>
            <w:webHidden/>
          </w:rPr>
          <w:fldChar w:fldCharType="separate"/>
        </w:r>
        <w:r w:rsidR="000B389D">
          <w:rPr>
            <w:noProof/>
            <w:webHidden/>
          </w:rPr>
          <w:t>4</w:t>
        </w:r>
        <w:r w:rsidR="000B389D">
          <w:rPr>
            <w:noProof/>
            <w:webHidden/>
          </w:rPr>
          <w:fldChar w:fldCharType="end"/>
        </w:r>
      </w:hyperlink>
    </w:p>
    <w:p w14:paraId="26AD9789" w14:textId="77777777" w:rsidR="000B389D" w:rsidRDefault="00D700F7">
      <w:pPr>
        <w:pStyle w:val="TOC2"/>
        <w:rPr>
          <w:rFonts w:asciiTheme="minorHAnsi" w:eastAsiaTheme="minorEastAsia" w:hAnsiTheme="minorHAnsi" w:cstheme="minorBidi"/>
          <w:noProof/>
          <w:sz w:val="22"/>
          <w:szCs w:val="22"/>
        </w:rPr>
      </w:pPr>
      <w:hyperlink w:anchor="_Toc510788220" w:history="1">
        <w:r w:rsidR="000B389D" w:rsidRPr="009437F9">
          <w:rPr>
            <w:rStyle w:val="Hyperlink"/>
            <w:noProof/>
          </w:rPr>
          <w:t>1.06</w:t>
        </w:r>
        <w:r w:rsidR="000B389D">
          <w:rPr>
            <w:rFonts w:asciiTheme="minorHAnsi" w:eastAsiaTheme="minorEastAsia" w:hAnsiTheme="minorHAnsi" w:cstheme="minorBidi"/>
            <w:noProof/>
            <w:sz w:val="22"/>
            <w:szCs w:val="22"/>
          </w:rPr>
          <w:tab/>
        </w:r>
        <w:r w:rsidR="000B389D" w:rsidRPr="009437F9">
          <w:rPr>
            <w:rStyle w:val="Hyperlink"/>
            <w:noProof/>
          </w:rPr>
          <w:t>SCE’s Re-Sale of Product.</w:t>
        </w:r>
        <w:r w:rsidR="000B389D">
          <w:rPr>
            <w:noProof/>
            <w:webHidden/>
          </w:rPr>
          <w:tab/>
        </w:r>
        <w:r w:rsidR="000B389D">
          <w:rPr>
            <w:noProof/>
            <w:webHidden/>
          </w:rPr>
          <w:fldChar w:fldCharType="begin"/>
        </w:r>
        <w:r w:rsidR="000B389D">
          <w:rPr>
            <w:noProof/>
            <w:webHidden/>
          </w:rPr>
          <w:instrText xml:space="preserve"> PAGEREF _Toc510788220 \h </w:instrText>
        </w:r>
        <w:r w:rsidR="000B389D">
          <w:rPr>
            <w:noProof/>
            <w:webHidden/>
          </w:rPr>
        </w:r>
        <w:r w:rsidR="000B389D">
          <w:rPr>
            <w:noProof/>
            <w:webHidden/>
          </w:rPr>
          <w:fldChar w:fldCharType="separate"/>
        </w:r>
        <w:r w:rsidR="000B389D">
          <w:rPr>
            <w:noProof/>
            <w:webHidden/>
          </w:rPr>
          <w:t>4</w:t>
        </w:r>
        <w:r w:rsidR="000B389D">
          <w:rPr>
            <w:noProof/>
            <w:webHidden/>
          </w:rPr>
          <w:fldChar w:fldCharType="end"/>
        </w:r>
      </w:hyperlink>
    </w:p>
    <w:p w14:paraId="6C9B3A22" w14:textId="77777777" w:rsidR="000B389D" w:rsidRDefault="00D700F7" w:rsidP="00DD474F">
      <w:pPr>
        <w:pStyle w:val="TOC1"/>
        <w:rPr>
          <w:rFonts w:asciiTheme="minorHAnsi" w:hAnsiTheme="minorHAnsi" w:cstheme="minorBidi"/>
          <w:noProof/>
          <w:sz w:val="22"/>
          <w:szCs w:val="22"/>
        </w:rPr>
      </w:pPr>
      <w:hyperlink w:anchor="_Toc510788221" w:history="1">
        <w:r w:rsidR="000B389D" w:rsidRPr="009437F9">
          <w:rPr>
            <w:rStyle w:val="Hyperlink"/>
            <w:noProof/>
          </w:rPr>
          <w:t>ARTICLE 2.</w:t>
        </w:r>
        <w:r w:rsidR="000B389D">
          <w:rPr>
            <w:rFonts w:asciiTheme="minorHAnsi" w:hAnsiTheme="minorHAnsi" w:cstheme="minorBidi"/>
            <w:noProof/>
            <w:sz w:val="22"/>
            <w:szCs w:val="22"/>
          </w:rPr>
          <w:tab/>
        </w:r>
        <w:r w:rsidR="000B389D" w:rsidRPr="009437F9">
          <w:rPr>
            <w:rStyle w:val="Hyperlink"/>
            <w:noProof/>
          </w:rPr>
          <w:t>TERM AND DELIVERY PERIOD</w:t>
        </w:r>
        <w:r w:rsidR="000B389D">
          <w:rPr>
            <w:noProof/>
            <w:webHidden/>
          </w:rPr>
          <w:tab/>
        </w:r>
        <w:r w:rsidR="000B389D">
          <w:rPr>
            <w:noProof/>
            <w:webHidden/>
          </w:rPr>
          <w:fldChar w:fldCharType="begin"/>
        </w:r>
        <w:r w:rsidR="000B389D">
          <w:rPr>
            <w:noProof/>
            <w:webHidden/>
          </w:rPr>
          <w:instrText xml:space="preserve"> PAGEREF _Toc510788221 \h </w:instrText>
        </w:r>
        <w:r w:rsidR="000B389D">
          <w:rPr>
            <w:noProof/>
            <w:webHidden/>
          </w:rPr>
        </w:r>
        <w:r w:rsidR="000B389D">
          <w:rPr>
            <w:noProof/>
            <w:webHidden/>
          </w:rPr>
          <w:fldChar w:fldCharType="separate"/>
        </w:r>
        <w:r w:rsidR="000B389D">
          <w:rPr>
            <w:noProof/>
            <w:webHidden/>
          </w:rPr>
          <w:t>5</w:t>
        </w:r>
        <w:r w:rsidR="000B389D">
          <w:rPr>
            <w:noProof/>
            <w:webHidden/>
          </w:rPr>
          <w:fldChar w:fldCharType="end"/>
        </w:r>
      </w:hyperlink>
    </w:p>
    <w:p w14:paraId="1A12229D" w14:textId="77777777" w:rsidR="000B389D" w:rsidRDefault="00D700F7">
      <w:pPr>
        <w:pStyle w:val="TOC2"/>
        <w:rPr>
          <w:rFonts w:asciiTheme="minorHAnsi" w:eastAsiaTheme="minorEastAsia" w:hAnsiTheme="minorHAnsi" w:cstheme="minorBidi"/>
          <w:noProof/>
          <w:sz w:val="22"/>
          <w:szCs w:val="22"/>
        </w:rPr>
      </w:pPr>
      <w:hyperlink w:anchor="_Toc510788222" w:history="1">
        <w:r w:rsidR="000B389D" w:rsidRPr="009437F9">
          <w:rPr>
            <w:rStyle w:val="Hyperlink"/>
            <w:noProof/>
          </w:rPr>
          <w:t>2.01</w:t>
        </w:r>
        <w:r w:rsidR="000B389D">
          <w:rPr>
            <w:rFonts w:asciiTheme="minorHAnsi" w:eastAsiaTheme="minorEastAsia" w:hAnsiTheme="minorHAnsi" w:cstheme="minorBidi"/>
            <w:noProof/>
            <w:sz w:val="22"/>
            <w:szCs w:val="22"/>
          </w:rPr>
          <w:tab/>
        </w:r>
        <w:r w:rsidR="000B389D" w:rsidRPr="009437F9">
          <w:rPr>
            <w:rStyle w:val="Hyperlink"/>
            <w:noProof/>
          </w:rPr>
          <w:t>Term.</w:t>
        </w:r>
        <w:r w:rsidR="000B389D">
          <w:rPr>
            <w:noProof/>
            <w:webHidden/>
          </w:rPr>
          <w:tab/>
        </w:r>
        <w:r w:rsidR="000B389D">
          <w:rPr>
            <w:noProof/>
            <w:webHidden/>
          </w:rPr>
          <w:fldChar w:fldCharType="begin"/>
        </w:r>
        <w:r w:rsidR="000B389D">
          <w:rPr>
            <w:noProof/>
            <w:webHidden/>
          </w:rPr>
          <w:instrText xml:space="preserve"> PAGEREF _Toc510788222 \h </w:instrText>
        </w:r>
        <w:r w:rsidR="000B389D">
          <w:rPr>
            <w:noProof/>
            <w:webHidden/>
          </w:rPr>
        </w:r>
        <w:r w:rsidR="000B389D">
          <w:rPr>
            <w:noProof/>
            <w:webHidden/>
          </w:rPr>
          <w:fldChar w:fldCharType="separate"/>
        </w:r>
        <w:r w:rsidR="000B389D">
          <w:rPr>
            <w:noProof/>
            <w:webHidden/>
          </w:rPr>
          <w:t>5</w:t>
        </w:r>
        <w:r w:rsidR="000B389D">
          <w:rPr>
            <w:noProof/>
            <w:webHidden/>
          </w:rPr>
          <w:fldChar w:fldCharType="end"/>
        </w:r>
      </w:hyperlink>
    </w:p>
    <w:p w14:paraId="44C6A90B" w14:textId="77777777" w:rsidR="000B389D" w:rsidRDefault="00D700F7">
      <w:pPr>
        <w:pStyle w:val="TOC2"/>
        <w:rPr>
          <w:rFonts w:asciiTheme="minorHAnsi" w:eastAsiaTheme="minorEastAsia" w:hAnsiTheme="minorHAnsi" w:cstheme="minorBidi"/>
          <w:noProof/>
          <w:sz w:val="22"/>
          <w:szCs w:val="22"/>
        </w:rPr>
      </w:pPr>
      <w:hyperlink w:anchor="_Toc510788223" w:history="1">
        <w:r w:rsidR="000B389D" w:rsidRPr="009437F9">
          <w:rPr>
            <w:rStyle w:val="Hyperlink"/>
            <w:noProof/>
          </w:rPr>
          <w:t>2.02</w:t>
        </w:r>
        <w:r w:rsidR="000B389D">
          <w:rPr>
            <w:rFonts w:asciiTheme="minorHAnsi" w:eastAsiaTheme="minorEastAsia" w:hAnsiTheme="minorHAnsi" w:cstheme="minorBidi"/>
            <w:noProof/>
            <w:sz w:val="22"/>
            <w:szCs w:val="22"/>
          </w:rPr>
          <w:tab/>
        </w:r>
        <w:r w:rsidR="000B389D" w:rsidRPr="009437F9">
          <w:rPr>
            <w:rStyle w:val="Hyperlink"/>
            <w:noProof/>
          </w:rPr>
          <w:t>Delivery Period.</w:t>
        </w:r>
        <w:r w:rsidR="000B389D">
          <w:rPr>
            <w:noProof/>
            <w:webHidden/>
          </w:rPr>
          <w:tab/>
        </w:r>
        <w:r w:rsidR="000B389D">
          <w:rPr>
            <w:noProof/>
            <w:webHidden/>
          </w:rPr>
          <w:fldChar w:fldCharType="begin"/>
        </w:r>
        <w:r w:rsidR="000B389D">
          <w:rPr>
            <w:noProof/>
            <w:webHidden/>
          </w:rPr>
          <w:instrText xml:space="preserve"> PAGEREF _Toc510788223 \h </w:instrText>
        </w:r>
        <w:r w:rsidR="000B389D">
          <w:rPr>
            <w:noProof/>
            <w:webHidden/>
          </w:rPr>
        </w:r>
        <w:r w:rsidR="000B389D">
          <w:rPr>
            <w:noProof/>
            <w:webHidden/>
          </w:rPr>
          <w:fldChar w:fldCharType="separate"/>
        </w:r>
        <w:r w:rsidR="000B389D">
          <w:rPr>
            <w:noProof/>
            <w:webHidden/>
          </w:rPr>
          <w:t>5</w:t>
        </w:r>
        <w:r w:rsidR="000B389D">
          <w:rPr>
            <w:noProof/>
            <w:webHidden/>
          </w:rPr>
          <w:fldChar w:fldCharType="end"/>
        </w:r>
      </w:hyperlink>
    </w:p>
    <w:p w14:paraId="144FD3D4" w14:textId="77777777" w:rsidR="000B389D" w:rsidRDefault="00D700F7">
      <w:pPr>
        <w:pStyle w:val="TOC2"/>
        <w:rPr>
          <w:rFonts w:asciiTheme="minorHAnsi" w:eastAsiaTheme="minorEastAsia" w:hAnsiTheme="minorHAnsi" w:cstheme="minorBidi"/>
          <w:noProof/>
          <w:sz w:val="22"/>
          <w:szCs w:val="22"/>
        </w:rPr>
      </w:pPr>
      <w:hyperlink w:anchor="_Toc510788224" w:history="1">
        <w:r w:rsidR="000B389D" w:rsidRPr="009437F9">
          <w:rPr>
            <w:rStyle w:val="Hyperlink"/>
            <w:noProof/>
          </w:rPr>
          <w:t>2.03</w:t>
        </w:r>
        <w:r w:rsidR="000B389D">
          <w:rPr>
            <w:rFonts w:asciiTheme="minorHAnsi" w:eastAsiaTheme="minorEastAsia" w:hAnsiTheme="minorHAnsi" w:cstheme="minorBidi"/>
            <w:noProof/>
            <w:sz w:val="22"/>
            <w:szCs w:val="22"/>
          </w:rPr>
          <w:tab/>
        </w:r>
        <w:r w:rsidR="000B389D" w:rsidRPr="009437F9">
          <w:rPr>
            <w:rStyle w:val="Hyperlink"/>
            <w:noProof/>
          </w:rPr>
          <w:t>Expected Initial Delivery Date.</w:t>
        </w:r>
        <w:r w:rsidR="000B389D">
          <w:rPr>
            <w:noProof/>
            <w:webHidden/>
          </w:rPr>
          <w:tab/>
        </w:r>
        <w:r w:rsidR="000B389D">
          <w:rPr>
            <w:noProof/>
            <w:webHidden/>
          </w:rPr>
          <w:fldChar w:fldCharType="begin"/>
        </w:r>
        <w:r w:rsidR="000B389D">
          <w:rPr>
            <w:noProof/>
            <w:webHidden/>
          </w:rPr>
          <w:instrText xml:space="preserve"> PAGEREF _Toc510788224 \h </w:instrText>
        </w:r>
        <w:r w:rsidR="000B389D">
          <w:rPr>
            <w:noProof/>
            <w:webHidden/>
          </w:rPr>
        </w:r>
        <w:r w:rsidR="000B389D">
          <w:rPr>
            <w:noProof/>
            <w:webHidden/>
          </w:rPr>
          <w:fldChar w:fldCharType="separate"/>
        </w:r>
        <w:r w:rsidR="000B389D">
          <w:rPr>
            <w:noProof/>
            <w:webHidden/>
          </w:rPr>
          <w:t>5</w:t>
        </w:r>
        <w:r w:rsidR="000B389D">
          <w:rPr>
            <w:noProof/>
            <w:webHidden/>
          </w:rPr>
          <w:fldChar w:fldCharType="end"/>
        </w:r>
      </w:hyperlink>
    </w:p>
    <w:p w14:paraId="557E34C5" w14:textId="77777777" w:rsidR="000B389D" w:rsidRDefault="00D700F7">
      <w:pPr>
        <w:pStyle w:val="TOC2"/>
        <w:rPr>
          <w:rFonts w:asciiTheme="minorHAnsi" w:eastAsiaTheme="minorEastAsia" w:hAnsiTheme="minorHAnsi" w:cstheme="minorBidi"/>
          <w:noProof/>
          <w:sz w:val="22"/>
          <w:szCs w:val="22"/>
        </w:rPr>
      </w:pPr>
      <w:hyperlink w:anchor="_Toc510788225" w:history="1">
        <w:r w:rsidR="000B389D" w:rsidRPr="009437F9">
          <w:rPr>
            <w:rStyle w:val="Hyperlink"/>
            <w:noProof/>
          </w:rPr>
          <w:t>2.04</w:t>
        </w:r>
        <w:r w:rsidR="000B389D">
          <w:rPr>
            <w:rFonts w:asciiTheme="minorHAnsi" w:eastAsiaTheme="minorEastAsia" w:hAnsiTheme="minorHAnsi" w:cstheme="minorBidi"/>
            <w:noProof/>
            <w:sz w:val="22"/>
            <w:szCs w:val="22"/>
          </w:rPr>
          <w:tab/>
        </w:r>
        <w:r w:rsidR="000B389D" w:rsidRPr="009437F9">
          <w:rPr>
            <w:rStyle w:val="Hyperlink"/>
            <w:noProof/>
          </w:rPr>
          <w:t>Initial Delivery Date.</w:t>
        </w:r>
        <w:r w:rsidR="000B389D">
          <w:rPr>
            <w:noProof/>
            <w:webHidden/>
          </w:rPr>
          <w:tab/>
        </w:r>
        <w:r w:rsidR="000B389D">
          <w:rPr>
            <w:noProof/>
            <w:webHidden/>
          </w:rPr>
          <w:fldChar w:fldCharType="begin"/>
        </w:r>
        <w:r w:rsidR="000B389D">
          <w:rPr>
            <w:noProof/>
            <w:webHidden/>
          </w:rPr>
          <w:instrText xml:space="preserve"> PAGEREF _Toc510788225 \h </w:instrText>
        </w:r>
        <w:r w:rsidR="000B389D">
          <w:rPr>
            <w:noProof/>
            <w:webHidden/>
          </w:rPr>
        </w:r>
        <w:r w:rsidR="000B389D">
          <w:rPr>
            <w:noProof/>
            <w:webHidden/>
          </w:rPr>
          <w:fldChar w:fldCharType="separate"/>
        </w:r>
        <w:r w:rsidR="000B389D">
          <w:rPr>
            <w:noProof/>
            <w:webHidden/>
          </w:rPr>
          <w:t>6</w:t>
        </w:r>
        <w:r w:rsidR="000B389D">
          <w:rPr>
            <w:noProof/>
            <w:webHidden/>
          </w:rPr>
          <w:fldChar w:fldCharType="end"/>
        </w:r>
      </w:hyperlink>
    </w:p>
    <w:p w14:paraId="65BB51B7" w14:textId="77777777" w:rsidR="000B389D" w:rsidRDefault="00D700F7">
      <w:pPr>
        <w:pStyle w:val="TOC2"/>
        <w:rPr>
          <w:rFonts w:asciiTheme="minorHAnsi" w:eastAsiaTheme="minorEastAsia" w:hAnsiTheme="minorHAnsi" w:cstheme="minorBidi"/>
          <w:noProof/>
          <w:sz w:val="22"/>
          <w:szCs w:val="22"/>
        </w:rPr>
      </w:pPr>
      <w:hyperlink w:anchor="_Toc510788226" w:history="1">
        <w:r w:rsidR="000B389D" w:rsidRPr="009437F9">
          <w:rPr>
            <w:rStyle w:val="Hyperlink"/>
            <w:noProof/>
          </w:rPr>
          <w:t>2.05</w:t>
        </w:r>
        <w:r w:rsidR="000B389D">
          <w:rPr>
            <w:rFonts w:asciiTheme="minorHAnsi" w:eastAsiaTheme="minorEastAsia" w:hAnsiTheme="minorHAnsi" w:cstheme="minorBidi"/>
            <w:noProof/>
            <w:sz w:val="22"/>
            <w:szCs w:val="22"/>
          </w:rPr>
          <w:tab/>
        </w:r>
        <w:r w:rsidR="000B389D" w:rsidRPr="009437F9">
          <w:rPr>
            <w:rStyle w:val="Hyperlink"/>
            <w:noProof/>
          </w:rPr>
          <w:t>Initial Delivery Deadline.</w:t>
        </w:r>
        <w:r w:rsidR="000B389D">
          <w:rPr>
            <w:noProof/>
            <w:webHidden/>
          </w:rPr>
          <w:tab/>
        </w:r>
        <w:r w:rsidR="000B389D">
          <w:rPr>
            <w:noProof/>
            <w:webHidden/>
          </w:rPr>
          <w:fldChar w:fldCharType="begin"/>
        </w:r>
        <w:r w:rsidR="000B389D">
          <w:rPr>
            <w:noProof/>
            <w:webHidden/>
          </w:rPr>
          <w:instrText xml:space="preserve"> PAGEREF _Toc510788226 \h </w:instrText>
        </w:r>
        <w:r w:rsidR="000B389D">
          <w:rPr>
            <w:noProof/>
            <w:webHidden/>
          </w:rPr>
        </w:r>
        <w:r w:rsidR="000B389D">
          <w:rPr>
            <w:noProof/>
            <w:webHidden/>
          </w:rPr>
          <w:fldChar w:fldCharType="separate"/>
        </w:r>
        <w:r w:rsidR="000B389D">
          <w:rPr>
            <w:noProof/>
            <w:webHidden/>
          </w:rPr>
          <w:t>8</w:t>
        </w:r>
        <w:r w:rsidR="000B389D">
          <w:rPr>
            <w:noProof/>
            <w:webHidden/>
          </w:rPr>
          <w:fldChar w:fldCharType="end"/>
        </w:r>
      </w:hyperlink>
    </w:p>
    <w:p w14:paraId="5E3AC5C0" w14:textId="77777777" w:rsidR="000B389D" w:rsidRDefault="00D700F7">
      <w:pPr>
        <w:pStyle w:val="TOC2"/>
        <w:rPr>
          <w:rFonts w:asciiTheme="minorHAnsi" w:eastAsiaTheme="minorEastAsia" w:hAnsiTheme="minorHAnsi" w:cstheme="minorBidi"/>
          <w:noProof/>
          <w:sz w:val="22"/>
          <w:szCs w:val="22"/>
        </w:rPr>
      </w:pPr>
      <w:hyperlink w:anchor="_Toc510788227" w:history="1">
        <w:r w:rsidR="000B389D" w:rsidRPr="009437F9">
          <w:rPr>
            <w:rStyle w:val="Hyperlink"/>
            <w:noProof/>
          </w:rPr>
          <w:t>2.06</w:t>
        </w:r>
        <w:r w:rsidR="000B389D">
          <w:rPr>
            <w:rFonts w:asciiTheme="minorHAnsi" w:eastAsiaTheme="minorEastAsia" w:hAnsiTheme="minorHAnsi" w:cstheme="minorBidi"/>
            <w:noProof/>
            <w:sz w:val="22"/>
            <w:szCs w:val="22"/>
          </w:rPr>
          <w:tab/>
        </w:r>
        <w:r w:rsidR="000B389D" w:rsidRPr="009437F9">
          <w:rPr>
            <w:rStyle w:val="Hyperlink"/>
            <w:noProof/>
          </w:rPr>
          <w:t>Daily Delay Liquidated Damages to Extend Expected Initial Delivery Date.</w:t>
        </w:r>
        <w:r w:rsidR="000B389D">
          <w:rPr>
            <w:noProof/>
            <w:webHidden/>
          </w:rPr>
          <w:tab/>
        </w:r>
        <w:r w:rsidR="000B389D">
          <w:rPr>
            <w:noProof/>
            <w:webHidden/>
          </w:rPr>
          <w:fldChar w:fldCharType="begin"/>
        </w:r>
        <w:r w:rsidR="000B389D">
          <w:rPr>
            <w:noProof/>
            <w:webHidden/>
          </w:rPr>
          <w:instrText xml:space="preserve"> PAGEREF _Toc510788227 \h </w:instrText>
        </w:r>
        <w:r w:rsidR="000B389D">
          <w:rPr>
            <w:noProof/>
            <w:webHidden/>
          </w:rPr>
        </w:r>
        <w:r w:rsidR="000B389D">
          <w:rPr>
            <w:noProof/>
            <w:webHidden/>
          </w:rPr>
          <w:fldChar w:fldCharType="separate"/>
        </w:r>
        <w:r w:rsidR="000B389D">
          <w:rPr>
            <w:noProof/>
            <w:webHidden/>
          </w:rPr>
          <w:t>8</w:t>
        </w:r>
        <w:r w:rsidR="000B389D">
          <w:rPr>
            <w:noProof/>
            <w:webHidden/>
          </w:rPr>
          <w:fldChar w:fldCharType="end"/>
        </w:r>
      </w:hyperlink>
    </w:p>
    <w:p w14:paraId="0FC142A6" w14:textId="77777777" w:rsidR="000B389D" w:rsidRDefault="00D700F7">
      <w:pPr>
        <w:pStyle w:val="TOC2"/>
        <w:rPr>
          <w:rFonts w:asciiTheme="minorHAnsi" w:eastAsiaTheme="minorEastAsia" w:hAnsiTheme="minorHAnsi" w:cstheme="minorBidi"/>
          <w:noProof/>
          <w:sz w:val="22"/>
          <w:szCs w:val="22"/>
        </w:rPr>
      </w:pPr>
      <w:hyperlink w:anchor="_Toc510788228" w:history="1">
        <w:r w:rsidR="000B389D" w:rsidRPr="009437F9">
          <w:rPr>
            <w:rStyle w:val="Hyperlink"/>
            <w:noProof/>
          </w:rPr>
          <w:t>2.07</w:t>
        </w:r>
        <w:r w:rsidR="000B389D">
          <w:rPr>
            <w:rFonts w:asciiTheme="minorHAnsi" w:eastAsiaTheme="minorEastAsia" w:hAnsiTheme="minorHAnsi" w:cstheme="minorBidi"/>
            <w:noProof/>
            <w:sz w:val="22"/>
            <w:szCs w:val="22"/>
          </w:rPr>
          <w:tab/>
        </w:r>
        <w:r w:rsidR="000B389D" w:rsidRPr="009437F9">
          <w:rPr>
            <w:rStyle w:val="Hyperlink"/>
            <w:noProof/>
          </w:rPr>
          <w:t>CPUC Approval.</w:t>
        </w:r>
        <w:r w:rsidR="000B389D">
          <w:rPr>
            <w:noProof/>
            <w:webHidden/>
          </w:rPr>
          <w:tab/>
        </w:r>
        <w:r w:rsidR="000B389D">
          <w:rPr>
            <w:noProof/>
            <w:webHidden/>
          </w:rPr>
          <w:fldChar w:fldCharType="begin"/>
        </w:r>
        <w:r w:rsidR="000B389D">
          <w:rPr>
            <w:noProof/>
            <w:webHidden/>
          </w:rPr>
          <w:instrText xml:space="preserve"> PAGEREF _Toc510788228 \h </w:instrText>
        </w:r>
        <w:r w:rsidR="000B389D">
          <w:rPr>
            <w:noProof/>
            <w:webHidden/>
          </w:rPr>
        </w:r>
        <w:r w:rsidR="000B389D">
          <w:rPr>
            <w:noProof/>
            <w:webHidden/>
          </w:rPr>
          <w:fldChar w:fldCharType="separate"/>
        </w:r>
        <w:r w:rsidR="000B389D">
          <w:rPr>
            <w:noProof/>
            <w:webHidden/>
          </w:rPr>
          <w:t>9</w:t>
        </w:r>
        <w:r w:rsidR="000B389D">
          <w:rPr>
            <w:noProof/>
            <w:webHidden/>
          </w:rPr>
          <w:fldChar w:fldCharType="end"/>
        </w:r>
      </w:hyperlink>
    </w:p>
    <w:p w14:paraId="0426A35D" w14:textId="77777777" w:rsidR="000B389D" w:rsidRDefault="00D700F7" w:rsidP="00DD474F">
      <w:pPr>
        <w:pStyle w:val="TOC1"/>
        <w:rPr>
          <w:rFonts w:asciiTheme="minorHAnsi" w:hAnsiTheme="minorHAnsi" w:cstheme="minorBidi"/>
          <w:noProof/>
          <w:sz w:val="22"/>
          <w:szCs w:val="22"/>
        </w:rPr>
      </w:pPr>
      <w:hyperlink w:anchor="_Toc510788229" w:history="1">
        <w:r w:rsidR="000B389D" w:rsidRPr="009437F9">
          <w:rPr>
            <w:rStyle w:val="Hyperlink"/>
            <w:noProof/>
          </w:rPr>
          <w:t>ARTICLE 3.</w:t>
        </w:r>
        <w:r w:rsidR="000B389D">
          <w:rPr>
            <w:rFonts w:asciiTheme="minorHAnsi" w:hAnsiTheme="minorHAnsi" w:cstheme="minorBidi"/>
            <w:noProof/>
            <w:sz w:val="22"/>
            <w:szCs w:val="22"/>
          </w:rPr>
          <w:tab/>
        </w:r>
        <w:r w:rsidR="000B389D" w:rsidRPr="009437F9">
          <w:rPr>
            <w:rStyle w:val="Hyperlink"/>
            <w:noProof/>
          </w:rPr>
          <w:t>BILLING AND PAYMENTS</w:t>
        </w:r>
        <w:r w:rsidR="000B389D">
          <w:rPr>
            <w:noProof/>
            <w:webHidden/>
          </w:rPr>
          <w:tab/>
        </w:r>
        <w:r w:rsidR="000B389D">
          <w:rPr>
            <w:noProof/>
            <w:webHidden/>
          </w:rPr>
          <w:fldChar w:fldCharType="begin"/>
        </w:r>
        <w:r w:rsidR="000B389D">
          <w:rPr>
            <w:noProof/>
            <w:webHidden/>
          </w:rPr>
          <w:instrText xml:space="preserve"> PAGEREF _Toc510788229 \h </w:instrText>
        </w:r>
        <w:r w:rsidR="000B389D">
          <w:rPr>
            <w:noProof/>
            <w:webHidden/>
          </w:rPr>
        </w:r>
        <w:r w:rsidR="000B389D">
          <w:rPr>
            <w:noProof/>
            <w:webHidden/>
          </w:rPr>
          <w:fldChar w:fldCharType="separate"/>
        </w:r>
        <w:r w:rsidR="000B389D">
          <w:rPr>
            <w:noProof/>
            <w:webHidden/>
          </w:rPr>
          <w:t>9</w:t>
        </w:r>
        <w:r w:rsidR="000B389D">
          <w:rPr>
            <w:noProof/>
            <w:webHidden/>
          </w:rPr>
          <w:fldChar w:fldCharType="end"/>
        </w:r>
      </w:hyperlink>
    </w:p>
    <w:p w14:paraId="5955DE15" w14:textId="77777777" w:rsidR="000B389D" w:rsidRDefault="00D700F7">
      <w:pPr>
        <w:pStyle w:val="TOC2"/>
        <w:rPr>
          <w:rFonts w:asciiTheme="minorHAnsi" w:eastAsiaTheme="minorEastAsia" w:hAnsiTheme="minorHAnsi" w:cstheme="minorBidi"/>
          <w:noProof/>
          <w:sz w:val="22"/>
          <w:szCs w:val="22"/>
        </w:rPr>
      </w:pPr>
      <w:hyperlink w:anchor="_Toc510788230" w:history="1">
        <w:r w:rsidR="000B389D" w:rsidRPr="009437F9">
          <w:rPr>
            <w:rStyle w:val="Hyperlink"/>
            <w:noProof/>
          </w:rPr>
          <w:t>3.01</w:t>
        </w:r>
        <w:r w:rsidR="000B389D">
          <w:rPr>
            <w:rFonts w:asciiTheme="minorHAnsi" w:eastAsiaTheme="minorEastAsia" w:hAnsiTheme="minorHAnsi" w:cstheme="minorBidi"/>
            <w:noProof/>
            <w:sz w:val="22"/>
            <w:szCs w:val="22"/>
          </w:rPr>
          <w:tab/>
        </w:r>
        <w:r w:rsidR="000B389D" w:rsidRPr="009437F9">
          <w:rPr>
            <w:rStyle w:val="Hyperlink"/>
            <w:noProof/>
          </w:rPr>
          <w:t>Billing Period.</w:t>
        </w:r>
        <w:r w:rsidR="000B389D">
          <w:rPr>
            <w:noProof/>
            <w:webHidden/>
          </w:rPr>
          <w:tab/>
        </w:r>
        <w:r w:rsidR="000B389D">
          <w:rPr>
            <w:noProof/>
            <w:webHidden/>
          </w:rPr>
          <w:fldChar w:fldCharType="begin"/>
        </w:r>
        <w:r w:rsidR="000B389D">
          <w:rPr>
            <w:noProof/>
            <w:webHidden/>
          </w:rPr>
          <w:instrText xml:space="preserve"> PAGEREF _Toc510788230 \h </w:instrText>
        </w:r>
        <w:r w:rsidR="000B389D">
          <w:rPr>
            <w:noProof/>
            <w:webHidden/>
          </w:rPr>
        </w:r>
        <w:r w:rsidR="000B389D">
          <w:rPr>
            <w:noProof/>
            <w:webHidden/>
          </w:rPr>
          <w:fldChar w:fldCharType="separate"/>
        </w:r>
        <w:r w:rsidR="000B389D">
          <w:rPr>
            <w:noProof/>
            <w:webHidden/>
          </w:rPr>
          <w:t>9</w:t>
        </w:r>
        <w:r w:rsidR="000B389D">
          <w:rPr>
            <w:noProof/>
            <w:webHidden/>
          </w:rPr>
          <w:fldChar w:fldCharType="end"/>
        </w:r>
      </w:hyperlink>
    </w:p>
    <w:p w14:paraId="4E35A76A" w14:textId="77777777" w:rsidR="000B389D" w:rsidRDefault="00D700F7">
      <w:pPr>
        <w:pStyle w:val="TOC2"/>
        <w:rPr>
          <w:rFonts w:asciiTheme="minorHAnsi" w:eastAsiaTheme="minorEastAsia" w:hAnsiTheme="minorHAnsi" w:cstheme="minorBidi"/>
          <w:noProof/>
          <w:sz w:val="22"/>
          <w:szCs w:val="22"/>
        </w:rPr>
      </w:pPr>
      <w:hyperlink w:anchor="_Toc510788231" w:history="1">
        <w:r w:rsidR="000B389D" w:rsidRPr="009437F9">
          <w:rPr>
            <w:rStyle w:val="Hyperlink"/>
            <w:noProof/>
          </w:rPr>
          <w:t>3.02</w:t>
        </w:r>
        <w:r w:rsidR="000B389D">
          <w:rPr>
            <w:rFonts w:asciiTheme="minorHAnsi" w:eastAsiaTheme="minorEastAsia" w:hAnsiTheme="minorHAnsi" w:cstheme="minorBidi"/>
            <w:noProof/>
            <w:sz w:val="22"/>
            <w:szCs w:val="22"/>
          </w:rPr>
          <w:tab/>
        </w:r>
        <w:r w:rsidR="000B389D" w:rsidRPr="009437F9">
          <w:rPr>
            <w:rStyle w:val="Hyperlink"/>
            <w:noProof/>
          </w:rPr>
          <w:t>Timeliness of Payment.</w:t>
        </w:r>
        <w:r w:rsidR="000B389D">
          <w:rPr>
            <w:noProof/>
            <w:webHidden/>
          </w:rPr>
          <w:tab/>
        </w:r>
        <w:r w:rsidR="000B389D">
          <w:rPr>
            <w:noProof/>
            <w:webHidden/>
          </w:rPr>
          <w:fldChar w:fldCharType="begin"/>
        </w:r>
        <w:r w:rsidR="000B389D">
          <w:rPr>
            <w:noProof/>
            <w:webHidden/>
          </w:rPr>
          <w:instrText xml:space="preserve"> PAGEREF _Toc510788231 \h </w:instrText>
        </w:r>
        <w:r w:rsidR="000B389D">
          <w:rPr>
            <w:noProof/>
            <w:webHidden/>
          </w:rPr>
        </w:r>
        <w:r w:rsidR="000B389D">
          <w:rPr>
            <w:noProof/>
            <w:webHidden/>
          </w:rPr>
          <w:fldChar w:fldCharType="separate"/>
        </w:r>
        <w:r w:rsidR="000B389D">
          <w:rPr>
            <w:noProof/>
            <w:webHidden/>
          </w:rPr>
          <w:t>10</w:t>
        </w:r>
        <w:r w:rsidR="000B389D">
          <w:rPr>
            <w:noProof/>
            <w:webHidden/>
          </w:rPr>
          <w:fldChar w:fldCharType="end"/>
        </w:r>
      </w:hyperlink>
    </w:p>
    <w:p w14:paraId="7B647AE6" w14:textId="77777777" w:rsidR="000B389D" w:rsidRDefault="00D700F7">
      <w:pPr>
        <w:pStyle w:val="TOC2"/>
        <w:rPr>
          <w:rFonts w:asciiTheme="minorHAnsi" w:eastAsiaTheme="minorEastAsia" w:hAnsiTheme="minorHAnsi" w:cstheme="minorBidi"/>
          <w:noProof/>
          <w:sz w:val="22"/>
          <w:szCs w:val="22"/>
        </w:rPr>
      </w:pPr>
      <w:hyperlink w:anchor="_Toc510788232" w:history="1">
        <w:r w:rsidR="000B389D" w:rsidRPr="009437F9">
          <w:rPr>
            <w:rStyle w:val="Hyperlink"/>
            <w:noProof/>
          </w:rPr>
          <w:t>3.03</w:t>
        </w:r>
        <w:r w:rsidR="000B389D">
          <w:rPr>
            <w:rFonts w:asciiTheme="minorHAnsi" w:eastAsiaTheme="minorEastAsia" w:hAnsiTheme="minorHAnsi" w:cstheme="minorBidi"/>
            <w:noProof/>
            <w:sz w:val="22"/>
            <w:szCs w:val="22"/>
          </w:rPr>
          <w:tab/>
        </w:r>
        <w:r w:rsidR="000B389D" w:rsidRPr="009437F9">
          <w:rPr>
            <w:rStyle w:val="Hyperlink"/>
            <w:noProof/>
          </w:rPr>
          <w:t>Disputes and Adjustments of Invoices.</w:t>
        </w:r>
        <w:r w:rsidR="000B389D">
          <w:rPr>
            <w:noProof/>
            <w:webHidden/>
          </w:rPr>
          <w:tab/>
        </w:r>
        <w:r w:rsidR="000B389D">
          <w:rPr>
            <w:noProof/>
            <w:webHidden/>
          </w:rPr>
          <w:fldChar w:fldCharType="begin"/>
        </w:r>
        <w:r w:rsidR="000B389D">
          <w:rPr>
            <w:noProof/>
            <w:webHidden/>
          </w:rPr>
          <w:instrText xml:space="preserve"> PAGEREF _Toc510788232 \h </w:instrText>
        </w:r>
        <w:r w:rsidR="000B389D">
          <w:rPr>
            <w:noProof/>
            <w:webHidden/>
          </w:rPr>
        </w:r>
        <w:r w:rsidR="000B389D">
          <w:rPr>
            <w:noProof/>
            <w:webHidden/>
          </w:rPr>
          <w:fldChar w:fldCharType="separate"/>
        </w:r>
        <w:r w:rsidR="000B389D">
          <w:rPr>
            <w:noProof/>
            <w:webHidden/>
          </w:rPr>
          <w:t>10</w:t>
        </w:r>
        <w:r w:rsidR="000B389D">
          <w:rPr>
            <w:noProof/>
            <w:webHidden/>
          </w:rPr>
          <w:fldChar w:fldCharType="end"/>
        </w:r>
      </w:hyperlink>
    </w:p>
    <w:p w14:paraId="58CBD140" w14:textId="77777777" w:rsidR="000B389D" w:rsidRDefault="00D700F7">
      <w:pPr>
        <w:pStyle w:val="TOC2"/>
        <w:rPr>
          <w:rFonts w:asciiTheme="minorHAnsi" w:eastAsiaTheme="minorEastAsia" w:hAnsiTheme="minorHAnsi" w:cstheme="minorBidi"/>
          <w:noProof/>
          <w:sz w:val="22"/>
          <w:szCs w:val="22"/>
        </w:rPr>
      </w:pPr>
      <w:hyperlink w:anchor="_Toc510788233" w:history="1">
        <w:r w:rsidR="000B389D" w:rsidRPr="009437F9">
          <w:rPr>
            <w:rStyle w:val="Hyperlink"/>
            <w:noProof/>
          </w:rPr>
          <w:t>3.04</w:t>
        </w:r>
        <w:r w:rsidR="000B389D">
          <w:rPr>
            <w:rFonts w:asciiTheme="minorHAnsi" w:eastAsiaTheme="minorEastAsia" w:hAnsiTheme="minorHAnsi" w:cstheme="minorBidi"/>
            <w:noProof/>
            <w:sz w:val="22"/>
            <w:szCs w:val="22"/>
          </w:rPr>
          <w:tab/>
        </w:r>
        <w:r w:rsidR="000B389D" w:rsidRPr="009437F9">
          <w:rPr>
            <w:rStyle w:val="Hyperlink"/>
            <w:noProof/>
          </w:rPr>
          <w:t>Netting Rights.</w:t>
        </w:r>
        <w:r w:rsidR="000B389D">
          <w:rPr>
            <w:noProof/>
            <w:webHidden/>
          </w:rPr>
          <w:tab/>
        </w:r>
        <w:r w:rsidR="000B389D">
          <w:rPr>
            <w:noProof/>
            <w:webHidden/>
          </w:rPr>
          <w:fldChar w:fldCharType="begin"/>
        </w:r>
        <w:r w:rsidR="000B389D">
          <w:rPr>
            <w:noProof/>
            <w:webHidden/>
          </w:rPr>
          <w:instrText xml:space="preserve"> PAGEREF _Toc510788233 \h </w:instrText>
        </w:r>
        <w:r w:rsidR="000B389D">
          <w:rPr>
            <w:noProof/>
            <w:webHidden/>
          </w:rPr>
        </w:r>
        <w:r w:rsidR="000B389D">
          <w:rPr>
            <w:noProof/>
            <w:webHidden/>
          </w:rPr>
          <w:fldChar w:fldCharType="separate"/>
        </w:r>
        <w:r w:rsidR="000B389D">
          <w:rPr>
            <w:noProof/>
            <w:webHidden/>
          </w:rPr>
          <w:t>11</w:t>
        </w:r>
        <w:r w:rsidR="000B389D">
          <w:rPr>
            <w:noProof/>
            <w:webHidden/>
          </w:rPr>
          <w:fldChar w:fldCharType="end"/>
        </w:r>
      </w:hyperlink>
    </w:p>
    <w:p w14:paraId="1E275C4B" w14:textId="77777777" w:rsidR="000B389D" w:rsidRDefault="00D700F7">
      <w:pPr>
        <w:pStyle w:val="TOC2"/>
        <w:rPr>
          <w:rFonts w:asciiTheme="minorHAnsi" w:eastAsiaTheme="minorEastAsia" w:hAnsiTheme="minorHAnsi" w:cstheme="minorBidi"/>
          <w:noProof/>
          <w:sz w:val="22"/>
          <w:szCs w:val="22"/>
        </w:rPr>
      </w:pPr>
      <w:hyperlink w:anchor="_Toc510788234" w:history="1">
        <w:r w:rsidR="000B389D" w:rsidRPr="009437F9">
          <w:rPr>
            <w:rStyle w:val="Hyperlink"/>
            <w:noProof/>
          </w:rPr>
          <w:t>3.05</w:t>
        </w:r>
        <w:r w:rsidR="000B389D">
          <w:rPr>
            <w:rFonts w:asciiTheme="minorHAnsi" w:eastAsiaTheme="minorEastAsia" w:hAnsiTheme="minorHAnsi" w:cstheme="minorBidi"/>
            <w:noProof/>
            <w:sz w:val="22"/>
            <w:szCs w:val="22"/>
          </w:rPr>
          <w:tab/>
        </w:r>
        <w:r w:rsidR="000B389D" w:rsidRPr="009437F9">
          <w:rPr>
            <w:rStyle w:val="Hyperlink"/>
            <w:noProof/>
          </w:rPr>
          <w:t>Compensation.</w:t>
        </w:r>
        <w:r w:rsidR="000B389D">
          <w:rPr>
            <w:noProof/>
            <w:webHidden/>
          </w:rPr>
          <w:tab/>
        </w:r>
        <w:r w:rsidR="000B389D">
          <w:rPr>
            <w:noProof/>
            <w:webHidden/>
          </w:rPr>
          <w:fldChar w:fldCharType="begin"/>
        </w:r>
        <w:r w:rsidR="000B389D">
          <w:rPr>
            <w:noProof/>
            <w:webHidden/>
          </w:rPr>
          <w:instrText xml:space="preserve"> PAGEREF _Toc510788234 \h </w:instrText>
        </w:r>
        <w:r w:rsidR="000B389D">
          <w:rPr>
            <w:noProof/>
            <w:webHidden/>
          </w:rPr>
        </w:r>
        <w:r w:rsidR="000B389D">
          <w:rPr>
            <w:noProof/>
            <w:webHidden/>
          </w:rPr>
          <w:fldChar w:fldCharType="separate"/>
        </w:r>
        <w:r w:rsidR="000B389D">
          <w:rPr>
            <w:noProof/>
            <w:webHidden/>
          </w:rPr>
          <w:t>11</w:t>
        </w:r>
        <w:r w:rsidR="000B389D">
          <w:rPr>
            <w:noProof/>
            <w:webHidden/>
          </w:rPr>
          <w:fldChar w:fldCharType="end"/>
        </w:r>
      </w:hyperlink>
    </w:p>
    <w:p w14:paraId="670C6D21" w14:textId="77777777" w:rsidR="000B389D" w:rsidRDefault="00D700F7">
      <w:pPr>
        <w:pStyle w:val="TOC2"/>
        <w:rPr>
          <w:rFonts w:asciiTheme="minorHAnsi" w:eastAsiaTheme="minorEastAsia" w:hAnsiTheme="minorHAnsi" w:cstheme="minorBidi"/>
          <w:noProof/>
          <w:sz w:val="22"/>
          <w:szCs w:val="22"/>
        </w:rPr>
      </w:pPr>
      <w:hyperlink w:anchor="_Toc510788235" w:history="1">
        <w:r w:rsidR="000B389D" w:rsidRPr="009437F9">
          <w:rPr>
            <w:rStyle w:val="Hyperlink"/>
            <w:noProof/>
          </w:rPr>
          <w:t>3.06</w:t>
        </w:r>
        <w:r w:rsidR="000B389D">
          <w:rPr>
            <w:rFonts w:asciiTheme="minorHAnsi" w:eastAsiaTheme="minorEastAsia" w:hAnsiTheme="minorHAnsi" w:cstheme="minorBidi"/>
            <w:noProof/>
            <w:sz w:val="22"/>
            <w:szCs w:val="22"/>
          </w:rPr>
          <w:tab/>
        </w:r>
        <w:r w:rsidR="000B389D" w:rsidRPr="009437F9">
          <w:rPr>
            <w:rStyle w:val="Hyperlink"/>
            <w:noProof/>
          </w:rPr>
          <w:t>Monthly Capacity Payment.</w:t>
        </w:r>
        <w:r w:rsidR="000B389D">
          <w:rPr>
            <w:noProof/>
            <w:webHidden/>
          </w:rPr>
          <w:tab/>
        </w:r>
        <w:r w:rsidR="000B389D">
          <w:rPr>
            <w:noProof/>
            <w:webHidden/>
          </w:rPr>
          <w:fldChar w:fldCharType="begin"/>
        </w:r>
        <w:r w:rsidR="000B389D">
          <w:rPr>
            <w:noProof/>
            <w:webHidden/>
          </w:rPr>
          <w:instrText xml:space="preserve"> PAGEREF _Toc510788235 \h </w:instrText>
        </w:r>
        <w:r w:rsidR="000B389D">
          <w:rPr>
            <w:noProof/>
            <w:webHidden/>
          </w:rPr>
        </w:r>
        <w:r w:rsidR="000B389D">
          <w:rPr>
            <w:noProof/>
            <w:webHidden/>
          </w:rPr>
          <w:fldChar w:fldCharType="separate"/>
        </w:r>
        <w:r w:rsidR="000B389D">
          <w:rPr>
            <w:noProof/>
            <w:webHidden/>
          </w:rPr>
          <w:t>13</w:t>
        </w:r>
        <w:r w:rsidR="000B389D">
          <w:rPr>
            <w:noProof/>
            <w:webHidden/>
          </w:rPr>
          <w:fldChar w:fldCharType="end"/>
        </w:r>
      </w:hyperlink>
    </w:p>
    <w:p w14:paraId="62C37A8E" w14:textId="77777777" w:rsidR="000B389D" w:rsidRDefault="00D700F7">
      <w:pPr>
        <w:pStyle w:val="TOC2"/>
        <w:rPr>
          <w:rFonts w:asciiTheme="minorHAnsi" w:eastAsiaTheme="minorEastAsia" w:hAnsiTheme="minorHAnsi" w:cstheme="minorBidi"/>
          <w:noProof/>
          <w:sz w:val="22"/>
          <w:szCs w:val="22"/>
        </w:rPr>
      </w:pPr>
      <w:hyperlink w:anchor="_Toc510788236" w:history="1">
        <w:r w:rsidR="000B389D" w:rsidRPr="009437F9">
          <w:rPr>
            <w:rStyle w:val="Hyperlink"/>
            <w:noProof/>
          </w:rPr>
          <w:t>3.07</w:t>
        </w:r>
        <w:r w:rsidR="000B389D">
          <w:rPr>
            <w:rFonts w:asciiTheme="minorHAnsi" w:eastAsiaTheme="minorEastAsia" w:hAnsiTheme="minorHAnsi" w:cstheme="minorBidi"/>
            <w:noProof/>
            <w:sz w:val="22"/>
            <w:szCs w:val="22"/>
          </w:rPr>
          <w:tab/>
        </w:r>
        <w:r w:rsidR="000B389D" w:rsidRPr="009437F9">
          <w:rPr>
            <w:rStyle w:val="Hyperlink"/>
            <w:noProof/>
          </w:rPr>
          <w:t>Allocation of Other Payments and Costs (RA Periods).</w:t>
        </w:r>
        <w:r w:rsidR="000B389D">
          <w:rPr>
            <w:noProof/>
            <w:webHidden/>
          </w:rPr>
          <w:tab/>
        </w:r>
        <w:r w:rsidR="000B389D">
          <w:rPr>
            <w:noProof/>
            <w:webHidden/>
          </w:rPr>
          <w:fldChar w:fldCharType="begin"/>
        </w:r>
        <w:r w:rsidR="000B389D">
          <w:rPr>
            <w:noProof/>
            <w:webHidden/>
          </w:rPr>
          <w:instrText xml:space="preserve"> PAGEREF _Toc510788236 \h </w:instrText>
        </w:r>
        <w:r w:rsidR="000B389D">
          <w:rPr>
            <w:noProof/>
            <w:webHidden/>
          </w:rPr>
        </w:r>
        <w:r w:rsidR="000B389D">
          <w:rPr>
            <w:noProof/>
            <w:webHidden/>
          </w:rPr>
          <w:fldChar w:fldCharType="separate"/>
        </w:r>
        <w:r w:rsidR="000B389D">
          <w:rPr>
            <w:noProof/>
            <w:webHidden/>
          </w:rPr>
          <w:t>14</w:t>
        </w:r>
        <w:r w:rsidR="000B389D">
          <w:rPr>
            <w:noProof/>
            <w:webHidden/>
          </w:rPr>
          <w:fldChar w:fldCharType="end"/>
        </w:r>
      </w:hyperlink>
    </w:p>
    <w:p w14:paraId="00418530" w14:textId="77777777" w:rsidR="000B389D" w:rsidRDefault="00D700F7">
      <w:pPr>
        <w:pStyle w:val="TOC2"/>
        <w:rPr>
          <w:rFonts w:asciiTheme="minorHAnsi" w:eastAsiaTheme="minorEastAsia" w:hAnsiTheme="minorHAnsi" w:cstheme="minorBidi"/>
          <w:noProof/>
          <w:sz w:val="22"/>
          <w:szCs w:val="22"/>
        </w:rPr>
      </w:pPr>
      <w:hyperlink w:anchor="_Toc510788237" w:history="1">
        <w:r w:rsidR="000B389D" w:rsidRPr="009437F9">
          <w:rPr>
            <w:rStyle w:val="Hyperlink"/>
            <w:noProof/>
          </w:rPr>
          <w:t>3.08</w:t>
        </w:r>
        <w:r w:rsidR="000B389D">
          <w:rPr>
            <w:rFonts w:asciiTheme="minorHAnsi" w:eastAsiaTheme="minorEastAsia" w:hAnsiTheme="minorHAnsi" w:cstheme="minorBidi"/>
            <w:noProof/>
            <w:sz w:val="22"/>
            <w:szCs w:val="22"/>
          </w:rPr>
          <w:tab/>
        </w:r>
        <w:r w:rsidR="000B389D" w:rsidRPr="009437F9">
          <w:rPr>
            <w:rStyle w:val="Hyperlink"/>
            <w:noProof/>
          </w:rPr>
          <w:t>Variable O&amp;M Payment (Put Periods).</w:t>
        </w:r>
        <w:r w:rsidR="000B389D">
          <w:rPr>
            <w:noProof/>
            <w:webHidden/>
          </w:rPr>
          <w:tab/>
        </w:r>
        <w:r w:rsidR="000B389D">
          <w:rPr>
            <w:noProof/>
            <w:webHidden/>
          </w:rPr>
          <w:fldChar w:fldCharType="begin"/>
        </w:r>
        <w:r w:rsidR="000B389D">
          <w:rPr>
            <w:noProof/>
            <w:webHidden/>
          </w:rPr>
          <w:instrText xml:space="preserve"> PAGEREF _Toc510788237 \h </w:instrText>
        </w:r>
        <w:r w:rsidR="000B389D">
          <w:rPr>
            <w:noProof/>
            <w:webHidden/>
          </w:rPr>
        </w:r>
        <w:r w:rsidR="000B389D">
          <w:rPr>
            <w:noProof/>
            <w:webHidden/>
          </w:rPr>
          <w:fldChar w:fldCharType="separate"/>
        </w:r>
        <w:r w:rsidR="000B389D">
          <w:rPr>
            <w:noProof/>
            <w:webHidden/>
          </w:rPr>
          <w:t>16</w:t>
        </w:r>
        <w:r w:rsidR="000B389D">
          <w:rPr>
            <w:noProof/>
            <w:webHidden/>
          </w:rPr>
          <w:fldChar w:fldCharType="end"/>
        </w:r>
      </w:hyperlink>
    </w:p>
    <w:p w14:paraId="6C9F2F9E" w14:textId="77777777" w:rsidR="000B389D" w:rsidRDefault="00D700F7">
      <w:pPr>
        <w:pStyle w:val="TOC2"/>
        <w:rPr>
          <w:rFonts w:asciiTheme="minorHAnsi" w:eastAsiaTheme="minorEastAsia" w:hAnsiTheme="minorHAnsi" w:cstheme="minorBidi"/>
          <w:noProof/>
          <w:sz w:val="22"/>
          <w:szCs w:val="22"/>
        </w:rPr>
      </w:pPr>
      <w:hyperlink w:anchor="_Toc510788238" w:history="1">
        <w:r w:rsidR="000B389D" w:rsidRPr="009437F9">
          <w:rPr>
            <w:rStyle w:val="Hyperlink"/>
            <w:noProof/>
          </w:rPr>
          <w:t>3.09</w:t>
        </w:r>
        <w:r w:rsidR="000B389D">
          <w:rPr>
            <w:rFonts w:asciiTheme="minorHAnsi" w:eastAsiaTheme="minorEastAsia" w:hAnsiTheme="minorHAnsi" w:cstheme="minorBidi"/>
            <w:noProof/>
            <w:sz w:val="22"/>
            <w:szCs w:val="22"/>
          </w:rPr>
          <w:tab/>
        </w:r>
        <w:r w:rsidR="000B389D" w:rsidRPr="009437F9">
          <w:rPr>
            <w:rStyle w:val="Hyperlink"/>
            <w:noProof/>
          </w:rPr>
          <w:t>Energy from Start-Up (Put Periods).</w:t>
        </w:r>
        <w:r w:rsidR="000B389D">
          <w:rPr>
            <w:noProof/>
            <w:webHidden/>
          </w:rPr>
          <w:tab/>
        </w:r>
        <w:r w:rsidR="000B389D">
          <w:rPr>
            <w:noProof/>
            <w:webHidden/>
          </w:rPr>
          <w:fldChar w:fldCharType="begin"/>
        </w:r>
        <w:r w:rsidR="000B389D">
          <w:rPr>
            <w:noProof/>
            <w:webHidden/>
          </w:rPr>
          <w:instrText xml:space="preserve"> PAGEREF _Toc510788238 \h </w:instrText>
        </w:r>
        <w:r w:rsidR="000B389D">
          <w:rPr>
            <w:noProof/>
            <w:webHidden/>
          </w:rPr>
        </w:r>
        <w:r w:rsidR="000B389D">
          <w:rPr>
            <w:noProof/>
            <w:webHidden/>
          </w:rPr>
          <w:fldChar w:fldCharType="separate"/>
        </w:r>
        <w:r w:rsidR="000B389D">
          <w:rPr>
            <w:noProof/>
            <w:webHidden/>
          </w:rPr>
          <w:t>16</w:t>
        </w:r>
        <w:r w:rsidR="000B389D">
          <w:rPr>
            <w:noProof/>
            <w:webHidden/>
          </w:rPr>
          <w:fldChar w:fldCharType="end"/>
        </w:r>
      </w:hyperlink>
    </w:p>
    <w:p w14:paraId="31F2AE8C" w14:textId="77777777" w:rsidR="000B389D" w:rsidRDefault="00D700F7">
      <w:pPr>
        <w:pStyle w:val="TOC2"/>
        <w:rPr>
          <w:rFonts w:asciiTheme="minorHAnsi" w:eastAsiaTheme="minorEastAsia" w:hAnsiTheme="minorHAnsi" w:cstheme="minorBidi"/>
          <w:noProof/>
          <w:sz w:val="22"/>
          <w:szCs w:val="22"/>
        </w:rPr>
      </w:pPr>
      <w:hyperlink w:anchor="_Toc510788239" w:history="1">
        <w:r w:rsidR="000B389D" w:rsidRPr="009437F9">
          <w:rPr>
            <w:rStyle w:val="Hyperlink"/>
            <w:noProof/>
          </w:rPr>
          <w:t>3.10</w:t>
        </w:r>
        <w:r w:rsidR="000B389D">
          <w:rPr>
            <w:rFonts w:asciiTheme="minorHAnsi" w:eastAsiaTheme="minorEastAsia" w:hAnsiTheme="minorHAnsi" w:cstheme="minorBidi"/>
            <w:noProof/>
            <w:sz w:val="22"/>
            <w:szCs w:val="22"/>
          </w:rPr>
          <w:tab/>
        </w:r>
        <w:r w:rsidR="000B389D" w:rsidRPr="009437F9">
          <w:rPr>
            <w:rStyle w:val="Hyperlink"/>
            <w:noProof/>
          </w:rPr>
          <w:t>Energy Adjustment Payment (Put Periods).</w:t>
        </w:r>
        <w:r w:rsidR="000B389D">
          <w:rPr>
            <w:noProof/>
            <w:webHidden/>
          </w:rPr>
          <w:tab/>
        </w:r>
        <w:r w:rsidR="000B389D">
          <w:rPr>
            <w:noProof/>
            <w:webHidden/>
          </w:rPr>
          <w:fldChar w:fldCharType="begin"/>
        </w:r>
        <w:r w:rsidR="000B389D">
          <w:rPr>
            <w:noProof/>
            <w:webHidden/>
          </w:rPr>
          <w:instrText xml:space="preserve"> PAGEREF _Toc510788239 \h </w:instrText>
        </w:r>
        <w:r w:rsidR="000B389D">
          <w:rPr>
            <w:noProof/>
            <w:webHidden/>
          </w:rPr>
        </w:r>
        <w:r w:rsidR="000B389D">
          <w:rPr>
            <w:noProof/>
            <w:webHidden/>
          </w:rPr>
          <w:fldChar w:fldCharType="separate"/>
        </w:r>
        <w:r w:rsidR="000B389D">
          <w:rPr>
            <w:noProof/>
            <w:webHidden/>
          </w:rPr>
          <w:t>16</w:t>
        </w:r>
        <w:r w:rsidR="000B389D">
          <w:rPr>
            <w:noProof/>
            <w:webHidden/>
          </w:rPr>
          <w:fldChar w:fldCharType="end"/>
        </w:r>
      </w:hyperlink>
    </w:p>
    <w:p w14:paraId="461EF32C" w14:textId="77777777" w:rsidR="000B389D" w:rsidRDefault="00D700F7">
      <w:pPr>
        <w:pStyle w:val="TOC2"/>
        <w:rPr>
          <w:rFonts w:asciiTheme="minorHAnsi" w:eastAsiaTheme="minorEastAsia" w:hAnsiTheme="minorHAnsi" w:cstheme="minorBidi"/>
          <w:noProof/>
          <w:sz w:val="22"/>
          <w:szCs w:val="22"/>
        </w:rPr>
      </w:pPr>
      <w:hyperlink w:anchor="_Toc510788240" w:history="1">
        <w:r w:rsidR="000B389D" w:rsidRPr="009437F9">
          <w:rPr>
            <w:rStyle w:val="Hyperlink"/>
            <w:noProof/>
          </w:rPr>
          <w:t>3.11</w:t>
        </w:r>
        <w:r w:rsidR="000B389D">
          <w:rPr>
            <w:rFonts w:asciiTheme="minorHAnsi" w:eastAsiaTheme="minorEastAsia" w:hAnsiTheme="minorHAnsi" w:cstheme="minorBidi"/>
            <w:noProof/>
            <w:sz w:val="22"/>
            <w:szCs w:val="22"/>
          </w:rPr>
          <w:tab/>
        </w:r>
        <w:r w:rsidR="000B389D" w:rsidRPr="009437F9">
          <w:rPr>
            <w:rStyle w:val="Hyperlink"/>
            <w:noProof/>
          </w:rPr>
          <w:t>Availability.</w:t>
        </w:r>
        <w:r w:rsidR="000B389D">
          <w:rPr>
            <w:noProof/>
            <w:webHidden/>
          </w:rPr>
          <w:tab/>
        </w:r>
        <w:r w:rsidR="000B389D">
          <w:rPr>
            <w:noProof/>
            <w:webHidden/>
          </w:rPr>
          <w:fldChar w:fldCharType="begin"/>
        </w:r>
        <w:r w:rsidR="000B389D">
          <w:rPr>
            <w:noProof/>
            <w:webHidden/>
          </w:rPr>
          <w:instrText xml:space="preserve"> PAGEREF _Toc510788240 \h </w:instrText>
        </w:r>
        <w:r w:rsidR="000B389D">
          <w:rPr>
            <w:noProof/>
            <w:webHidden/>
          </w:rPr>
        </w:r>
        <w:r w:rsidR="000B389D">
          <w:rPr>
            <w:noProof/>
            <w:webHidden/>
          </w:rPr>
          <w:fldChar w:fldCharType="separate"/>
        </w:r>
        <w:r w:rsidR="000B389D">
          <w:rPr>
            <w:noProof/>
            <w:webHidden/>
          </w:rPr>
          <w:t>21</w:t>
        </w:r>
        <w:r w:rsidR="000B389D">
          <w:rPr>
            <w:noProof/>
            <w:webHidden/>
          </w:rPr>
          <w:fldChar w:fldCharType="end"/>
        </w:r>
      </w:hyperlink>
    </w:p>
    <w:p w14:paraId="2C63AF4F" w14:textId="77777777" w:rsidR="000B389D" w:rsidRDefault="00D700F7">
      <w:pPr>
        <w:pStyle w:val="TOC2"/>
        <w:rPr>
          <w:rFonts w:asciiTheme="minorHAnsi" w:eastAsiaTheme="minorEastAsia" w:hAnsiTheme="minorHAnsi" w:cstheme="minorBidi"/>
          <w:noProof/>
          <w:sz w:val="22"/>
          <w:szCs w:val="22"/>
        </w:rPr>
      </w:pPr>
      <w:hyperlink w:anchor="_Toc510788241" w:history="1">
        <w:r w:rsidR="000B389D" w:rsidRPr="009437F9">
          <w:rPr>
            <w:rStyle w:val="Hyperlink"/>
            <w:noProof/>
          </w:rPr>
          <w:t>3.12</w:t>
        </w:r>
        <w:r w:rsidR="000B389D">
          <w:rPr>
            <w:rFonts w:asciiTheme="minorHAnsi" w:eastAsiaTheme="minorEastAsia" w:hAnsiTheme="minorHAnsi" w:cstheme="minorBidi"/>
            <w:noProof/>
            <w:sz w:val="22"/>
            <w:szCs w:val="22"/>
          </w:rPr>
          <w:tab/>
        </w:r>
        <w:r w:rsidR="000B389D" w:rsidRPr="009437F9">
          <w:rPr>
            <w:rStyle w:val="Hyperlink"/>
            <w:noProof/>
          </w:rPr>
          <w:t>Energy Efficiency Capacity Payment Reduction (Put Periods).</w:t>
        </w:r>
        <w:r w:rsidR="000B389D">
          <w:rPr>
            <w:noProof/>
            <w:webHidden/>
          </w:rPr>
          <w:tab/>
        </w:r>
        <w:r w:rsidR="000B389D">
          <w:rPr>
            <w:noProof/>
            <w:webHidden/>
          </w:rPr>
          <w:fldChar w:fldCharType="begin"/>
        </w:r>
        <w:r w:rsidR="000B389D">
          <w:rPr>
            <w:noProof/>
            <w:webHidden/>
          </w:rPr>
          <w:instrText xml:space="preserve"> PAGEREF _Toc510788241 \h </w:instrText>
        </w:r>
        <w:r w:rsidR="000B389D">
          <w:rPr>
            <w:noProof/>
            <w:webHidden/>
          </w:rPr>
        </w:r>
        <w:r w:rsidR="000B389D">
          <w:rPr>
            <w:noProof/>
            <w:webHidden/>
          </w:rPr>
          <w:fldChar w:fldCharType="separate"/>
        </w:r>
        <w:r w:rsidR="000B389D">
          <w:rPr>
            <w:noProof/>
            <w:webHidden/>
          </w:rPr>
          <w:t>25</w:t>
        </w:r>
        <w:r w:rsidR="000B389D">
          <w:rPr>
            <w:noProof/>
            <w:webHidden/>
          </w:rPr>
          <w:fldChar w:fldCharType="end"/>
        </w:r>
      </w:hyperlink>
    </w:p>
    <w:p w14:paraId="074938C1" w14:textId="77777777" w:rsidR="000B389D" w:rsidRDefault="00D700F7">
      <w:pPr>
        <w:pStyle w:val="TOC2"/>
        <w:rPr>
          <w:rFonts w:asciiTheme="minorHAnsi" w:eastAsiaTheme="minorEastAsia" w:hAnsiTheme="minorHAnsi" w:cstheme="minorBidi"/>
          <w:noProof/>
          <w:sz w:val="22"/>
          <w:szCs w:val="22"/>
        </w:rPr>
      </w:pPr>
      <w:hyperlink w:anchor="_Toc510788242" w:history="1">
        <w:r w:rsidR="000B389D" w:rsidRPr="009437F9">
          <w:rPr>
            <w:rStyle w:val="Hyperlink"/>
            <w:noProof/>
          </w:rPr>
          <w:t>3.13</w:t>
        </w:r>
        <w:r w:rsidR="000B389D">
          <w:rPr>
            <w:rFonts w:asciiTheme="minorHAnsi" w:eastAsiaTheme="minorEastAsia" w:hAnsiTheme="minorHAnsi" w:cstheme="minorBidi"/>
            <w:noProof/>
            <w:sz w:val="22"/>
            <w:szCs w:val="22"/>
          </w:rPr>
          <w:tab/>
        </w:r>
        <w:r w:rsidR="000B389D" w:rsidRPr="009437F9">
          <w:rPr>
            <w:rStyle w:val="Hyperlink"/>
            <w:noProof/>
          </w:rPr>
          <w:t>Ancillary Services No-Pay Charges (Put Periods).</w:t>
        </w:r>
        <w:r w:rsidR="000B389D">
          <w:rPr>
            <w:noProof/>
            <w:webHidden/>
          </w:rPr>
          <w:tab/>
        </w:r>
        <w:r w:rsidR="000B389D">
          <w:rPr>
            <w:noProof/>
            <w:webHidden/>
          </w:rPr>
          <w:fldChar w:fldCharType="begin"/>
        </w:r>
        <w:r w:rsidR="000B389D">
          <w:rPr>
            <w:noProof/>
            <w:webHidden/>
          </w:rPr>
          <w:instrText xml:space="preserve"> PAGEREF _Toc510788242 \h </w:instrText>
        </w:r>
        <w:r w:rsidR="000B389D">
          <w:rPr>
            <w:noProof/>
            <w:webHidden/>
          </w:rPr>
        </w:r>
        <w:r w:rsidR="000B389D">
          <w:rPr>
            <w:noProof/>
            <w:webHidden/>
          </w:rPr>
          <w:fldChar w:fldCharType="separate"/>
        </w:r>
        <w:r w:rsidR="000B389D">
          <w:rPr>
            <w:noProof/>
            <w:webHidden/>
          </w:rPr>
          <w:t>25</w:t>
        </w:r>
        <w:r w:rsidR="000B389D">
          <w:rPr>
            <w:noProof/>
            <w:webHidden/>
          </w:rPr>
          <w:fldChar w:fldCharType="end"/>
        </w:r>
      </w:hyperlink>
    </w:p>
    <w:p w14:paraId="1F12E96E" w14:textId="77777777" w:rsidR="000B389D" w:rsidRDefault="00D700F7">
      <w:pPr>
        <w:pStyle w:val="TOC2"/>
        <w:rPr>
          <w:rFonts w:asciiTheme="minorHAnsi" w:eastAsiaTheme="minorEastAsia" w:hAnsiTheme="minorHAnsi" w:cstheme="minorBidi"/>
          <w:noProof/>
          <w:sz w:val="22"/>
          <w:szCs w:val="22"/>
        </w:rPr>
      </w:pPr>
      <w:hyperlink w:anchor="_Toc510788243" w:history="1">
        <w:r w:rsidR="000B389D" w:rsidRPr="009437F9">
          <w:rPr>
            <w:rStyle w:val="Hyperlink"/>
            <w:noProof/>
          </w:rPr>
          <w:t>3.14</w:t>
        </w:r>
        <w:r w:rsidR="000B389D">
          <w:rPr>
            <w:rFonts w:asciiTheme="minorHAnsi" w:eastAsiaTheme="minorEastAsia" w:hAnsiTheme="minorHAnsi" w:cstheme="minorBidi"/>
            <w:noProof/>
            <w:sz w:val="22"/>
            <w:szCs w:val="22"/>
          </w:rPr>
          <w:tab/>
        </w:r>
        <w:r w:rsidR="000B389D" w:rsidRPr="009437F9">
          <w:rPr>
            <w:rStyle w:val="Hyperlink"/>
            <w:noProof/>
          </w:rPr>
          <w:t>Variable Asset Replacement Payment (Put Periods).</w:t>
        </w:r>
        <w:r w:rsidR="000B389D">
          <w:rPr>
            <w:noProof/>
            <w:webHidden/>
          </w:rPr>
          <w:tab/>
        </w:r>
        <w:r w:rsidR="000B389D">
          <w:rPr>
            <w:noProof/>
            <w:webHidden/>
          </w:rPr>
          <w:fldChar w:fldCharType="begin"/>
        </w:r>
        <w:r w:rsidR="000B389D">
          <w:rPr>
            <w:noProof/>
            <w:webHidden/>
          </w:rPr>
          <w:instrText xml:space="preserve"> PAGEREF _Toc510788243 \h </w:instrText>
        </w:r>
        <w:r w:rsidR="000B389D">
          <w:rPr>
            <w:noProof/>
            <w:webHidden/>
          </w:rPr>
        </w:r>
        <w:r w:rsidR="000B389D">
          <w:rPr>
            <w:noProof/>
            <w:webHidden/>
          </w:rPr>
          <w:fldChar w:fldCharType="separate"/>
        </w:r>
        <w:r w:rsidR="000B389D">
          <w:rPr>
            <w:noProof/>
            <w:webHidden/>
          </w:rPr>
          <w:t>25</w:t>
        </w:r>
        <w:r w:rsidR="000B389D">
          <w:rPr>
            <w:noProof/>
            <w:webHidden/>
          </w:rPr>
          <w:fldChar w:fldCharType="end"/>
        </w:r>
      </w:hyperlink>
    </w:p>
    <w:p w14:paraId="3391E5F9" w14:textId="77777777" w:rsidR="000B389D" w:rsidRDefault="00D700F7">
      <w:pPr>
        <w:pStyle w:val="TOC2"/>
        <w:rPr>
          <w:rFonts w:asciiTheme="minorHAnsi" w:eastAsiaTheme="minorEastAsia" w:hAnsiTheme="minorHAnsi" w:cstheme="minorBidi"/>
          <w:noProof/>
          <w:sz w:val="22"/>
          <w:szCs w:val="22"/>
        </w:rPr>
      </w:pPr>
      <w:hyperlink w:anchor="_Toc510788244" w:history="1">
        <w:r w:rsidR="000B389D" w:rsidRPr="009437F9">
          <w:rPr>
            <w:rStyle w:val="Hyperlink"/>
            <w:noProof/>
          </w:rPr>
          <w:t>3.15</w:t>
        </w:r>
        <w:r w:rsidR="000B389D">
          <w:rPr>
            <w:rFonts w:asciiTheme="minorHAnsi" w:eastAsiaTheme="minorEastAsia" w:hAnsiTheme="minorHAnsi" w:cstheme="minorBidi"/>
            <w:noProof/>
            <w:sz w:val="22"/>
            <w:szCs w:val="22"/>
          </w:rPr>
          <w:tab/>
        </w:r>
        <w:r w:rsidR="000B389D" w:rsidRPr="009437F9">
          <w:rPr>
            <w:rStyle w:val="Hyperlink"/>
            <w:noProof/>
          </w:rPr>
          <w:t>SDD Charge and SDD Administrative Charge (Put Periods).</w:t>
        </w:r>
        <w:r w:rsidR="000B389D">
          <w:rPr>
            <w:noProof/>
            <w:webHidden/>
          </w:rPr>
          <w:tab/>
        </w:r>
        <w:r w:rsidR="000B389D">
          <w:rPr>
            <w:noProof/>
            <w:webHidden/>
          </w:rPr>
          <w:fldChar w:fldCharType="begin"/>
        </w:r>
        <w:r w:rsidR="000B389D">
          <w:rPr>
            <w:noProof/>
            <w:webHidden/>
          </w:rPr>
          <w:instrText xml:space="preserve"> PAGEREF _Toc510788244 \h </w:instrText>
        </w:r>
        <w:r w:rsidR="000B389D">
          <w:rPr>
            <w:noProof/>
            <w:webHidden/>
          </w:rPr>
        </w:r>
        <w:r w:rsidR="000B389D">
          <w:rPr>
            <w:noProof/>
            <w:webHidden/>
          </w:rPr>
          <w:fldChar w:fldCharType="separate"/>
        </w:r>
        <w:r w:rsidR="000B389D">
          <w:rPr>
            <w:noProof/>
            <w:webHidden/>
          </w:rPr>
          <w:t>26</w:t>
        </w:r>
        <w:r w:rsidR="000B389D">
          <w:rPr>
            <w:noProof/>
            <w:webHidden/>
          </w:rPr>
          <w:fldChar w:fldCharType="end"/>
        </w:r>
      </w:hyperlink>
    </w:p>
    <w:p w14:paraId="7F304018" w14:textId="77777777" w:rsidR="000B389D" w:rsidRDefault="00D700F7" w:rsidP="00DD474F">
      <w:pPr>
        <w:pStyle w:val="TOC1"/>
        <w:rPr>
          <w:rFonts w:asciiTheme="minorHAnsi" w:hAnsiTheme="minorHAnsi" w:cstheme="minorBidi"/>
          <w:noProof/>
          <w:sz w:val="22"/>
          <w:szCs w:val="22"/>
        </w:rPr>
      </w:pPr>
      <w:hyperlink w:anchor="_Toc510788245" w:history="1">
        <w:r w:rsidR="000B389D" w:rsidRPr="009437F9">
          <w:rPr>
            <w:rStyle w:val="Hyperlink"/>
            <w:noProof/>
          </w:rPr>
          <w:t>ARTICLE 4.</w:t>
        </w:r>
        <w:r w:rsidR="000B389D">
          <w:rPr>
            <w:rFonts w:asciiTheme="minorHAnsi" w:hAnsiTheme="minorHAnsi" w:cstheme="minorBidi"/>
            <w:noProof/>
            <w:sz w:val="22"/>
            <w:szCs w:val="22"/>
          </w:rPr>
          <w:tab/>
        </w:r>
        <w:r w:rsidR="000B389D" w:rsidRPr="009437F9">
          <w:rPr>
            <w:rStyle w:val="Hyperlink"/>
            <w:noProof/>
          </w:rPr>
          <w:t>DESIGN AND CONSTRUCTION OF PROJECT</w:t>
        </w:r>
        <w:r w:rsidR="000B389D">
          <w:rPr>
            <w:noProof/>
            <w:webHidden/>
          </w:rPr>
          <w:tab/>
        </w:r>
        <w:r w:rsidR="000B389D">
          <w:rPr>
            <w:noProof/>
            <w:webHidden/>
          </w:rPr>
          <w:fldChar w:fldCharType="begin"/>
        </w:r>
        <w:r w:rsidR="000B389D">
          <w:rPr>
            <w:noProof/>
            <w:webHidden/>
          </w:rPr>
          <w:instrText xml:space="preserve"> PAGEREF _Toc510788245 \h </w:instrText>
        </w:r>
        <w:r w:rsidR="000B389D">
          <w:rPr>
            <w:noProof/>
            <w:webHidden/>
          </w:rPr>
        </w:r>
        <w:r w:rsidR="000B389D">
          <w:rPr>
            <w:noProof/>
            <w:webHidden/>
          </w:rPr>
          <w:fldChar w:fldCharType="separate"/>
        </w:r>
        <w:r w:rsidR="000B389D">
          <w:rPr>
            <w:noProof/>
            <w:webHidden/>
          </w:rPr>
          <w:t>27</w:t>
        </w:r>
        <w:r w:rsidR="000B389D">
          <w:rPr>
            <w:noProof/>
            <w:webHidden/>
          </w:rPr>
          <w:fldChar w:fldCharType="end"/>
        </w:r>
      </w:hyperlink>
    </w:p>
    <w:p w14:paraId="7917D339" w14:textId="77777777" w:rsidR="000B389D" w:rsidRDefault="00D700F7">
      <w:pPr>
        <w:pStyle w:val="TOC2"/>
        <w:rPr>
          <w:rFonts w:asciiTheme="minorHAnsi" w:eastAsiaTheme="minorEastAsia" w:hAnsiTheme="minorHAnsi" w:cstheme="minorBidi"/>
          <w:noProof/>
          <w:sz w:val="22"/>
          <w:szCs w:val="22"/>
        </w:rPr>
      </w:pPr>
      <w:hyperlink w:anchor="_Toc510788246" w:history="1">
        <w:r w:rsidR="000B389D" w:rsidRPr="009437F9">
          <w:rPr>
            <w:rStyle w:val="Hyperlink"/>
            <w:noProof/>
          </w:rPr>
          <w:t>4.01</w:t>
        </w:r>
        <w:r w:rsidR="000B389D">
          <w:rPr>
            <w:rFonts w:asciiTheme="minorHAnsi" w:eastAsiaTheme="minorEastAsia" w:hAnsiTheme="minorHAnsi" w:cstheme="minorBidi"/>
            <w:noProof/>
            <w:sz w:val="22"/>
            <w:szCs w:val="22"/>
          </w:rPr>
          <w:tab/>
        </w:r>
        <w:r w:rsidR="000B389D" w:rsidRPr="009437F9">
          <w:rPr>
            <w:rStyle w:val="Hyperlink"/>
            <w:noProof/>
          </w:rPr>
          <w:t>Seller’s Obligations.</w:t>
        </w:r>
        <w:r w:rsidR="000B389D">
          <w:rPr>
            <w:noProof/>
            <w:webHidden/>
          </w:rPr>
          <w:tab/>
        </w:r>
        <w:r w:rsidR="000B389D">
          <w:rPr>
            <w:noProof/>
            <w:webHidden/>
          </w:rPr>
          <w:fldChar w:fldCharType="begin"/>
        </w:r>
        <w:r w:rsidR="000B389D">
          <w:rPr>
            <w:noProof/>
            <w:webHidden/>
          </w:rPr>
          <w:instrText xml:space="preserve"> PAGEREF _Toc510788246 \h </w:instrText>
        </w:r>
        <w:r w:rsidR="000B389D">
          <w:rPr>
            <w:noProof/>
            <w:webHidden/>
          </w:rPr>
        </w:r>
        <w:r w:rsidR="000B389D">
          <w:rPr>
            <w:noProof/>
            <w:webHidden/>
          </w:rPr>
          <w:fldChar w:fldCharType="separate"/>
        </w:r>
        <w:r w:rsidR="000B389D">
          <w:rPr>
            <w:noProof/>
            <w:webHidden/>
          </w:rPr>
          <w:t>27</w:t>
        </w:r>
        <w:r w:rsidR="000B389D">
          <w:rPr>
            <w:noProof/>
            <w:webHidden/>
          </w:rPr>
          <w:fldChar w:fldCharType="end"/>
        </w:r>
      </w:hyperlink>
    </w:p>
    <w:p w14:paraId="220F3150" w14:textId="77777777" w:rsidR="000B389D" w:rsidRDefault="00D700F7">
      <w:pPr>
        <w:pStyle w:val="TOC2"/>
        <w:rPr>
          <w:rFonts w:asciiTheme="minorHAnsi" w:eastAsiaTheme="minorEastAsia" w:hAnsiTheme="minorHAnsi" w:cstheme="minorBidi"/>
          <w:noProof/>
          <w:sz w:val="22"/>
          <w:szCs w:val="22"/>
        </w:rPr>
      </w:pPr>
      <w:hyperlink w:anchor="_Toc510788247" w:history="1">
        <w:r w:rsidR="000B389D" w:rsidRPr="009437F9">
          <w:rPr>
            <w:rStyle w:val="Hyperlink"/>
            <w:noProof/>
          </w:rPr>
          <w:t>4.02</w:t>
        </w:r>
        <w:r w:rsidR="000B389D">
          <w:rPr>
            <w:rFonts w:asciiTheme="minorHAnsi" w:eastAsiaTheme="minorEastAsia" w:hAnsiTheme="minorHAnsi" w:cstheme="minorBidi"/>
            <w:noProof/>
            <w:sz w:val="22"/>
            <w:szCs w:val="22"/>
          </w:rPr>
          <w:tab/>
        </w:r>
        <w:r w:rsidR="000B389D" w:rsidRPr="009437F9">
          <w:rPr>
            <w:rStyle w:val="Hyperlink"/>
            <w:noProof/>
          </w:rPr>
          <w:t>Changes in Operational Characteristics.</w:t>
        </w:r>
        <w:r w:rsidR="000B389D">
          <w:rPr>
            <w:noProof/>
            <w:webHidden/>
          </w:rPr>
          <w:tab/>
        </w:r>
        <w:r w:rsidR="000B389D">
          <w:rPr>
            <w:noProof/>
            <w:webHidden/>
          </w:rPr>
          <w:fldChar w:fldCharType="begin"/>
        </w:r>
        <w:r w:rsidR="000B389D">
          <w:rPr>
            <w:noProof/>
            <w:webHidden/>
          </w:rPr>
          <w:instrText xml:space="preserve"> PAGEREF _Toc510788247 \h </w:instrText>
        </w:r>
        <w:r w:rsidR="000B389D">
          <w:rPr>
            <w:noProof/>
            <w:webHidden/>
          </w:rPr>
        </w:r>
        <w:r w:rsidR="000B389D">
          <w:rPr>
            <w:noProof/>
            <w:webHidden/>
          </w:rPr>
          <w:fldChar w:fldCharType="separate"/>
        </w:r>
        <w:r w:rsidR="000B389D">
          <w:rPr>
            <w:noProof/>
            <w:webHidden/>
          </w:rPr>
          <w:t>29</w:t>
        </w:r>
        <w:r w:rsidR="000B389D">
          <w:rPr>
            <w:noProof/>
            <w:webHidden/>
          </w:rPr>
          <w:fldChar w:fldCharType="end"/>
        </w:r>
      </w:hyperlink>
    </w:p>
    <w:p w14:paraId="3BE38A6D" w14:textId="77777777" w:rsidR="000B389D" w:rsidRDefault="00D700F7">
      <w:pPr>
        <w:pStyle w:val="TOC2"/>
        <w:rPr>
          <w:rFonts w:asciiTheme="minorHAnsi" w:eastAsiaTheme="minorEastAsia" w:hAnsiTheme="minorHAnsi" w:cstheme="minorBidi"/>
          <w:noProof/>
          <w:sz w:val="22"/>
          <w:szCs w:val="22"/>
        </w:rPr>
      </w:pPr>
      <w:hyperlink w:anchor="_Toc510788248" w:history="1">
        <w:r w:rsidR="000B389D" w:rsidRPr="009437F9">
          <w:rPr>
            <w:rStyle w:val="Hyperlink"/>
            <w:noProof/>
          </w:rPr>
          <w:t>4.03</w:t>
        </w:r>
        <w:r w:rsidR="000B389D">
          <w:rPr>
            <w:rFonts w:asciiTheme="minorHAnsi" w:eastAsiaTheme="minorEastAsia" w:hAnsiTheme="minorHAnsi" w:cstheme="minorBidi"/>
            <w:noProof/>
            <w:sz w:val="22"/>
            <w:szCs w:val="22"/>
          </w:rPr>
          <w:tab/>
        </w:r>
        <w:r w:rsidR="000B389D" w:rsidRPr="009437F9">
          <w:rPr>
            <w:rStyle w:val="Hyperlink"/>
            <w:noProof/>
          </w:rPr>
          <w:t>EPC Contractor.</w:t>
        </w:r>
        <w:r w:rsidR="000B389D">
          <w:rPr>
            <w:noProof/>
            <w:webHidden/>
          </w:rPr>
          <w:tab/>
        </w:r>
        <w:r w:rsidR="000B389D">
          <w:rPr>
            <w:noProof/>
            <w:webHidden/>
          </w:rPr>
          <w:fldChar w:fldCharType="begin"/>
        </w:r>
        <w:r w:rsidR="000B389D">
          <w:rPr>
            <w:noProof/>
            <w:webHidden/>
          </w:rPr>
          <w:instrText xml:space="preserve"> PAGEREF _Toc510788248 \h </w:instrText>
        </w:r>
        <w:r w:rsidR="000B389D">
          <w:rPr>
            <w:noProof/>
            <w:webHidden/>
          </w:rPr>
        </w:r>
        <w:r w:rsidR="000B389D">
          <w:rPr>
            <w:noProof/>
            <w:webHidden/>
          </w:rPr>
          <w:fldChar w:fldCharType="separate"/>
        </w:r>
        <w:r w:rsidR="000B389D">
          <w:rPr>
            <w:noProof/>
            <w:webHidden/>
          </w:rPr>
          <w:t>29</w:t>
        </w:r>
        <w:r w:rsidR="000B389D">
          <w:rPr>
            <w:noProof/>
            <w:webHidden/>
          </w:rPr>
          <w:fldChar w:fldCharType="end"/>
        </w:r>
      </w:hyperlink>
    </w:p>
    <w:p w14:paraId="23425290" w14:textId="77777777" w:rsidR="000B389D" w:rsidRDefault="00D700F7">
      <w:pPr>
        <w:pStyle w:val="TOC2"/>
        <w:rPr>
          <w:rFonts w:asciiTheme="minorHAnsi" w:eastAsiaTheme="minorEastAsia" w:hAnsiTheme="minorHAnsi" w:cstheme="minorBidi"/>
          <w:noProof/>
          <w:sz w:val="22"/>
          <w:szCs w:val="22"/>
        </w:rPr>
      </w:pPr>
      <w:hyperlink w:anchor="_Toc510788249" w:history="1">
        <w:r w:rsidR="000B389D" w:rsidRPr="009437F9">
          <w:rPr>
            <w:rStyle w:val="Hyperlink"/>
            <w:noProof/>
          </w:rPr>
          <w:t>4.04</w:t>
        </w:r>
        <w:r w:rsidR="000B389D">
          <w:rPr>
            <w:rFonts w:asciiTheme="minorHAnsi" w:eastAsiaTheme="minorEastAsia" w:hAnsiTheme="minorHAnsi" w:cstheme="minorBidi"/>
            <w:noProof/>
            <w:sz w:val="22"/>
            <w:szCs w:val="22"/>
          </w:rPr>
          <w:tab/>
        </w:r>
        <w:r w:rsidR="000B389D" w:rsidRPr="009437F9">
          <w:rPr>
            <w:rStyle w:val="Hyperlink"/>
            <w:noProof/>
          </w:rPr>
          <w:t>Provision of Information.</w:t>
        </w:r>
        <w:r w:rsidR="000B389D">
          <w:rPr>
            <w:noProof/>
            <w:webHidden/>
          </w:rPr>
          <w:tab/>
        </w:r>
        <w:r w:rsidR="000B389D">
          <w:rPr>
            <w:noProof/>
            <w:webHidden/>
          </w:rPr>
          <w:fldChar w:fldCharType="begin"/>
        </w:r>
        <w:r w:rsidR="000B389D">
          <w:rPr>
            <w:noProof/>
            <w:webHidden/>
          </w:rPr>
          <w:instrText xml:space="preserve"> PAGEREF _Toc510788249 \h </w:instrText>
        </w:r>
        <w:r w:rsidR="000B389D">
          <w:rPr>
            <w:noProof/>
            <w:webHidden/>
          </w:rPr>
        </w:r>
        <w:r w:rsidR="000B389D">
          <w:rPr>
            <w:noProof/>
            <w:webHidden/>
          </w:rPr>
          <w:fldChar w:fldCharType="separate"/>
        </w:r>
        <w:r w:rsidR="000B389D">
          <w:rPr>
            <w:noProof/>
            <w:webHidden/>
          </w:rPr>
          <w:t>29</w:t>
        </w:r>
        <w:r w:rsidR="000B389D">
          <w:rPr>
            <w:noProof/>
            <w:webHidden/>
          </w:rPr>
          <w:fldChar w:fldCharType="end"/>
        </w:r>
      </w:hyperlink>
    </w:p>
    <w:p w14:paraId="4266256B" w14:textId="77777777" w:rsidR="000B389D" w:rsidRDefault="00D700F7">
      <w:pPr>
        <w:pStyle w:val="TOC2"/>
        <w:rPr>
          <w:rFonts w:asciiTheme="minorHAnsi" w:eastAsiaTheme="minorEastAsia" w:hAnsiTheme="minorHAnsi" w:cstheme="minorBidi"/>
          <w:noProof/>
          <w:sz w:val="22"/>
          <w:szCs w:val="22"/>
        </w:rPr>
      </w:pPr>
      <w:hyperlink w:anchor="_Toc510788250" w:history="1">
        <w:r w:rsidR="000B389D" w:rsidRPr="009437F9">
          <w:rPr>
            <w:rStyle w:val="Hyperlink"/>
            <w:noProof/>
          </w:rPr>
          <w:t>4.05</w:t>
        </w:r>
        <w:r w:rsidR="000B389D">
          <w:rPr>
            <w:rFonts w:asciiTheme="minorHAnsi" w:eastAsiaTheme="minorEastAsia" w:hAnsiTheme="minorHAnsi" w:cstheme="minorBidi"/>
            <w:noProof/>
            <w:sz w:val="22"/>
            <w:szCs w:val="22"/>
          </w:rPr>
          <w:tab/>
        </w:r>
        <w:r w:rsidR="000B389D" w:rsidRPr="009437F9">
          <w:rPr>
            <w:rStyle w:val="Hyperlink"/>
            <w:noProof/>
          </w:rPr>
          <w:t>Inspection Rights.</w:t>
        </w:r>
        <w:r w:rsidR="000B389D">
          <w:rPr>
            <w:noProof/>
            <w:webHidden/>
          </w:rPr>
          <w:tab/>
        </w:r>
        <w:r w:rsidR="000B389D">
          <w:rPr>
            <w:noProof/>
            <w:webHidden/>
          </w:rPr>
          <w:fldChar w:fldCharType="begin"/>
        </w:r>
        <w:r w:rsidR="000B389D">
          <w:rPr>
            <w:noProof/>
            <w:webHidden/>
          </w:rPr>
          <w:instrText xml:space="preserve"> PAGEREF _Toc510788250 \h </w:instrText>
        </w:r>
        <w:r w:rsidR="000B389D">
          <w:rPr>
            <w:noProof/>
            <w:webHidden/>
          </w:rPr>
        </w:r>
        <w:r w:rsidR="000B389D">
          <w:rPr>
            <w:noProof/>
            <w:webHidden/>
          </w:rPr>
          <w:fldChar w:fldCharType="separate"/>
        </w:r>
        <w:r w:rsidR="000B389D">
          <w:rPr>
            <w:noProof/>
            <w:webHidden/>
          </w:rPr>
          <w:t>30</w:t>
        </w:r>
        <w:r w:rsidR="000B389D">
          <w:rPr>
            <w:noProof/>
            <w:webHidden/>
          </w:rPr>
          <w:fldChar w:fldCharType="end"/>
        </w:r>
      </w:hyperlink>
    </w:p>
    <w:p w14:paraId="63B6622B" w14:textId="77777777" w:rsidR="000B389D" w:rsidRDefault="00D700F7">
      <w:pPr>
        <w:pStyle w:val="TOC2"/>
        <w:rPr>
          <w:rFonts w:asciiTheme="minorHAnsi" w:eastAsiaTheme="minorEastAsia" w:hAnsiTheme="minorHAnsi" w:cstheme="minorBidi"/>
          <w:noProof/>
          <w:sz w:val="22"/>
          <w:szCs w:val="22"/>
        </w:rPr>
      </w:pPr>
      <w:hyperlink w:anchor="_Toc510788251" w:history="1">
        <w:r w:rsidR="000B389D" w:rsidRPr="009437F9">
          <w:rPr>
            <w:rStyle w:val="Hyperlink"/>
            <w:noProof/>
          </w:rPr>
          <w:t>4.06</w:t>
        </w:r>
        <w:r w:rsidR="000B389D">
          <w:rPr>
            <w:rFonts w:asciiTheme="minorHAnsi" w:eastAsiaTheme="minorEastAsia" w:hAnsiTheme="minorHAnsi" w:cstheme="minorBidi"/>
            <w:noProof/>
            <w:sz w:val="22"/>
            <w:szCs w:val="22"/>
          </w:rPr>
          <w:tab/>
        </w:r>
        <w:r w:rsidR="000B389D" w:rsidRPr="009437F9">
          <w:rPr>
            <w:rStyle w:val="Hyperlink"/>
            <w:noProof/>
          </w:rPr>
          <w:t>Milestone Schedule.</w:t>
        </w:r>
        <w:r w:rsidR="000B389D">
          <w:rPr>
            <w:noProof/>
            <w:webHidden/>
          </w:rPr>
          <w:tab/>
        </w:r>
        <w:r w:rsidR="000B389D">
          <w:rPr>
            <w:noProof/>
            <w:webHidden/>
          </w:rPr>
          <w:fldChar w:fldCharType="begin"/>
        </w:r>
        <w:r w:rsidR="000B389D">
          <w:rPr>
            <w:noProof/>
            <w:webHidden/>
          </w:rPr>
          <w:instrText xml:space="preserve"> PAGEREF _Toc510788251 \h </w:instrText>
        </w:r>
        <w:r w:rsidR="000B389D">
          <w:rPr>
            <w:noProof/>
            <w:webHidden/>
          </w:rPr>
        </w:r>
        <w:r w:rsidR="000B389D">
          <w:rPr>
            <w:noProof/>
            <w:webHidden/>
          </w:rPr>
          <w:fldChar w:fldCharType="separate"/>
        </w:r>
        <w:r w:rsidR="000B389D">
          <w:rPr>
            <w:noProof/>
            <w:webHidden/>
          </w:rPr>
          <w:t>31</w:t>
        </w:r>
        <w:r w:rsidR="000B389D">
          <w:rPr>
            <w:noProof/>
            <w:webHidden/>
          </w:rPr>
          <w:fldChar w:fldCharType="end"/>
        </w:r>
      </w:hyperlink>
    </w:p>
    <w:p w14:paraId="66E105D4" w14:textId="77777777" w:rsidR="000B389D" w:rsidRDefault="00D700F7">
      <w:pPr>
        <w:pStyle w:val="TOC2"/>
        <w:rPr>
          <w:rFonts w:asciiTheme="minorHAnsi" w:eastAsiaTheme="minorEastAsia" w:hAnsiTheme="minorHAnsi" w:cstheme="minorBidi"/>
          <w:noProof/>
          <w:sz w:val="22"/>
          <w:szCs w:val="22"/>
        </w:rPr>
      </w:pPr>
      <w:hyperlink w:anchor="_Toc510788252" w:history="1">
        <w:r w:rsidR="000B389D" w:rsidRPr="009437F9">
          <w:rPr>
            <w:rStyle w:val="Hyperlink"/>
            <w:noProof/>
          </w:rPr>
          <w:t>4.07</w:t>
        </w:r>
        <w:r w:rsidR="000B389D">
          <w:rPr>
            <w:rFonts w:asciiTheme="minorHAnsi" w:eastAsiaTheme="minorEastAsia" w:hAnsiTheme="minorHAnsi" w:cstheme="minorBidi"/>
            <w:noProof/>
            <w:sz w:val="22"/>
            <w:szCs w:val="22"/>
          </w:rPr>
          <w:tab/>
        </w:r>
        <w:r w:rsidR="000B389D" w:rsidRPr="009437F9">
          <w:rPr>
            <w:rStyle w:val="Hyperlink"/>
            <w:noProof/>
          </w:rPr>
          <w:t>Critical Path Development Milestones.</w:t>
        </w:r>
        <w:r w:rsidR="000B389D">
          <w:rPr>
            <w:noProof/>
            <w:webHidden/>
          </w:rPr>
          <w:tab/>
        </w:r>
        <w:r w:rsidR="000B389D">
          <w:rPr>
            <w:noProof/>
            <w:webHidden/>
          </w:rPr>
          <w:fldChar w:fldCharType="begin"/>
        </w:r>
        <w:r w:rsidR="000B389D">
          <w:rPr>
            <w:noProof/>
            <w:webHidden/>
          </w:rPr>
          <w:instrText xml:space="preserve"> PAGEREF _Toc510788252 \h </w:instrText>
        </w:r>
        <w:r w:rsidR="000B389D">
          <w:rPr>
            <w:noProof/>
            <w:webHidden/>
          </w:rPr>
        </w:r>
        <w:r w:rsidR="000B389D">
          <w:rPr>
            <w:noProof/>
            <w:webHidden/>
          </w:rPr>
          <w:fldChar w:fldCharType="separate"/>
        </w:r>
        <w:r w:rsidR="000B389D">
          <w:rPr>
            <w:noProof/>
            <w:webHidden/>
          </w:rPr>
          <w:t>31</w:t>
        </w:r>
        <w:r w:rsidR="000B389D">
          <w:rPr>
            <w:noProof/>
            <w:webHidden/>
          </w:rPr>
          <w:fldChar w:fldCharType="end"/>
        </w:r>
      </w:hyperlink>
    </w:p>
    <w:p w14:paraId="61A979AB" w14:textId="77777777" w:rsidR="000B389D" w:rsidRDefault="00D700F7" w:rsidP="00DD474F">
      <w:pPr>
        <w:pStyle w:val="TOC1"/>
        <w:rPr>
          <w:rFonts w:asciiTheme="minorHAnsi" w:hAnsiTheme="minorHAnsi" w:cstheme="minorBidi"/>
          <w:noProof/>
          <w:sz w:val="22"/>
          <w:szCs w:val="22"/>
        </w:rPr>
      </w:pPr>
      <w:hyperlink w:anchor="_Toc510788253" w:history="1">
        <w:r w:rsidR="000B389D" w:rsidRPr="009437F9">
          <w:rPr>
            <w:rStyle w:val="Hyperlink"/>
            <w:noProof/>
          </w:rPr>
          <w:t>ARTICLE 5.</w:t>
        </w:r>
        <w:r w:rsidR="000B389D">
          <w:rPr>
            <w:rFonts w:asciiTheme="minorHAnsi" w:hAnsiTheme="minorHAnsi" w:cstheme="minorBidi"/>
            <w:noProof/>
            <w:sz w:val="22"/>
            <w:szCs w:val="22"/>
          </w:rPr>
          <w:tab/>
        </w:r>
        <w:r w:rsidR="000B389D" w:rsidRPr="009437F9">
          <w:rPr>
            <w:rStyle w:val="Hyperlink"/>
            <w:noProof/>
          </w:rPr>
          <w:t>interconnection; Metering; Testing</w:t>
        </w:r>
        <w:r w:rsidR="000B389D">
          <w:rPr>
            <w:noProof/>
            <w:webHidden/>
          </w:rPr>
          <w:tab/>
        </w:r>
        <w:r w:rsidR="000B389D">
          <w:rPr>
            <w:noProof/>
            <w:webHidden/>
          </w:rPr>
          <w:fldChar w:fldCharType="begin"/>
        </w:r>
        <w:r w:rsidR="000B389D">
          <w:rPr>
            <w:noProof/>
            <w:webHidden/>
          </w:rPr>
          <w:instrText xml:space="preserve"> PAGEREF _Toc510788253 \h </w:instrText>
        </w:r>
        <w:r w:rsidR="000B389D">
          <w:rPr>
            <w:noProof/>
            <w:webHidden/>
          </w:rPr>
        </w:r>
        <w:r w:rsidR="000B389D">
          <w:rPr>
            <w:noProof/>
            <w:webHidden/>
          </w:rPr>
          <w:fldChar w:fldCharType="separate"/>
        </w:r>
        <w:r w:rsidR="000B389D">
          <w:rPr>
            <w:noProof/>
            <w:webHidden/>
          </w:rPr>
          <w:t>33</w:t>
        </w:r>
        <w:r w:rsidR="000B389D">
          <w:rPr>
            <w:noProof/>
            <w:webHidden/>
          </w:rPr>
          <w:fldChar w:fldCharType="end"/>
        </w:r>
      </w:hyperlink>
    </w:p>
    <w:p w14:paraId="3DAD854A" w14:textId="77777777" w:rsidR="000B389D" w:rsidRDefault="00D700F7">
      <w:pPr>
        <w:pStyle w:val="TOC2"/>
        <w:rPr>
          <w:rFonts w:asciiTheme="minorHAnsi" w:eastAsiaTheme="minorEastAsia" w:hAnsiTheme="minorHAnsi" w:cstheme="minorBidi"/>
          <w:noProof/>
          <w:sz w:val="22"/>
          <w:szCs w:val="22"/>
        </w:rPr>
      </w:pPr>
      <w:hyperlink w:anchor="_Toc510788254" w:history="1">
        <w:r w:rsidR="000B389D" w:rsidRPr="009437F9">
          <w:rPr>
            <w:rStyle w:val="Hyperlink"/>
            <w:noProof/>
          </w:rPr>
          <w:t>5.01</w:t>
        </w:r>
        <w:r w:rsidR="000B389D">
          <w:rPr>
            <w:rFonts w:asciiTheme="minorHAnsi" w:eastAsiaTheme="minorEastAsia" w:hAnsiTheme="minorHAnsi" w:cstheme="minorBidi"/>
            <w:noProof/>
            <w:sz w:val="22"/>
            <w:szCs w:val="22"/>
          </w:rPr>
          <w:tab/>
        </w:r>
        <w:r w:rsidR="000B389D" w:rsidRPr="009437F9">
          <w:rPr>
            <w:rStyle w:val="Hyperlink"/>
            <w:noProof/>
          </w:rPr>
          <w:t>Transmission and Interconnection.</w:t>
        </w:r>
        <w:r w:rsidR="000B389D">
          <w:rPr>
            <w:noProof/>
            <w:webHidden/>
          </w:rPr>
          <w:tab/>
        </w:r>
        <w:r w:rsidR="000B389D">
          <w:rPr>
            <w:noProof/>
            <w:webHidden/>
          </w:rPr>
          <w:fldChar w:fldCharType="begin"/>
        </w:r>
        <w:r w:rsidR="000B389D">
          <w:rPr>
            <w:noProof/>
            <w:webHidden/>
          </w:rPr>
          <w:instrText xml:space="preserve"> PAGEREF _Toc510788254 \h </w:instrText>
        </w:r>
        <w:r w:rsidR="000B389D">
          <w:rPr>
            <w:noProof/>
            <w:webHidden/>
          </w:rPr>
        </w:r>
        <w:r w:rsidR="000B389D">
          <w:rPr>
            <w:noProof/>
            <w:webHidden/>
          </w:rPr>
          <w:fldChar w:fldCharType="separate"/>
        </w:r>
        <w:r w:rsidR="000B389D">
          <w:rPr>
            <w:noProof/>
            <w:webHidden/>
          </w:rPr>
          <w:t>33</w:t>
        </w:r>
        <w:r w:rsidR="000B389D">
          <w:rPr>
            <w:noProof/>
            <w:webHidden/>
          </w:rPr>
          <w:fldChar w:fldCharType="end"/>
        </w:r>
      </w:hyperlink>
    </w:p>
    <w:p w14:paraId="44DF3E80" w14:textId="77777777" w:rsidR="000B389D" w:rsidRDefault="00D700F7">
      <w:pPr>
        <w:pStyle w:val="TOC2"/>
        <w:rPr>
          <w:rFonts w:asciiTheme="minorHAnsi" w:eastAsiaTheme="minorEastAsia" w:hAnsiTheme="minorHAnsi" w:cstheme="minorBidi"/>
          <w:noProof/>
          <w:sz w:val="22"/>
          <w:szCs w:val="22"/>
        </w:rPr>
      </w:pPr>
      <w:hyperlink w:anchor="_Toc510788255" w:history="1">
        <w:r w:rsidR="000B389D" w:rsidRPr="009437F9">
          <w:rPr>
            <w:rStyle w:val="Hyperlink"/>
            <w:noProof/>
          </w:rPr>
          <w:t>5.02</w:t>
        </w:r>
        <w:r w:rsidR="000B389D">
          <w:rPr>
            <w:rFonts w:asciiTheme="minorHAnsi" w:eastAsiaTheme="minorEastAsia" w:hAnsiTheme="minorHAnsi" w:cstheme="minorBidi"/>
            <w:noProof/>
            <w:sz w:val="22"/>
            <w:szCs w:val="22"/>
          </w:rPr>
          <w:tab/>
        </w:r>
        <w:r w:rsidR="000B389D" w:rsidRPr="009437F9">
          <w:rPr>
            <w:rStyle w:val="Hyperlink"/>
            <w:noProof/>
          </w:rPr>
          <w:t>Metering, Communications and Telemetry (Put Periods).</w:t>
        </w:r>
        <w:r w:rsidR="000B389D">
          <w:rPr>
            <w:noProof/>
            <w:webHidden/>
          </w:rPr>
          <w:tab/>
        </w:r>
        <w:r w:rsidR="000B389D">
          <w:rPr>
            <w:noProof/>
            <w:webHidden/>
          </w:rPr>
          <w:fldChar w:fldCharType="begin"/>
        </w:r>
        <w:r w:rsidR="000B389D">
          <w:rPr>
            <w:noProof/>
            <w:webHidden/>
          </w:rPr>
          <w:instrText xml:space="preserve"> PAGEREF _Toc510788255 \h </w:instrText>
        </w:r>
        <w:r w:rsidR="000B389D">
          <w:rPr>
            <w:noProof/>
            <w:webHidden/>
          </w:rPr>
        </w:r>
        <w:r w:rsidR="000B389D">
          <w:rPr>
            <w:noProof/>
            <w:webHidden/>
          </w:rPr>
          <w:fldChar w:fldCharType="separate"/>
        </w:r>
        <w:r w:rsidR="000B389D">
          <w:rPr>
            <w:noProof/>
            <w:webHidden/>
          </w:rPr>
          <w:t>36</w:t>
        </w:r>
        <w:r w:rsidR="000B389D">
          <w:rPr>
            <w:noProof/>
            <w:webHidden/>
          </w:rPr>
          <w:fldChar w:fldCharType="end"/>
        </w:r>
      </w:hyperlink>
    </w:p>
    <w:p w14:paraId="436D8D71" w14:textId="77777777" w:rsidR="000B389D" w:rsidRDefault="00D700F7">
      <w:pPr>
        <w:pStyle w:val="TOC2"/>
        <w:rPr>
          <w:rFonts w:asciiTheme="minorHAnsi" w:eastAsiaTheme="minorEastAsia" w:hAnsiTheme="minorHAnsi" w:cstheme="minorBidi"/>
          <w:noProof/>
          <w:sz w:val="22"/>
          <w:szCs w:val="22"/>
        </w:rPr>
      </w:pPr>
      <w:hyperlink w:anchor="_Toc510788256" w:history="1">
        <w:r w:rsidR="000B389D" w:rsidRPr="009437F9">
          <w:rPr>
            <w:rStyle w:val="Hyperlink"/>
            <w:noProof/>
          </w:rPr>
          <w:t>5.03</w:t>
        </w:r>
        <w:r w:rsidR="000B389D">
          <w:rPr>
            <w:rFonts w:asciiTheme="minorHAnsi" w:eastAsiaTheme="minorEastAsia" w:hAnsiTheme="minorHAnsi" w:cstheme="minorBidi"/>
            <w:noProof/>
            <w:sz w:val="22"/>
            <w:szCs w:val="22"/>
          </w:rPr>
          <w:tab/>
        </w:r>
        <w:r w:rsidR="000B389D" w:rsidRPr="009437F9">
          <w:rPr>
            <w:rStyle w:val="Hyperlink"/>
            <w:noProof/>
          </w:rPr>
          <w:t>Testing.</w:t>
        </w:r>
        <w:r w:rsidR="000B389D">
          <w:rPr>
            <w:noProof/>
            <w:webHidden/>
          </w:rPr>
          <w:tab/>
        </w:r>
        <w:r w:rsidR="000B389D">
          <w:rPr>
            <w:noProof/>
            <w:webHidden/>
          </w:rPr>
          <w:fldChar w:fldCharType="begin"/>
        </w:r>
        <w:r w:rsidR="000B389D">
          <w:rPr>
            <w:noProof/>
            <w:webHidden/>
          </w:rPr>
          <w:instrText xml:space="preserve"> PAGEREF _Toc510788256 \h </w:instrText>
        </w:r>
        <w:r w:rsidR="000B389D">
          <w:rPr>
            <w:noProof/>
            <w:webHidden/>
          </w:rPr>
        </w:r>
        <w:r w:rsidR="000B389D">
          <w:rPr>
            <w:noProof/>
            <w:webHidden/>
          </w:rPr>
          <w:fldChar w:fldCharType="separate"/>
        </w:r>
        <w:r w:rsidR="000B389D">
          <w:rPr>
            <w:noProof/>
            <w:webHidden/>
          </w:rPr>
          <w:t>37</w:t>
        </w:r>
        <w:r w:rsidR="000B389D">
          <w:rPr>
            <w:noProof/>
            <w:webHidden/>
          </w:rPr>
          <w:fldChar w:fldCharType="end"/>
        </w:r>
      </w:hyperlink>
    </w:p>
    <w:p w14:paraId="5CD7F2D4" w14:textId="77777777" w:rsidR="000B389D" w:rsidRDefault="00D700F7">
      <w:pPr>
        <w:pStyle w:val="TOC2"/>
        <w:rPr>
          <w:rFonts w:asciiTheme="minorHAnsi" w:eastAsiaTheme="minorEastAsia" w:hAnsiTheme="minorHAnsi" w:cstheme="minorBidi"/>
          <w:noProof/>
          <w:sz w:val="22"/>
          <w:szCs w:val="22"/>
        </w:rPr>
      </w:pPr>
      <w:hyperlink w:anchor="_Toc510788257" w:history="1">
        <w:r w:rsidR="000B389D" w:rsidRPr="009437F9">
          <w:rPr>
            <w:rStyle w:val="Hyperlink"/>
            <w:noProof/>
          </w:rPr>
          <w:t>5.04</w:t>
        </w:r>
        <w:r w:rsidR="000B389D">
          <w:rPr>
            <w:rFonts w:asciiTheme="minorHAnsi" w:eastAsiaTheme="minorEastAsia" w:hAnsiTheme="minorHAnsi" w:cstheme="minorBidi"/>
            <w:noProof/>
            <w:sz w:val="22"/>
            <w:szCs w:val="22"/>
          </w:rPr>
          <w:tab/>
        </w:r>
        <w:r w:rsidR="000B389D" w:rsidRPr="009437F9">
          <w:rPr>
            <w:rStyle w:val="Hyperlink"/>
            <w:noProof/>
          </w:rPr>
          <w:t>CAISO Certification.</w:t>
        </w:r>
        <w:r w:rsidR="000B389D">
          <w:rPr>
            <w:noProof/>
            <w:webHidden/>
          </w:rPr>
          <w:tab/>
        </w:r>
        <w:r w:rsidR="000B389D">
          <w:rPr>
            <w:noProof/>
            <w:webHidden/>
          </w:rPr>
          <w:fldChar w:fldCharType="begin"/>
        </w:r>
        <w:r w:rsidR="000B389D">
          <w:rPr>
            <w:noProof/>
            <w:webHidden/>
          </w:rPr>
          <w:instrText xml:space="preserve"> PAGEREF _Toc510788257 \h </w:instrText>
        </w:r>
        <w:r w:rsidR="000B389D">
          <w:rPr>
            <w:noProof/>
            <w:webHidden/>
          </w:rPr>
        </w:r>
        <w:r w:rsidR="000B389D">
          <w:rPr>
            <w:noProof/>
            <w:webHidden/>
          </w:rPr>
          <w:fldChar w:fldCharType="separate"/>
        </w:r>
        <w:r w:rsidR="000B389D">
          <w:rPr>
            <w:noProof/>
            <w:webHidden/>
          </w:rPr>
          <w:t>41</w:t>
        </w:r>
        <w:r w:rsidR="000B389D">
          <w:rPr>
            <w:noProof/>
            <w:webHidden/>
          </w:rPr>
          <w:fldChar w:fldCharType="end"/>
        </w:r>
      </w:hyperlink>
    </w:p>
    <w:p w14:paraId="638B937E" w14:textId="77777777" w:rsidR="000B389D" w:rsidRDefault="00D700F7" w:rsidP="00DD474F">
      <w:pPr>
        <w:pStyle w:val="TOC1"/>
        <w:rPr>
          <w:rFonts w:asciiTheme="minorHAnsi" w:hAnsiTheme="minorHAnsi" w:cstheme="minorBidi"/>
          <w:noProof/>
          <w:sz w:val="22"/>
          <w:szCs w:val="22"/>
        </w:rPr>
      </w:pPr>
      <w:hyperlink w:anchor="_Toc510788258" w:history="1">
        <w:r w:rsidR="000B389D" w:rsidRPr="009437F9">
          <w:rPr>
            <w:rStyle w:val="Hyperlink"/>
            <w:noProof/>
          </w:rPr>
          <w:t>ARTICLE 6.</w:t>
        </w:r>
        <w:r w:rsidR="000B389D">
          <w:rPr>
            <w:rFonts w:asciiTheme="minorHAnsi" w:hAnsiTheme="minorHAnsi" w:cstheme="minorBidi"/>
            <w:noProof/>
            <w:sz w:val="22"/>
            <w:szCs w:val="22"/>
          </w:rPr>
          <w:tab/>
        </w:r>
        <w:r w:rsidR="000B389D" w:rsidRPr="009437F9">
          <w:rPr>
            <w:rStyle w:val="Hyperlink"/>
            <w:noProof/>
          </w:rPr>
          <w:t>SELLER’S OPERATION, MAINTENANCE AND REPAIR OBLIGATIONS</w:t>
        </w:r>
        <w:r w:rsidR="000B389D">
          <w:rPr>
            <w:noProof/>
            <w:webHidden/>
          </w:rPr>
          <w:tab/>
        </w:r>
        <w:r w:rsidR="000B389D">
          <w:rPr>
            <w:noProof/>
            <w:webHidden/>
          </w:rPr>
          <w:fldChar w:fldCharType="begin"/>
        </w:r>
        <w:r w:rsidR="000B389D">
          <w:rPr>
            <w:noProof/>
            <w:webHidden/>
          </w:rPr>
          <w:instrText xml:space="preserve"> PAGEREF _Toc510788258 \h </w:instrText>
        </w:r>
        <w:r w:rsidR="000B389D">
          <w:rPr>
            <w:noProof/>
            <w:webHidden/>
          </w:rPr>
        </w:r>
        <w:r w:rsidR="000B389D">
          <w:rPr>
            <w:noProof/>
            <w:webHidden/>
          </w:rPr>
          <w:fldChar w:fldCharType="separate"/>
        </w:r>
        <w:r w:rsidR="000B389D">
          <w:rPr>
            <w:noProof/>
            <w:webHidden/>
          </w:rPr>
          <w:t>41</w:t>
        </w:r>
        <w:r w:rsidR="000B389D">
          <w:rPr>
            <w:noProof/>
            <w:webHidden/>
          </w:rPr>
          <w:fldChar w:fldCharType="end"/>
        </w:r>
      </w:hyperlink>
    </w:p>
    <w:p w14:paraId="7CA638DD" w14:textId="77777777" w:rsidR="000B389D" w:rsidRDefault="00D700F7">
      <w:pPr>
        <w:pStyle w:val="TOC2"/>
        <w:rPr>
          <w:rFonts w:asciiTheme="minorHAnsi" w:eastAsiaTheme="minorEastAsia" w:hAnsiTheme="minorHAnsi" w:cstheme="minorBidi"/>
          <w:noProof/>
          <w:sz w:val="22"/>
          <w:szCs w:val="22"/>
        </w:rPr>
      </w:pPr>
      <w:hyperlink w:anchor="_Toc510788259" w:history="1">
        <w:r w:rsidR="000B389D" w:rsidRPr="009437F9">
          <w:rPr>
            <w:rStyle w:val="Hyperlink"/>
            <w:noProof/>
          </w:rPr>
          <w:t>6.01</w:t>
        </w:r>
        <w:r w:rsidR="000B389D">
          <w:rPr>
            <w:rFonts w:asciiTheme="minorHAnsi" w:eastAsiaTheme="minorEastAsia" w:hAnsiTheme="minorHAnsi" w:cstheme="minorBidi"/>
            <w:noProof/>
            <w:sz w:val="22"/>
            <w:szCs w:val="22"/>
          </w:rPr>
          <w:tab/>
        </w:r>
        <w:r w:rsidR="000B389D" w:rsidRPr="009437F9">
          <w:rPr>
            <w:rStyle w:val="Hyperlink"/>
            <w:noProof/>
          </w:rPr>
          <w:t>Seller’s Operation Obligations.</w:t>
        </w:r>
        <w:r w:rsidR="000B389D">
          <w:rPr>
            <w:noProof/>
            <w:webHidden/>
          </w:rPr>
          <w:tab/>
        </w:r>
        <w:r w:rsidR="000B389D">
          <w:rPr>
            <w:noProof/>
            <w:webHidden/>
          </w:rPr>
          <w:fldChar w:fldCharType="begin"/>
        </w:r>
        <w:r w:rsidR="000B389D">
          <w:rPr>
            <w:noProof/>
            <w:webHidden/>
          </w:rPr>
          <w:instrText xml:space="preserve"> PAGEREF _Toc510788259 \h </w:instrText>
        </w:r>
        <w:r w:rsidR="000B389D">
          <w:rPr>
            <w:noProof/>
            <w:webHidden/>
          </w:rPr>
        </w:r>
        <w:r w:rsidR="000B389D">
          <w:rPr>
            <w:noProof/>
            <w:webHidden/>
          </w:rPr>
          <w:fldChar w:fldCharType="separate"/>
        </w:r>
        <w:r w:rsidR="000B389D">
          <w:rPr>
            <w:noProof/>
            <w:webHidden/>
          </w:rPr>
          <w:t>41</w:t>
        </w:r>
        <w:r w:rsidR="000B389D">
          <w:rPr>
            <w:noProof/>
            <w:webHidden/>
          </w:rPr>
          <w:fldChar w:fldCharType="end"/>
        </w:r>
      </w:hyperlink>
    </w:p>
    <w:p w14:paraId="0FE06C4D" w14:textId="77777777" w:rsidR="000B389D" w:rsidRDefault="00D700F7">
      <w:pPr>
        <w:pStyle w:val="TOC2"/>
        <w:rPr>
          <w:rFonts w:asciiTheme="minorHAnsi" w:eastAsiaTheme="minorEastAsia" w:hAnsiTheme="minorHAnsi" w:cstheme="minorBidi"/>
          <w:noProof/>
          <w:sz w:val="22"/>
          <w:szCs w:val="22"/>
        </w:rPr>
      </w:pPr>
      <w:hyperlink w:anchor="_Toc510788260" w:history="1">
        <w:r w:rsidR="000B389D" w:rsidRPr="009437F9">
          <w:rPr>
            <w:rStyle w:val="Hyperlink"/>
            <w:noProof/>
          </w:rPr>
          <w:t>6.02</w:t>
        </w:r>
        <w:r w:rsidR="000B389D">
          <w:rPr>
            <w:rFonts w:asciiTheme="minorHAnsi" w:eastAsiaTheme="minorEastAsia" w:hAnsiTheme="minorHAnsi" w:cstheme="minorBidi"/>
            <w:noProof/>
            <w:sz w:val="22"/>
            <w:szCs w:val="22"/>
          </w:rPr>
          <w:tab/>
        </w:r>
        <w:r w:rsidR="000B389D" w:rsidRPr="009437F9">
          <w:rPr>
            <w:rStyle w:val="Hyperlink"/>
            <w:noProof/>
          </w:rPr>
          <w:t>Seller’s Maintenance and Repair Obligations.</w:t>
        </w:r>
        <w:r w:rsidR="000B389D">
          <w:rPr>
            <w:noProof/>
            <w:webHidden/>
          </w:rPr>
          <w:tab/>
        </w:r>
        <w:r w:rsidR="000B389D">
          <w:rPr>
            <w:noProof/>
            <w:webHidden/>
          </w:rPr>
          <w:fldChar w:fldCharType="begin"/>
        </w:r>
        <w:r w:rsidR="000B389D">
          <w:rPr>
            <w:noProof/>
            <w:webHidden/>
          </w:rPr>
          <w:instrText xml:space="preserve"> PAGEREF _Toc510788260 \h </w:instrText>
        </w:r>
        <w:r w:rsidR="000B389D">
          <w:rPr>
            <w:noProof/>
            <w:webHidden/>
          </w:rPr>
        </w:r>
        <w:r w:rsidR="000B389D">
          <w:rPr>
            <w:noProof/>
            <w:webHidden/>
          </w:rPr>
          <w:fldChar w:fldCharType="separate"/>
        </w:r>
        <w:r w:rsidR="000B389D">
          <w:rPr>
            <w:noProof/>
            <w:webHidden/>
          </w:rPr>
          <w:t>43</w:t>
        </w:r>
        <w:r w:rsidR="000B389D">
          <w:rPr>
            <w:noProof/>
            <w:webHidden/>
          </w:rPr>
          <w:fldChar w:fldCharType="end"/>
        </w:r>
      </w:hyperlink>
    </w:p>
    <w:p w14:paraId="2FA77CBF" w14:textId="77777777" w:rsidR="000B389D" w:rsidRDefault="00D700F7">
      <w:pPr>
        <w:pStyle w:val="TOC2"/>
        <w:rPr>
          <w:rFonts w:asciiTheme="minorHAnsi" w:eastAsiaTheme="minorEastAsia" w:hAnsiTheme="minorHAnsi" w:cstheme="minorBidi"/>
          <w:noProof/>
          <w:sz w:val="22"/>
          <w:szCs w:val="22"/>
        </w:rPr>
      </w:pPr>
      <w:hyperlink w:anchor="_Toc510788261" w:history="1">
        <w:r w:rsidR="000B389D" w:rsidRPr="009437F9">
          <w:rPr>
            <w:rStyle w:val="Hyperlink"/>
            <w:noProof/>
          </w:rPr>
          <w:t>6.03</w:t>
        </w:r>
        <w:r w:rsidR="000B389D">
          <w:rPr>
            <w:rFonts w:asciiTheme="minorHAnsi" w:eastAsiaTheme="minorEastAsia" w:hAnsiTheme="minorHAnsi" w:cstheme="minorBidi"/>
            <w:noProof/>
            <w:sz w:val="22"/>
            <w:szCs w:val="22"/>
          </w:rPr>
          <w:tab/>
        </w:r>
        <w:r w:rsidR="000B389D" w:rsidRPr="009437F9">
          <w:rPr>
            <w:rStyle w:val="Hyperlink"/>
            <w:noProof/>
          </w:rPr>
          <w:t>Delivery.</w:t>
        </w:r>
        <w:r w:rsidR="000B389D">
          <w:rPr>
            <w:noProof/>
            <w:webHidden/>
          </w:rPr>
          <w:tab/>
        </w:r>
        <w:r w:rsidR="000B389D">
          <w:rPr>
            <w:noProof/>
            <w:webHidden/>
          </w:rPr>
          <w:fldChar w:fldCharType="begin"/>
        </w:r>
        <w:r w:rsidR="000B389D">
          <w:rPr>
            <w:noProof/>
            <w:webHidden/>
          </w:rPr>
          <w:instrText xml:space="preserve"> PAGEREF _Toc510788261 \h </w:instrText>
        </w:r>
        <w:r w:rsidR="000B389D">
          <w:rPr>
            <w:noProof/>
            <w:webHidden/>
          </w:rPr>
        </w:r>
        <w:r w:rsidR="000B389D">
          <w:rPr>
            <w:noProof/>
            <w:webHidden/>
          </w:rPr>
          <w:fldChar w:fldCharType="separate"/>
        </w:r>
        <w:r w:rsidR="000B389D">
          <w:rPr>
            <w:noProof/>
            <w:webHidden/>
          </w:rPr>
          <w:t>46</w:t>
        </w:r>
        <w:r w:rsidR="000B389D">
          <w:rPr>
            <w:noProof/>
            <w:webHidden/>
          </w:rPr>
          <w:fldChar w:fldCharType="end"/>
        </w:r>
      </w:hyperlink>
    </w:p>
    <w:p w14:paraId="47697CC2" w14:textId="77777777" w:rsidR="000B389D" w:rsidRDefault="00D700F7">
      <w:pPr>
        <w:pStyle w:val="TOC2"/>
        <w:rPr>
          <w:rFonts w:asciiTheme="minorHAnsi" w:eastAsiaTheme="minorEastAsia" w:hAnsiTheme="minorHAnsi" w:cstheme="minorBidi"/>
          <w:noProof/>
          <w:sz w:val="22"/>
          <w:szCs w:val="22"/>
        </w:rPr>
      </w:pPr>
      <w:hyperlink w:anchor="_Toc510788262" w:history="1">
        <w:r w:rsidR="000B389D" w:rsidRPr="009437F9">
          <w:rPr>
            <w:rStyle w:val="Hyperlink"/>
            <w:noProof/>
          </w:rPr>
          <w:t>6.04</w:t>
        </w:r>
        <w:r w:rsidR="000B389D">
          <w:rPr>
            <w:rFonts w:asciiTheme="minorHAnsi" w:eastAsiaTheme="minorEastAsia" w:hAnsiTheme="minorHAnsi" w:cstheme="minorBidi"/>
            <w:noProof/>
            <w:sz w:val="22"/>
            <w:szCs w:val="22"/>
          </w:rPr>
          <w:tab/>
        </w:r>
        <w:r w:rsidR="000B389D" w:rsidRPr="009437F9">
          <w:rPr>
            <w:rStyle w:val="Hyperlink"/>
            <w:noProof/>
          </w:rPr>
          <w:t>Local Resource Constrained Days Dispatch.</w:t>
        </w:r>
        <w:r w:rsidR="000B389D">
          <w:rPr>
            <w:noProof/>
            <w:webHidden/>
          </w:rPr>
          <w:tab/>
        </w:r>
        <w:r w:rsidR="000B389D">
          <w:rPr>
            <w:noProof/>
            <w:webHidden/>
          </w:rPr>
          <w:fldChar w:fldCharType="begin"/>
        </w:r>
        <w:r w:rsidR="000B389D">
          <w:rPr>
            <w:noProof/>
            <w:webHidden/>
          </w:rPr>
          <w:instrText xml:space="preserve"> PAGEREF _Toc510788262 \h </w:instrText>
        </w:r>
        <w:r w:rsidR="000B389D">
          <w:rPr>
            <w:noProof/>
            <w:webHidden/>
          </w:rPr>
        </w:r>
        <w:r w:rsidR="000B389D">
          <w:rPr>
            <w:noProof/>
            <w:webHidden/>
          </w:rPr>
          <w:fldChar w:fldCharType="separate"/>
        </w:r>
        <w:r w:rsidR="000B389D">
          <w:rPr>
            <w:noProof/>
            <w:webHidden/>
          </w:rPr>
          <w:t>49</w:t>
        </w:r>
        <w:r w:rsidR="000B389D">
          <w:rPr>
            <w:noProof/>
            <w:webHidden/>
          </w:rPr>
          <w:fldChar w:fldCharType="end"/>
        </w:r>
      </w:hyperlink>
    </w:p>
    <w:p w14:paraId="34E4025B" w14:textId="77777777" w:rsidR="000B389D" w:rsidRDefault="00D700F7">
      <w:pPr>
        <w:pStyle w:val="TOC2"/>
        <w:rPr>
          <w:rFonts w:asciiTheme="minorHAnsi" w:eastAsiaTheme="minorEastAsia" w:hAnsiTheme="minorHAnsi" w:cstheme="minorBidi"/>
          <w:noProof/>
          <w:sz w:val="22"/>
          <w:szCs w:val="22"/>
        </w:rPr>
      </w:pPr>
      <w:hyperlink w:anchor="_Toc510788263" w:history="1">
        <w:r w:rsidR="000B389D" w:rsidRPr="009437F9">
          <w:rPr>
            <w:rStyle w:val="Hyperlink"/>
            <w:noProof/>
          </w:rPr>
          <w:t>6.05</w:t>
        </w:r>
        <w:r w:rsidR="000B389D">
          <w:rPr>
            <w:rFonts w:asciiTheme="minorHAnsi" w:eastAsiaTheme="minorEastAsia" w:hAnsiTheme="minorHAnsi" w:cstheme="minorBidi"/>
            <w:noProof/>
            <w:sz w:val="22"/>
            <w:szCs w:val="22"/>
          </w:rPr>
          <w:tab/>
        </w:r>
        <w:r w:rsidR="000B389D" w:rsidRPr="009437F9">
          <w:rPr>
            <w:rStyle w:val="Hyperlink"/>
            <w:noProof/>
          </w:rPr>
          <w:t>Scheduling Coordinator (Put Periods).</w:t>
        </w:r>
        <w:r w:rsidR="000B389D">
          <w:rPr>
            <w:noProof/>
            <w:webHidden/>
          </w:rPr>
          <w:tab/>
        </w:r>
        <w:r w:rsidR="000B389D">
          <w:rPr>
            <w:noProof/>
            <w:webHidden/>
          </w:rPr>
          <w:fldChar w:fldCharType="begin"/>
        </w:r>
        <w:r w:rsidR="000B389D">
          <w:rPr>
            <w:noProof/>
            <w:webHidden/>
          </w:rPr>
          <w:instrText xml:space="preserve"> PAGEREF _Toc510788263 \h </w:instrText>
        </w:r>
        <w:r w:rsidR="000B389D">
          <w:rPr>
            <w:noProof/>
            <w:webHidden/>
          </w:rPr>
        </w:r>
        <w:r w:rsidR="000B389D">
          <w:rPr>
            <w:noProof/>
            <w:webHidden/>
          </w:rPr>
          <w:fldChar w:fldCharType="separate"/>
        </w:r>
        <w:r w:rsidR="000B389D">
          <w:rPr>
            <w:noProof/>
            <w:webHidden/>
          </w:rPr>
          <w:t>50</w:t>
        </w:r>
        <w:r w:rsidR="000B389D">
          <w:rPr>
            <w:noProof/>
            <w:webHidden/>
          </w:rPr>
          <w:fldChar w:fldCharType="end"/>
        </w:r>
      </w:hyperlink>
    </w:p>
    <w:p w14:paraId="2A3B3BC5" w14:textId="77777777" w:rsidR="000B389D" w:rsidRDefault="00D700F7">
      <w:pPr>
        <w:pStyle w:val="TOC2"/>
        <w:rPr>
          <w:rFonts w:asciiTheme="minorHAnsi" w:eastAsiaTheme="minorEastAsia" w:hAnsiTheme="minorHAnsi" w:cstheme="minorBidi"/>
          <w:noProof/>
          <w:sz w:val="22"/>
          <w:szCs w:val="22"/>
        </w:rPr>
      </w:pPr>
      <w:hyperlink w:anchor="_Toc510788264" w:history="1">
        <w:r w:rsidR="000B389D" w:rsidRPr="009437F9">
          <w:rPr>
            <w:rStyle w:val="Hyperlink"/>
            <w:noProof/>
          </w:rPr>
          <w:t>6.06</w:t>
        </w:r>
        <w:r w:rsidR="000B389D">
          <w:rPr>
            <w:rFonts w:asciiTheme="minorHAnsi" w:eastAsiaTheme="minorEastAsia" w:hAnsiTheme="minorHAnsi" w:cstheme="minorBidi"/>
            <w:noProof/>
            <w:sz w:val="22"/>
            <w:szCs w:val="22"/>
          </w:rPr>
          <w:tab/>
        </w:r>
        <w:r w:rsidR="000B389D" w:rsidRPr="009437F9">
          <w:rPr>
            <w:rStyle w:val="Hyperlink"/>
            <w:noProof/>
          </w:rPr>
          <w:t>Outages.</w:t>
        </w:r>
        <w:r w:rsidR="000B389D">
          <w:rPr>
            <w:noProof/>
            <w:webHidden/>
          </w:rPr>
          <w:tab/>
        </w:r>
        <w:r w:rsidR="000B389D">
          <w:rPr>
            <w:noProof/>
            <w:webHidden/>
          </w:rPr>
          <w:fldChar w:fldCharType="begin"/>
        </w:r>
        <w:r w:rsidR="000B389D">
          <w:rPr>
            <w:noProof/>
            <w:webHidden/>
          </w:rPr>
          <w:instrText xml:space="preserve"> PAGEREF _Toc510788264 \h </w:instrText>
        </w:r>
        <w:r w:rsidR="000B389D">
          <w:rPr>
            <w:noProof/>
            <w:webHidden/>
          </w:rPr>
        </w:r>
        <w:r w:rsidR="000B389D">
          <w:rPr>
            <w:noProof/>
            <w:webHidden/>
          </w:rPr>
          <w:fldChar w:fldCharType="separate"/>
        </w:r>
        <w:r w:rsidR="000B389D">
          <w:rPr>
            <w:noProof/>
            <w:webHidden/>
          </w:rPr>
          <w:t>55</w:t>
        </w:r>
        <w:r w:rsidR="000B389D">
          <w:rPr>
            <w:noProof/>
            <w:webHidden/>
          </w:rPr>
          <w:fldChar w:fldCharType="end"/>
        </w:r>
      </w:hyperlink>
    </w:p>
    <w:p w14:paraId="3D70BED2" w14:textId="77777777" w:rsidR="000B389D" w:rsidRDefault="00D700F7">
      <w:pPr>
        <w:pStyle w:val="TOC2"/>
        <w:rPr>
          <w:rFonts w:asciiTheme="minorHAnsi" w:eastAsiaTheme="minorEastAsia" w:hAnsiTheme="minorHAnsi" w:cstheme="minorBidi"/>
          <w:noProof/>
          <w:sz w:val="22"/>
          <w:szCs w:val="22"/>
        </w:rPr>
      </w:pPr>
      <w:hyperlink w:anchor="_Toc510788265" w:history="1">
        <w:r w:rsidR="000B389D" w:rsidRPr="009437F9">
          <w:rPr>
            <w:rStyle w:val="Hyperlink"/>
            <w:noProof/>
          </w:rPr>
          <w:t>6.07</w:t>
        </w:r>
        <w:r w:rsidR="000B389D">
          <w:rPr>
            <w:rFonts w:asciiTheme="minorHAnsi" w:eastAsiaTheme="minorEastAsia" w:hAnsiTheme="minorHAnsi" w:cstheme="minorBidi"/>
            <w:noProof/>
            <w:sz w:val="22"/>
            <w:szCs w:val="22"/>
          </w:rPr>
          <w:tab/>
        </w:r>
        <w:r w:rsidR="000B389D" w:rsidRPr="009437F9">
          <w:rPr>
            <w:rStyle w:val="Hyperlink"/>
            <w:noProof/>
          </w:rPr>
          <w:t>Operational Notices (Put Periods).</w:t>
        </w:r>
        <w:r w:rsidR="000B389D">
          <w:rPr>
            <w:noProof/>
            <w:webHidden/>
          </w:rPr>
          <w:tab/>
        </w:r>
        <w:r w:rsidR="000B389D">
          <w:rPr>
            <w:noProof/>
            <w:webHidden/>
          </w:rPr>
          <w:fldChar w:fldCharType="begin"/>
        </w:r>
        <w:r w:rsidR="000B389D">
          <w:rPr>
            <w:noProof/>
            <w:webHidden/>
          </w:rPr>
          <w:instrText xml:space="preserve"> PAGEREF _Toc510788265 \h </w:instrText>
        </w:r>
        <w:r w:rsidR="000B389D">
          <w:rPr>
            <w:noProof/>
            <w:webHidden/>
          </w:rPr>
        </w:r>
        <w:r w:rsidR="000B389D">
          <w:rPr>
            <w:noProof/>
            <w:webHidden/>
          </w:rPr>
          <w:fldChar w:fldCharType="separate"/>
        </w:r>
        <w:r w:rsidR="000B389D">
          <w:rPr>
            <w:noProof/>
            <w:webHidden/>
          </w:rPr>
          <w:t>57</w:t>
        </w:r>
        <w:r w:rsidR="000B389D">
          <w:rPr>
            <w:noProof/>
            <w:webHidden/>
          </w:rPr>
          <w:fldChar w:fldCharType="end"/>
        </w:r>
      </w:hyperlink>
    </w:p>
    <w:p w14:paraId="2955585B" w14:textId="77777777" w:rsidR="000B389D" w:rsidRDefault="00D700F7">
      <w:pPr>
        <w:pStyle w:val="TOC2"/>
        <w:rPr>
          <w:rFonts w:asciiTheme="minorHAnsi" w:eastAsiaTheme="minorEastAsia" w:hAnsiTheme="minorHAnsi" w:cstheme="minorBidi"/>
          <w:noProof/>
          <w:sz w:val="22"/>
          <w:szCs w:val="22"/>
        </w:rPr>
      </w:pPr>
      <w:hyperlink w:anchor="_Toc510788266" w:history="1">
        <w:r w:rsidR="000B389D" w:rsidRPr="009437F9">
          <w:rPr>
            <w:rStyle w:val="Hyperlink"/>
            <w:noProof/>
          </w:rPr>
          <w:t>6.08</w:t>
        </w:r>
        <w:r w:rsidR="000B389D">
          <w:rPr>
            <w:rFonts w:asciiTheme="minorHAnsi" w:eastAsiaTheme="minorEastAsia" w:hAnsiTheme="minorHAnsi" w:cstheme="minorBidi"/>
            <w:noProof/>
            <w:sz w:val="22"/>
            <w:szCs w:val="22"/>
          </w:rPr>
          <w:tab/>
        </w:r>
        <w:r w:rsidR="000B389D" w:rsidRPr="009437F9">
          <w:rPr>
            <w:rStyle w:val="Hyperlink"/>
            <w:noProof/>
          </w:rPr>
          <w:t>Charging Energy Management and Payments (Put Periods).</w:t>
        </w:r>
        <w:r w:rsidR="000B389D">
          <w:rPr>
            <w:noProof/>
            <w:webHidden/>
          </w:rPr>
          <w:tab/>
        </w:r>
        <w:r w:rsidR="000B389D">
          <w:rPr>
            <w:noProof/>
            <w:webHidden/>
          </w:rPr>
          <w:fldChar w:fldCharType="begin"/>
        </w:r>
        <w:r w:rsidR="000B389D">
          <w:rPr>
            <w:noProof/>
            <w:webHidden/>
          </w:rPr>
          <w:instrText xml:space="preserve"> PAGEREF _Toc510788266 \h </w:instrText>
        </w:r>
        <w:r w:rsidR="000B389D">
          <w:rPr>
            <w:noProof/>
            <w:webHidden/>
          </w:rPr>
        </w:r>
        <w:r w:rsidR="000B389D">
          <w:rPr>
            <w:noProof/>
            <w:webHidden/>
          </w:rPr>
          <w:fldChar w:fldCharType="separate"/>
        </w:r>
        <w:r w:rsidR="000B389D">
          <w:rPr>
            <w:noProof/>
            <w:webHidden/>
          </w:rPr>
          <w:t>59</w:t>
        </w:r>
        <w:r w:rsidR="000B389D">
          <w:rPr>
            <w:noProof/>
            <w:webHidden/>
          </w:rPr>
          <w:fldChar w:fldCharType="end"/>
        </w:r>
      </w:hyperlink>
    </w:p>
    <w:p w14:paraId="4A2B5B46" w14:textId="77777777" w:rsidR="000B389D" w:rsidRDefault="00D700F7">
      <w:pPr>
        <w:pStyle w:val="TOC2"/>
        <w:rPr>
          <w:rFonts w:asciiTheme="minorHAnsi" w:eastAsiaTheme="minorEastAsia" w:hAnsiTheme="minorHAnsi" w:cstheme="minorBidi"/>
          <w:noProof/>
          <w:sz w:val="22"/>
          <w:szCs w:val="22"/>
        </w:rPr>
      </w:pPr>
      <w:hyperlink w:anchor="_Toc510788267" w:history="1">
        <w:r w:rsidR="000B389D" w:rsidRPr="009437F9">
          <w:rPr>
            <w:rStyle w:val="Hyperlink"/>
            <w:noProof/>
          </w:rPr>
          <w:t>6.09</w:t>
        </w:r>
        <w:r w:rsidR="000B389D">
          <w:rPr>
            <w:rFonts w:asciiTheme="minorHAnsi" w:eastAsiaTheme="minorEastAsia" w:hAnsiTheme="minorHAnsi" w:cstheme="minorBidi"/>
            <w:noProof/>
            <w:sz w:val="22"/>
            <w:szCs w:val="22"/>
          </w:rPr>
          <w:tab/>
        </w:r>
        <w:r w:rsidR="000B389D" w:rsidRPr="009437F9">
          <w:rPr>
            <w:rStyle w:val="Hyperlink"/>
            <w:noProof/>
          </w:rPr>
          <w:t>CAISO and Non-SCE Dispatches (Put Periods).</w:t>
        </w:r>
        <w:r w:rsidR="000B389D">
          <w:rPr>
            <w:noProof/>
            <w:webHidden/>
          </w:rPr>
          <w:tab/>
        </w:r>
        <w:r w:rsidR="000B389D">
          <w:rPr>
            <w:noProof/>
            <w:webHidden/>
          </w:rPr>
          <w:fldChar w:fldCharType="begin"/>
        </w:r>
        <w:r w:rsidR="000B389D">
          <w:rPr>
            <w:noProof/>
            <w:webHidden/>
          </w:rPr>
          <w:instrText xml:space="preserve"> PAGEREF _Toc510788267 \h </w:instrText>
        </w:r>
        <w:r w:rsidR="000B389D">
          <w:rPr>
            <w:noProof/>
            <w:webHidden/>
          </w:rPr>
        </w:r>
        <w:r w:rsidR="000B389D">
          <w:rPr>
            <w:noProof/>
            <w:webHidden/>
          </w:rPr>
          <w:fldChar w:fldCharType="separate"/>
        </w:r>
        <w:r w:rsidR="000B389D">
          <w:rPr>
            <w:noProof/>
            <w:webHidden/>
          </w:rPr>
          <w:t>60</w:t>
        </w:r>
        <w:r w:rsidR="000B389D">
          <w:rPr>
            <w:noProof/>
            <w:webHidden/>
          </w:rPr>
          <w:fldChar w:fldCharType="end"/>
        </w:r>
      </w:hyperlink>
    </w:p>
    <w:p w14:paraId="7C595974" w14:textId="77777777" w:rsidR="000B389D" w:rsidRDefault="00D700F7" w:rsidP="00DD474F">
      <w:pPr>
        <w:pStyle w:val="TOC1"/>
        <w:rPr>
          <w:rFonts w:asciiTheme="minorHAnsi" w:hAnsiTheme="minorHAnsi" w:cstheme="minorBidi"/>
          <w:noProof/>
          <w:sz w:val="22"/>
          <w:szCs w:val="22"/>
        </w:rPr>
      </w:pPr>
      <w:hyperlink w:anchor="_Toc510788268" w:history="1">
        <w:r w:rsidR="000B389D" w:rsidRPr="009437F9">
          <w:rPr>
            <w:rStyle w:val="Hyperlink"/>
            <w:noProof/>
          </w:rPr>
          <w:t>ARTICLE 7.</w:t>
        </w:r>
        <w:r w:rsidR="000B389D">
          <w:rPr>
            <w:rFonts w:asciiTheme="minorHAnsi" w:hAnsiTheme="minorHAnsi" w:cstheme="minorBidi"/>
            <w:noProof/>
            <w:sz w:val="22"/>
            <w:szCs w:val="22"/>
          </w:rPr>
          <w:tab/>
        </w:r>
        <w:r w:rsidR="000B389D" w:rsidRPr="009437F9">
          <w:rPr>
            <w:rStyle w:val="Hyperlink"/>
            <w:noProof/>
          </w:rPr>
          <w:t>CREDIT AND COLLATERAL</w:t>
        </w:r>
        <w:r w:rsidR="000B389D">
          <w:rPr>
            <w:noProof/>
            <w:webHidden/>
          </w:rPr>
          <w:tab/>
        </w:r>
        <w:r w:rsidR="000B389D">
          <w:rPr>
            <w:noProof/>
            <w:webHidden/>
          </w:rPr>
          <w:fldChar w:fldCharType="begin"/>
        </w:r>
        <w:r w:rsidR="000B389D">
          <w:rPr>
            <w:noProof/>
            <w:webHidden/>
          </w:rPr>
          <w:instrText xml:space="preserve"> PAGEREF _Toc510788268 \h </w:instrText>
        </w:r>
        <w:r w:rsidR="000B389D">
          <w:rPr>
            <w:noProof/>
            <w:webHidden/>
          </w:rPr>
        </w:r>
        <w:r w:rsidR="000B389D">
          <w:rPr>
            <w:noProof/>
            <w:webHidden/>
          </w:rPr>
          <w:fldChar w:fldCharType="separate"/>
        </w:r>
        <w:r w:rsidR="000B389D">
          <w:rPr>
            <w:noProof/>
            <w:webHidden/>
          </w:rPr>
          <w:t>61</w:t>
        </w:r>
        <w:r w:rsidR="000B389D">
          <w:rPr>
            <w:noProof/>
            <w:webHidden/>
          </w:rPr>
          <w:fldChar w:fldCharType="end"/>
        </w:r>
      </w:hyperlink>
    </w:p>
    <w:p w14:paraId="0AC9ACDB" w14:textId="77777777" w:rsidR="000B389D" w:rsidRDefault="00D700F7">
      <w:pPr>
        <w:pStyle w:val="TOC2"/>
        <w:rPr>
          <w:rFonts w:asciiTheme="minorHAnsi" w:eastAsiaTheme="minorEastAsia" w:hAnsiTheme="minorHAnsi" w:cstheme="minorBidi"/>
          <w:noProof/>
          <w:sz w:val="22"/>
          <w:szCs w:val="22"/>
        </w:rPr>
      </w:pPr>
      <w:hyperlink w:anchor="_Toc510788269" w:history="1">
        <w:r w:rsidR="000B389D" w:rsidRPr="009437F9">
          <w:rPr>
            <w:rStyle w:val="Hyperlink"/>
            <w:noProof/>
          </w:rPr>
          <w:t>7.01</w:t>
        </w:r>
        <w:r w:rsidR="000B389D">
          <w:rPr>
            <w:rFonts w:asciiTheme="minorHAnsi" w:eastAsiaTheme="minorEastAsia" w:hAnsiTheme="minorHAnsi" w:cstheme="minorBidi"/>
            <w:noProof/>
            <w:sz w:val="22"/>
            <w:szCs w:val="22"/>
          </w:rPr>
          <w:tab/>
        </w:r>
        <w:r w:rsidR="000B389D" w:rsidRPr="009437F9">
          <w:rPr>
            <w:rStyle w:val="Hyperlink"/>
            <w:noProof/>
          </w:rPr>
          <w:t>Development Security.</w:t>
        </w:r>
        <w:r w:rsidR="000B389D">
          <w:rPr>
            <w:noProof/>
            <w:webHidden/>
          </w:rPr>
          <w:tab/>
        </w:r>
        <w:r w:rsidR="000B389D">
          <w:rPr>
            <w:noProof/>
            <w:webHidden/>
          </w:rPr>
          <w:fldChar w:fldCharType="begin"/>
        </w:r>
        <w:r w:rsidR="000B389D">
          <w:rPr>
            <w:noProof/>
            <w:webHidden/>
          </w:rPr>
          <w:instrText xml:space="preserve"> PAGEREF _Toc510788269 \h </w:instrText>
        </w:r>
        <w:r w:rsidR="000B389D">
          <w:rPr>
            <w:noProof/>
            <w:webHidden/>
          </w:rPr>
        </w:r>
        <w:r w:rsidR="000B389D">
          <w:rPr>
            <w:noProof/>
            <w:webHidden/>
          </w:rPr>
          <w:fldChar w:fldCharType="separate"/>
        </w:r>
        <w:r w:rsidR="000B389D">
          <w:rPr>
            <w:noProof/>
            <w:webHidden/>
          </w:rPr>
          <w:t>61</w:t>
        </w:r>
        <w:r w:rsidR="000B389D">
          <w:rPr>
            <w:noProof/>
            <w:webHidden/>
          </w:rPr>
          <w:fldChar w:fldCharType="end"/>
        </w:r>
      </w:hyperlink>
    </w:p>
    <w:p w14:paraId="75F90ED1" w14:textId="77777777" w:rsidR="000B389D" w:rsidRDefault="00D700F7">
      <w:pPr>
        <w:pStyle w:val="TOC2"/>
        <w:rPr>
          <w:rFonts w:asciiTheme="minorHAnsi" w:eastAsiaTheme="minorEastAsia" w:hAnsiTheme="minorHAnsi" w:cstheme="minorBidi"/>
          <w:noProof/>
          <w:sz w:val="22"/>
          <w:szCs w:val="22"/>
        </w:rPr>
      </w:pPr>
      <w:hyperlink w:anchor="_Toc510788270" w:history="1">
        <w:r w:rsidR="000B389D" w:rsidRPr="009437F9">
          <w:rPr>
            <w:rStyle w:val="Hyperlink"/>
            <w:noProof/>
          </w:rPr>
          <w:t>7.02</w:t>
        </w:r>
        <w:r w:rsidR="000B389D">
          <w:rPr>
            <w:rFonts w:asciiTheme="minorHAnsi" w:eastAsiaTheme="minorEastAsia" w:hAnsiTheme="minorHAnsi" w:cstheme="minorBidi"/>
            <w:noProof/>
            <w:sz w:val="22"/>
            <w:szCs w:val="22"/>
          </w:rPr>
          <w:tab/>
        </w:r>
        <w:r w:rsidR="000B389D" w:rsidRPr="009437F9">
          <w:rPr>
            <w:rStyle w:val="Hyperlink"/>
            <w:noProof/>
          </w:rPr>
          <w:t>Performance Assurance.</w:t>
        </w:r>
        <w:r w:rsidR="000B389D">
          <w:rPr>
            <w:noProof/>
            <w:webHidden/>
          </w:rPr>
          <w:tab/>
        </w:r>
        <w:r w:rsidR="000B389D">
          <w:rPr>
            <w:noProof/>
            <w:webHidden/>
          </w:rPr>
          <w:fldChar w:fldCharType="begin"/>
        </w:r>
        <w:r w:rsidR="000B389D">
          <w:rPr>
            <w:noProof/>
            <w:webHidden/>
          </w:rPr>
          <w:instrText xml:space="preserve"> PAGEREF _Toc510788270 \h </w:instrText>
        </w:r>
        <w:r w:rsidR="000B389D">
          <w:rPr>
            <w:noProof/>
            <w:webHidden/>
          </w:rPr>
        </w:r>
        <w:r w:rsidR="000B389D">
          <w:rPr>
            <w:noProof/>
            <w:webHidden/>
          </w:rPr>
          <w:fldChar w:fldCharType="separate"/>
        </w:r>
        <w:r w:rsidR="000B389D">
          <w:rPr>
            <w:noProof/>
            <w:webHidden/>
          </w:rPr>
          <w:t>62</w:t>
        </w:r>
        <w:r w:rsidR="000B389D">
          <w:rPr>
            <w:noProof/>
            <w:webHidden/>
          </w:rPr>
          <w:fldChar w:fldCharType="end"/>
        </w:r>
      </w:hyperlink>
    </w:p>
    <w:p w14:paraId="6EBA7025" w14:textId="77777777" w:rsidR="000B389D" w:rsidRDefault="00D700F7">
      <w:pPr>
        <w:pStyle w:val="TOC2"/>
        <w:rPr>
          <w:rFonts w:asciiTheme="minorHAnsi" w:eastAsiaTheme="minorEastAsia" w:hAnsiTheme="minorHAnsi" w:cstheme="minorBidi"/>
          <w:noProof/>
          <w:sz w:val="22"/>
          <w:szCs w:val="22"/>
        </w:rPr>
      </w:pPr>
      <w:hyperlink w:anchor="_Toc510788271" w:history="1">
        <w:r w:rsidR="000B389D" w:rsidRPr="009437F9">
          <w:rPr>
            <w:rStyle w:val="Hyperlink"/>
            <w:noProof/>
          </w:rPr>
          <w:t>7.03</w:t>
        </w:r>
        <w:r w:rsidR="000B389D">
          <w:rPr>
            <w:rFonts w:asciiTheme="minorHAnsi" w:eastAsiaTheme="minorEastAsia" w:hAnsiTheme="minorHAnsi" w:cstheme="minorBidi"/>
            <w:noProof/>
            <w:sz w:val="22"/>
            <w:szCs w:val="22"/>
          </w:rPr>
          <w:tab/>
        </w:r>
        <w:r w:rsidR="000B389D" w:rsidRPr="009437F9">
          <w:rPr>
            <w:rStyle w:val="Hyperlink"/>
            <w:noProof/>
          </w:rPr>
          <w:t>Administration of Project Security.</w:t>
        </w:r>
        <w:r w:rsidR="000B389D">
          <w:rPr>
            <w:noProof/>
            <w:webHidden/>
          </w:rPr>
          <w:tab/>
        </w:r>
        <w:r w:rsidR="000B389D">
          <w:rPr>
            <w:noProof/>
            <w:webHidden/>
          </w:rPr>
          <w:fldChar w:fldCharType="begin"/>
        </w:r>
        <w:r w:rsidR="000B389D">
          <w:rPr>
            <w:noProof/>
            <w:webHidden/>
          </w:rPr>
          <w:instrText xml:space="preserve"> PAGEREF _Toc510788271 \h </w:instrText>
        </w:r>
        <w:r w:rsidR="000B389D">
          <w:rPr>
            <w:noProof/>
            <w:webHidden/>
          </w:rPr>
        </w:r>
        <w:r w:rsidR="000B389D">
          <w:rPr>
            <w:noProof/>
            <w:webHidden/>
          </w:rPr>
          <w:fldChar w:fldCharType="separate"/>
        </w:r>
        <w:r w:rsidR="000B389D">
          <w:rPr>
            <w:noProof/>
            <w:webHidden/>
          </w:rPr>
          <w:t>63</w:t>
        </w:r>
        <w:r w:rsidR="000B389D">
          <w:rPr>
            <w:noProof/>
            <w:webHidden/>
          </w:rPr>
          <w:fldChar w:fldCharType="end"/>
        </w:r>
      </w:hyperlink>
    </w:p>
    <w:p w14:paraId="016D1DFA" w14:textId="77777777" w:rsidR="000B389D" w:rsidRDefault="00D700F7">
      <w:pPr>
        <w:pStyle w:val="TOC2"/>
        <w:rPr>
          <w:rFonts w:asciiTheme="minorHAnsi" w:eastAsiaTheme="minorEastAsia" w:hAnsiTheme="minorHAnsi" w:cstheme="minorBidi"/>
          <w:noProof/>
          <w:sz w:val="22"/>
          <w:szCs w:val="22"/>
        </w:rPr>
      </w:pPr>
      <w:hyperlink w:anchor="_Toc510788272" w:history="1">
        <w:r w:rsidR="000B389D" w:rsidRPr="009437F9">
          <w:rPr>
            <w:rStyle w:val="Hyperlink"/>
            <w:noProof/>
          </w:rPr>
          <w:t>7.04</w:t>
        </w:r>
        <w:r w:rsidR="000B389D">
          <w:rPr>
            <w:rFonts w:asciiTheme="minorHAnsi" w:eastAsiaTheme="minorEastAsia" w:hAnsiTheme="minorHAnsi" w:cstheme="minorBidi"/>
            <w:noProof/>
            <w:sz w:val="22"/>
            <w:szCs w:val="22"/>
          </w:rPr>
          <w:tab/>
        </w:r>
        <w:r w:rsidR="000B389D" w:rsidRPr="009437F9">
          <w:rPr>
            <w:rStyle w:val="Hyperlink"/>
            <w:noProof/>
          </w:rPr>
          <w:t>Grant of Security Interest.</w:t>
        </w:r>
        <w:r w:rsidR="000B389D">
          <w:rPr>
            <w:noProof/>
            <w:webHidden/>
          </w:rPr>
          <w:tab/>
        </w:r>
        <w:r w:rsidR="000B389D">
          <w:rPr>
            <w:noProof/>
            <w:webHidden/>
          </w:rPr>
          <w:fldChar w:fldCharType="begin"/>
        </w:r>
        <w:r w:rsidR="000B389D">
          <w:rPr>
            <w:noProof/>
            <w:webHidden/>
          </w:rPr>
          <w:instrText xml:space="preserve"> PAGEREF _Toc510788272 \h </w:instrText>
        </w:r>
        <w:r w:rsidR="000B389D">
          <w:rPr>
            <w:noProof/>
            <w:webHidden/>
          </w:rPr>
        </w:r>
        <w:r w:rsidR="000B389D">
          <w:rPr>
            <w:noProof/>
            <w:webHidden/>
          </w:rPr>
          <w:fldChar w:fldCharType="separate"/>
        </w:r>
        <w:r w:rsidR="000B389D">
          <w:rPr>
            <w:noProof/>
            <w:webHidden/>
          </w:rPr>
          <w:t>65</w:t>
        </w:r>
        <w:r w:rsidR="000B389D">
          <w:rPr>
            <w:noProof/>
            <w:webHidden/>
          </w:rPr>
          <w:fldChar w:fldCharType="end"/>
        </w:r>
      </w:hyperlink>
    </w:p>
    <w:p w14:paraId="5223ADE7" w14:textId="77777777" w:rsidR="000B389D" w:rsidRDefault="00D700F7">
      <w:pPr>
        <w:pStyle w:val="TOC2"/>
        <w:rPr>
          <w:rFonts w:asciiTheme="minorHAnsi" w:eastAsiaTheme="minorEastAsia" w:hAnsiTheme="minorHAnsi" w:cstheme="minorBidi"/>
          <w:noProof/>
          <w:sz w:val="22"/>
          <w:szCs w:val="22"/>
        </w:rPr>
      </w:pPr>
      <w:hyperlink w:anchor="_Toc510788273" w:history="1">
        <w:r w:rsidR="000B389D" w:rsidRPr="009437F9">
          <w:rPr>
            <w:rStyle w:val="Hyperlink"/>
            <w:noProof/>
          </w:rPr>
          <w:t>7.05</w:t>
        </w:r>
        <w:r w:rsidR="000B389D">
          <w:rPr>
            <w:rFonts w:asciiTheme="minorHAnsi" w:eastAsiaTheme="minorEastAsia" w:hAnsiTheme="minorHAnsi" w:cstheme="minorBidi"/>
            <w:noProof/>
            <w:sz w:val="22"/>
            <w:szCs w:val="22"/>
          </w:rPr>
          <w:tab/>
        </w:r>
        <w:r w:rsidR="000B389D" w:rsidRPr="009437F9">
          <w:rPr>
            <w:rStyle w:val="Hyperlink"/>
            <w:noProof/>
          </w:rPr>
          <w:t>Remedies.</w:t>
        </w:r>
        <w:r w:rsidR="000B389D">
          <w:rPr>
            <w:noProof/>
            <w:webHidden/>
          </w:rPr>
          <w:tab/>
        </w:r>
        <w:r w:rsidR="000B389D">
          <w:rPr>
            <w:noProof/>
            <w:webHidden/>
          </w:rPr>
          <w:fldChar w:fldCharType="begin"/>
        </w:r>
        <w:r w:rsidR="000B389D">
          <w:rPr>
            <w:noProof/>
            <w:webHidden/>
          </w:rPr>
          <w:instrText xml:space="preserve"> PAGEREF _Toc510788273 \h </w:instrText>
        </w:r>
        <w:r w:rsidR="000B389D">
          <w:rPr>
            <w:noProof/>
            <w:webHidden/>
          </w:rPr>
        </w:r>
        <w:r w:rsidR="000B389D">
          <w:rPr>
            <w:noProof/>
            <w:webHidden/>
          </w:rPr>
          <w:fldChar w:fldCharType="separate"/>
        </w:r>
        <w:r w:rsidR="000B389D">
          <w:rPr>
            <w:noProof/>
            <w:webHidden/>
          </w:rPr>
          <w:t>65</w:t>
        </w:r>
        <w:r w:rsidR="000B389D">
          <w:rPr>
            <w:noProof/>
            <w:webHidden/>
          </w:rPr>
          <w:fldChar w:fldCharType="end"/>
        </w:r>
      </w:hyperlink>
    </w:p>
    <w:p w14:paraId="3DD34598" w14:textId="77777777" w:rsidR="000B389D" w:rsidRDefault="00D700F7">
      <w:pPr>
        <w:pStyle w:val="TOC2"/>
        <w:rPr>
          <w:rFonts w:asciiTheme="minorHAnsi" w:eastAsiaTheme="minorEastAsia" w:hAnsiTheme="minorHAnsi" w:cstheme="minorBidi"/>
          <w:noProof/>
          <w:sz w:val="22"/>
          <w:szCs w:val="22"/>
        </w:rPr>
      </w:pPr>
      <w:hyperlink w:anchor="_Toc510788274" w:history="1">
        <w:r w:rsidR="000B389D" w:rsidRPr="009437F9">
          <w:rPr>
            <w:rStyle w:val="Hyperlink"/>
            <w:noProof/>
          </w:rPr>
          <w:t>7.06</w:t>
        </w:r>
        <w:r w:rsidR="000B389D">
          <w:rPr>
            <w:rFonts w:asciiTheme="minorHAnsi" w:eastAsiaTheme="minorEastAsia" w:hAnsiTheme="minorHAnsi" w:cstheme="minorBidi"/>
            <w:noProof/>
            <w:sz w:val="22"/>
            <w:szCs w:val="22"/>
          </w:rPr>
          <w:tab/>
        </w:r>
        <w:r w:rsidR="000B389D" w:rsidRPr="009437F9">
          <w:rPr>
            <w:rStyle w:val="Hyperlink"/>
            <w:noProof/>
          </w:rPr>
          <w:t>Credit and Collateral Covenants.</w:t>
        </w:r>
        <w:r w:rsidR="000B389D">
          <w:rPr>
            <w:noProof/>
            <w:webHidden/>
          </w:rPr>
          <w:tab/>
        </w:r>
        <w:r w:rsidR="000B389D">
          <w:rPr>
            <w:noProof/>
            <w:webHidden/>
          </w:rPr>
          <w:fldChar w:fldCharType="begin"/>
        </w:r>
        <w:r w:rsidR="000B389D">
          <w:rPr>
            <w:noProof/>
            <w:webHidden/>
          </w:rPr>
          <w:instrText xml:space="preserve"> PAGEREF _Toc510788274 \h </w:instrText>
        </w:r>
        <w:r w:rsidR="000B389D">
          <w:rPr>
            <w:noProof/>
            <w:webHidden/>
          </w:rPr>
        </w:r>
        <w:r w:rsidR="000B389D">
          <w:rPr>
            <w:noProof/>
            <w:webHidden/>
          </w:rPr>
          <w:fldChar w:fldCharType="separate"/>
        </w:r>
        <w:r w:rsidR="000B389D">
          <w:rPr>
            <w:noProof/>
            <w:webHidden/>
          </w:rPr>
          <w:t>66</w:t>
        </w:r>
        <w:r w:rsidR="000B389D">
          <w:rPr>
            <w:noProof/>
            <w:webHidden/>
          </w:rPr>
          <w:fldChar w:fldCharType="end"/>
        </w:r>
      </w:hyperlink>
    </w:p>
    <w:p w14:paraId="6D21B2E1" w14:textId="77777777" w:rsidR="000B389D" w:rsidRDefault="00D700F7">
      <w:pPr>
        <w:pStyle w:val="TOC2"/>
        <w:rPr>
          <w:rFonts w:asciiTheme="minorHAnsi" w:eastAsiaTheme="minorEastAsia" w:hAnsiTheme="minorHAnsi" w:cstheme="minorBidi"/>
          <w:noProof/>
          <w:sz w:val="22"/>
          <w:szCs w:val="22"/>
        </w:rPr>
      </w:pPr>
      <w:hyperlink w:anchor="_Toc510788275" w:history="1">
        <w:r w:rsidR="000B389D" w:rsidRPr="009437F9">
          <w:rPr>
            <w:rStyle w:val="Hyperlink"/>
            <w:noProof/>
          </w:rPr>
          <w:t>7.07</w:t>
        </w:r>
        <w:r w:rsidR="000B389D">
          <w:rPr>
            <w:rFonts w:asciiTheme="minorHAnsi" w:eastAsiaTheme="minorEastAsia" w:hAnsiTheme="minorHAnsi" w:cstheme="minorBidi"/>
            <w:noProof/>
            <w:sz w:val="22"/>
            <w:szCs w:val="22"/>
          </w:rPr>
          <w:tab/>
        </w:r>
        <w:r w:rsidR="000B389D" w:rsidRPr="009437F9">
          <w:rPr>
            <w:rStyle w:val="Hyperlink"/>
            <w:noProof/>
          </w:rPr>
          <w:t>California Commercial Code Waiver.</w:t>
        </w:r>
        <w:r w:rsidR="000B389D">
          <w:rPr>
            <w:noProof/>
            <w:webHidden/>
          </w:rPr>
          <w:tab/>
        </w:r>
        <w:r w:rsidR="000B389D">
          <w:rPr>
            <w:noProof/>
            <w:webHidden/>
          </w:rPr>
          <w:fldChar w:fldCharType="begin"/>
        </w:r>
        <w:r w:rsidR="000B389D">
          <w:rPr>
            <w:noProof/>
            <w:webHidden/>
          </w:rPr>
          <w:instrText xml:space="preserve"> PAGEREF _Toc510788275 \h </w:instrText>
        </w:r>
        <w:r w:rsidR="000B389D">
          <w:rPr>
            <w:noProof/>
            <w:webHidden/>
          </w:rPr>
        </w:r>
        <w:r w:rsidR="000B389D">
          <w:rPr>
            <w:noProof/>
            <w:webHidden/>
          </w:rPr>
          <w:fldChar w:fldCharType="separate"/>
        </w:r>
        <w:r w:rsidR="000B389D">
          <w:rPr>
            <w:noProof/>
            <w:webHidden/>
          </w:rPr>
          <w:t>67</w:t>
        </w:r>
        <w:r w:rsidR="000B389D">
          <w:rPr>
            <w:noProof/>
            <w:webHidden/>
          </w:rPr>
          <w:fldChar w:fldCharType="end"/>
        </w:r>
      </w:hyperlink>
    </w:p>
    <w:p w14:paraId="40D859B3" w14:textId="77777777" w:rsidR="000B389D" w:rsidRDefault="00D700F7">
      <w:pPr>
        <w:pStyle w:val="TOC2"/>
        <w:rPr>
          <w:rFonts w:asciiTheme="minorHAnsi" w:eastAsiaTheme="minorEastAsia" w:hAnsiTheme="minorHAnsi" w:cstheme="minorBidi"/>
          <w:noProof/>
          <w:sz w:val="22"/>
          <w:szCs w:val="22"/>
        </w:rPr>
      </w:pPr>
      <w:hyperlink w:anchor="_Toc510788276" w:history="1">
        <w:r w:rsidR="000B389D" w:rsidRPr="009437F9">
          <w:rPr>
            <w:rStyle w:val="Hyperlink"/>
            <w:noProof/>
          </w:rPr>
          <w:t>7.08</w:t>
        </w:r>
        <w:r w:rsidR="000B389D">
          <w:rPr>
            <w:rFonts w:asciiTheme="minorHAnsi" w:eastAsiaTheme="minorEastAsia" w:hAnsiTheme="minorHAnsi" w:cstheme="minorBidi"/>
            <w:noProof/>
            <w:sz w:val="22"/>
            <w:szCs w:val="22"/>
          </w:rPr>
          <w:tab/>
        </w:r>
        <w:r w:rsidR="000B389D" w:rsidRPr="009437F9">
          <w:rPr>
            <w:rStyle w:val="Hyperlink"/>
            <w:noProof/>
          </w:rPr>
          <w:t>Financial Information.</w:t>
        </w:r>
        <w:r w:rsidR="000B389D">
          <w:rPr>
            <w:noProof/>
            <w:webHidden/>
          </w:rPr>
          <w:tab/>
        </w:r>
        <w:r w:rsidR="000B389D">
          <w:rPr>
            <w:noProof/>
            <w:webHidden/>
          </w:rPr>
          <w:fldChar w:fldCharType="begin"/>
        </w:r>
        <w:r w:rsidR="000B389D">
          <w:rPr>
            <w:noProof/>
            <w:webHidden/>
          </w:rPr>
          <w:instrText xml:space="preserve"> PAGEREF _Toc510788276 \h </w:instrText>
        </w:r>
        <w:r w:rsidR="000B389D">
          <w:rPr>
            <w:noProof/>
            <w:webHidden/>
          </w:rPr>
        </w:r>
        <w:r w:rsidR="000B389D">
          <w:rPr>
            <w:noProof/>
            <w:webHidden/>
          </w:rPr>
          <w:fldChar w:fldCharType="separate"/>
        </w:r>
        <w:r w:rsidR="000B389D">
          <w:rPr>
            <w:noProof/>
            <w:webHidden/>
          </w:rPr>
          <w:t>67</w:t>
        </w:r>
        <w:r w:rsidR="000B389D">
          <w:rPr>
            <w:noProof/>
            <w:webHidden/>
          </w:rPr>
          <w:fldChar w:fldCharType="end"/>
        </w:r>
      </w:hyperlink>
    </w:p>
    <w:p w14:paraId="46F5FA86" w14:textId="77777777" w:rsidR="000B389D" w:rsidRDefault="00D700F7" w:rsidP="00DD474F">
      <w:pPr>
        <w:pStyle w:val="TOC1"/>
        <w:rPr>
          <w:rFonts w:asciiTheme="minorHAnsi" w:hAnsiTheme="minorHAnsi" w:cstheme="minorBidi"/>
          <w:noProof/>
          <w:sz w:val="22"/>
          <w:szCs w:val="22"/>
        </w:rPr>
      </w:pPr>
      <w:hyperlink w:anchor="_Toc510788277" w:history="1">
        <w:r w:rsidR="000B389D" w:rsidRPr="009437F9">
          <w:rPr>
            <w:rStyle w:val="Hyperlink"/>
            <w:noProof/>
          </w:rPr>
          <w:t>ARTICLE 8.</w:t>
        </w:r>
        <w:r w:rsidR="000B389D">
          <w:rPr>
            <w:rFonts w:asciiTheme="minorHAnsi" w:hAnsiTheme="minorHAnsi" w:cstheme="minorBidi"/>
            <w:noProof/>
            <w:sz w:val="22"/>
            <w:szCs w:val="22"/>
          </w:rPr>
          <w:tab/>
        </w:r>
        <w:r w:rsidR="000B389D" w:rsidRPr="009437F9">
          <w:rPr>
            <w:rStyle w:val="Hyperlink"/>
            <w:noProof/>
          </w:rPr>
          <w:t>FORCE MAJEURE</w:t>
        </w:r>
        <w:r w:rsidR="000B389D">
          <w:rPr>
            <w:noProof/>
            <w:webHidden/>
          </w:rPr>
          <w:tab/>
        </w:r>
        <w:r w:rsidR="000B389D">
          <w:rPr>
            <w:noProof/>
            <w:webHidden/>
          </w:rPr>
          <w:fldChar w:fldCharType="begin"/>
        </w:r>
        <w:r w:rsidR="000B389D">
          <w:rPr>
            <w:noProof/>
            <w:webHidden/>
          </w:rPr>
          <w:instrText xml:space="preserve"> PAGEREF _Toc510788277 \h </w:instrText>
        </w:r>
        <w:r w:rsidR="000B389D">
          <w:rPr>
            <w:noProof/>
            <w:webHidden/>
          </w:rPr>
        </w:r>
        <w:r w:rsidR="000B389D">
          <w:rPr>
            <w:noProof/>
            <w:webHidden/>
          </w:rPr>
          <w:fldChar w:fldCharType="separate"/>
        </w:r>
        <w:r w:rsidR="000B389D">
          <w:rPr>
            <w:noProof/>
            <w:webHidden/>
          </w:rPr>
          <w:t>68</w:t>
        </w:r>
        <w:r w:rsidR="000B389D">
          <w:rPr>
            <w:noProof/>
            <w:webHidden/>
          </w:rPr>
          <w:fldChar w:fldCharType="end"/>
        </w:r>
      </w:hyperlink>
    </w:p>
    <w:p w14:paraId="6598BFFE" w14:textId="77777777" w:rsidR="000B389D" w:rsidRDefault="00D700F7">
      <w:pPr>
        <w:pStyle w:val="TOC2"/>
        <w:rPr>
          <w:rFonts w:asciiTheme="minorHAnsi" w:eastAsiaTheme="minorEastAsia" w:hAnsiTheme="minorHAnsi" w:cstheme="minorBidi"/>
          <w:noProof/>
          <w:sz w:val="22"/>
          <w:szCs w:val="22"/>
        </w:rPr>
      </w:pPr>
      <w:hyperlink w:anchor="_Toc510788278" w:history="1">
        <w:r w:rsidR="000B389D" w:rsidRPr="009437F9">
          <w:rPr>
            <w:rStyle w:val="Hyperlink"/>
            <w:noProof/>
          </w:rPr>
          <w:t>8.01</w:t>
        </w:r>
        <w:r w:rsidR="000B389D">
          <w:rPr>
            <w:rFonts w:asciiTheme="minorHAnsi" w:eastAsiaTheme="minorEastAsia" w:hAnsiTheme="minorHAnsi" w:cstheme="minorBidi"/>
            <w:noProof/>
            <w:sz w:val="22"/>
            <w:szCs w:val="22"/>
          </w:rPr>
          <w:tab/>
        </w:r>
        <w:r w:rsidR="000B389D" w:rsidRPr="009437F9">
          <w:rPr>
            <w:rStyle w:val="Hyperlink"/>
            <w:noProof/>
          </w:rPr>
          <w:t>No Default for Force Majeure.</w:t>
        </w:r>
        <w:r w:rsidR="000B389D">
          <w:rPr>
            <w:noProof/>
            <w:webHidden/>
          </w:rPr>
          <w:tab/>
        </w:r>
        <w:r w:rsidR="000B389D">
          <w:rPr>
            <w:noProof/>
            <w:webHidden/>
          </w:rPr>
          <w:fldChar w:fldCharType="begin"/>
        </w:r>
        <w:r w:rsidR="000B389D">
          <w:rPr>
            <w:noProof/>
            <w:webHidden/>
          </w:rPr>
          <w:instrText xml:space="preserve"> PAGEREF _Toc510788278 \h </w:instrText>
        </w:r>
        <w:r w:rsidR="000B389D">
          <w:rPr>
            <w:noProof/>
            <w:webHidden/>
          </w:rPr>
        </w:r>
        <w:r w:rsidR="000B389D">
          <w:rPr>
            <w:noProof/>
            <w:webHidden/>
          </w:rPr>
          <w:fldChar w:fldCharType="separate"/>
        </w:r>
        <w:r w:rsidR="000B389D">
          <w:rPr>
            <w:noProof/>
            <w:webHidden/>
          </w:rPr>
          <w:t>68</w:t>
        </w:r>
        <w:r w:rsidR="000B389D">
          <w:rPr>
            <w:noProof/>
            <w:webHidden/>
          </w:rPr>
          <w:fldChar w:fldCharType="end"/>
        </w:r>
      </w:hyperlink>
    </w:p>
    <w:p w14:paraId="300A60E5" w14:textId="77777777" w:rsidR="000B389D" w:rsidRDefault="00D700F7">
      <w:pPr>
        <w:pStyle w:val="TOC2"/>
        <w:rPr>
          <w:rFonts w:asciiTheme="minorHAnsi" w:eastAsiaTheme="minorEastAsia" w:hAnsiTheme="minorHAnsi" w:cstheme="minorBidi"/>
          <w:noProof/>
          <w:sz w:val="22"/>
          <w:szCs w:val="22"/>
        </w:rPr>
      </w:pPr>
      <w:hyperlink w:anchor="_Toc510788279" w:history="1">
        <w:r w:rsidR="000B389D" w:rsidRPr="009437F9">
          <w:rPr>
            <w:rStyle w:val="Hyperlink"/>
            <w:noProof/>
          </w:rPr>
          <w:t>8.02</w:t>
        </w:r>
        <w:r w:rsidR="000B389D">
          <w:rPr>
            <w:rFonts w:asciiTheme="minorHAnsi" w:eastAsiaTheme="minorEastAsia" w:hAnsiTheme="minorHAnsi" w:cstheme="minorBidi"/>
            <w:noProof/>
            <w:sz w:val="22"/>
            <w:szCs w:val="22"/>
          </w:rPr>
          <w:tab/>
        </w:r>
        <w:r w:rsidR="000B389D" w:rsidRPr="009437F9">
          <w:rPr>
            <w:rStyle w:val="Hyperlink"/>
            <w:noProof/>
          </w:rPr>
          <w:t>Force Majeure Claim.</w:t>
        </w:r>
        <w:r w:rsidR="000B389D">
          <w:rPr>
            <w:noProof/>
            <w:webHidden/>
          </w:rPr>
          <w:tab/>
        </w:r>
        <w:r w:rsidR="000B389D">
          <w:rPr>
            <w:noProof/>
            <w:webHidden/>
          </w:rPr>
          <w:fldChar w:fldCharType="begin"/>
        </w:r>
        <w:r w:rsidR="000B389D">
          <w:rPr>
            <w:noProof/>
            <w:webHidden/>
          </w:rPr>
          <w:instrText xml:space="preserve"> PAGEREF _Toc510788279 \h </w:instrText>
        </w:r>
        <w:r w:rsidR="000B389D">
          <w:rPr>
            <w:noProof/>
            <w:webHidden/>
          </w:rPr>
        </w:r>
        <w:r w:rsidR="000B389D">
          <w:rPr>
            <w:noProof/>
            <w:webHidden/>
          </w:rPr>
          <w:fldChar w:fldCharType="separate"/>
        </w:r>
        <w:r w:rsidR="000B389D">
          <w:rPr>
            <w:noProof/>
            <w:webHidden/>
          </w:rPr>
          <w:t>68</w:t>
        </w:r>
        <w:r w:rsidR="000B389D">
          <w:rPr>
            <w:noProof/>
            <w:webHidden/>
          </w:rPr>
          <w:fldChar w:fldCharType="end"/>
        </w:r>
      </w:hyperlink>
    </w:p>
    <w:p w14:paraId="19340111" w14:textId="77777777" w:rsidR="000B389D" w:rsidRDefault="00D700F7">
      <w:pPr>
        <w:pStyle w:val="TOC2"/>
        <w:rPr>
          <w:rFonts w:asciiTheme="minorHAnsi" w:eastAsiaTheme="minorEastAsia" w:hAnsiTheme="minorHAnsi" w:cstheme="minorBidi"/>
          <w:noProof/>
          <w:sz w:val="22"/>
          <w:szCs w:val="22"/>
        </w:rPr>
      </w:pPr>
      <w:hyperlink w:anchor="_Toc510788280" w:history="1">
        <w:r w:rsidR="000B389D" w:rsidRPr="009437F9">
          <w:rPr>
            <w:rStyle w:val="Hyperlink"/>
            <w:noProof/>
          </w:rPr>
          <w:t>8.03</w:t>
        </w:r>
        <w:r w:rsidR="000B389D">
          <w:rPr>
            <w:rFonts w:asciiTheme="minorHAnsi" w:eastAsiaTheme="minorEastAsia" w:hAnsiTheme="minorHAnsi" w:cstheme="minorBidi"/>
            <w:noProof/>
            <w:sz w:val="22"/>
            <w:szCs w:val="22"/>
          </w:rPr>
          <w:tab/>
        </w:r>
        <w:r w:rsidR="000B389D" w:rsidRPr="009437F9">
          <w:rPr>
            <w:rStyle w:val="Hyperlink"/>
            <w:noProof/>
          </w:rPr>
          <w:t>Termination.</w:t>
        </w:r>
        <w:r w:rsidR="000B389D">
          <w:rPr>
            <w:noProof/>
            <w:webHidden/>
          </w:rPr>
          <w:tab/>
        </w:r>
        <w:r w:rsidR="000B389D">
          <w:rPr>
            <w:noProof/>
            <w:webHidden/>
          </w:rPr>
          <w:fldChar w:fldCharType="begin"/>
        </w:r>
        <w:r w:rsidR="000B389D">
          <w:rPr>
            <w:noProof/>
            <w:webHidden/>
          </w:rPr>
          <w:instrText xml:space="preserve"> PAGEREF _Toc510788280 \h </w:instrText>
        </w:r>
        <w:r w:rsidR="000B389D">
          <w:rPr>
            <w:noProof/>
            <w:webHidden/>
          </w:rPr>
        </w:r>
        <w:r w:rsidR="000B389D">
          <w:rPr>
            <w:noProof/>
            <w:webHidden/>
          </w:rPr>
          <w:fldChar w:fldCharType="separate"/>
        </w:r>
        <w:r w:rsidR="000B389D">
          <w:rPr>
            <w:noProof/>
            <w:webHidden/>
          </w:rPr>
          <w:t>69</w:t>
        </w:r>
        <w:r w:rsidR="000B389D">
          <w:rPr>
            <w:noProof/>
            <w:webHidden/>
          </w:rPr>
          <w:fldChar w:fldCharType="end"/>
        </w:r>
      </w:hyperlink>
    </w:p>
    <w:p w14:paraId="7B19B4C6" w14:textId="77777777" w:rsidR="000B389D" w:rsidRDefault="00D700F7" w:rsidP="00DD474F">
      <w:pPr>
        <w:pStyle w:val="TOC1"/>
        <w:rPr>
          <w:rFonts w:asciiTheme="minorHAnsi" w:hAnsiTheme="minorHAnsi" w:cstheme="minorBidi"/>
          <w:noProof/>
          <w:sz w:val="22"/>
          <w:szCs w:val="22"/>
        </w:rPr>
      </w:pPr>
      <w:hyperlink w:anchor="_Toc510788281" w:history="1">
        <w:r w:rsidR="000B389D" w:rsidRPr="009437F9">
          <w:rPr>
            <w:rStyle w:val="Hyperlink"/>
            <w:noProof/>
          </w:rPr>
          <w:t>ARTICLE 9.</w:t>
        </w:r>
        <w:r w:rsidR="000B389D">
          <w:rPr>
            <w:rFonts w:asciiTheme="minorHAnsi" w:hAnsiTheme="minorHAnsi" w:cstheme="minorBidi"/>
            <w:noProof/>
            <w:sz w:val="22"/>
            <w:szCs w:val="22"/>
          </w:rPr>
          <w:tab/>
        </w:r>
        <w:r w:rsidR="000B389D" w:rsidRPr="009437F9">
          <w:rPr>
            <w:rStyle w:val="Hyperlink"/>
            <w:noProof/>
          </w:rPr>
          <w:t>REPRESENTATIONS, WARRANTIES AND COVENANTS</w:t>
        </w:r>
        <w:r w:rsidR="000B389D">
          <w:rPr>
            <w:noProof/>
            <w:webHidden/>
          </w:rPr>
          <w:tab/>
        </w:r>
        <w:r w:rsidR="000B389D">
          <w:rPr>
            <w:noProof/>
            <w:webHidden/>
          </w:rPr>
          <w:fldChar w:fldCharType="begin"/>
        </w:r>
        <w:r w:rsidR="000B389D">
          <w:rPr>
            <w:noProof/>
            <w:webHidden/>
          </w:rPr>
          <w:instrText xml:space="preserve"> PAGEREF _Toc510788281 \h </w:instrText>
        </w:r>
        <w:r w:rsidR="000B389D">
          <w:rPr>
            <w:noProof/>
            <w:webHidden/>
          </w:rPr>
        </w:r>
        <w:r w:rsidR="000B389D">
          <w:rPr>
            <w:noProof/>
            <w:webHidden/>
          </w:rPr>
          <w:fldChar w:fldCharType="separate"/>
        </w:r>
        <w:r w:rsidR="000B389D">
          <w:rPr>
            <w:noProof/>
            <w:webHidden/>
          </w:rPr>
          <w:t>69</w:t>
        </w:r>
        <w:r w:rsidR="000B389D">
          <w:rPr>
            <w:noProof/>
            <w:webHidden/>
          </w:rPr>
          <w:fldChar w:fldCharType="end"/>
        </w:r>
      </w:hyperlink>
    </w:p>
    <w:p w14:paraId="24391AB3" w14:textId="77777777" w:rsidR="000B389D" w:rsidRDefault="00D700F7">
      <w:pPr>
        <w:pStyle w:val="TOC2"/>
        <w:rPr>
          <w:rFonts w:asciiTheme="minorHAnsi" w:eastAsiaTheme="minorEastAsia" w:hAnsiTheme="minorHAnsi" w:cstheme="minorBidi"/>
          <w:noProof/>
          <w:sz w:val="22"/>
          <w:szCs w:val="22"/>
        </w:rPr>
      </w:pPr>
      <w:hyperlink w:anchor="_Toc510788282" w:history="1">
        <w:r w:rsidR="000B389D" w:rsidRPr="009437F9">
          <w:rPr>
            <w:rStyle w:val="Hyperlink"/>
            <w:noProof/>
          </w:rPr>
          <w:t>9.01</w:t>
        </w:r>
        <w:r w:rsidR="000B389D">
          <w:rPr>
            <w:rFonts w:asciiTheme="minorHAnsi" w:eastAsiaTheme="minorEastAsia" w:hAnsiTheme="minorHAnsi" w:cstheme="minorBidi"/>
            <w:noProof/>
            <w:sz w:val="22"/>
            <w:szCs w:val="22"/>
          </w:rPr>
          <w:tab/>
        </w:r>
        <w:r w:rsidR="000B389D" w:rsidRPr="009437F9">
          <w:rPr>
            <w:rStyle w:val="Hyperlink"/>
            <w:noProof/>
          </w:rPr>
          <w:t>Representations and Warranties of Both Parties.</w:t>
        </w:r>
        <w:r w:rsidR="000B389D">
          <w:rPr>
            <w:noProof/>
            <w:webHidden/>
          </w:rPr>
          <w:tab/>
        </w:r>
        <w:r w:rsidR="000B389D">
          <w:rPr>
            <w:noProof/>
            <w:webHidden/>
          </w:rPr>
          <w:fldChar w:fldCharType="begin"/>
        </w:r>
        <w:r w:rsidR="000B389D">
          <w:rPr>
            <w:noProof/>
            <w:webHidden/>
          </w:rPr>
          <w:instrText xml:space="preserve"> PAGEREF _Toc510788282 \h </w:instrText>
        </w:r>
        <w:r w:rsidR="000B389D">
          <w:rPr>
            <w:noProof/>
            <w:webHidden/>
          </w:rPr>
        </w:r>
        <w:r w:rsidR="000B389D">
          <w:rPr>
            <w:noProof/>
            <w:webHidden/>
          </w:rPr>
          <w:fldChar w:fldCharType="separate"/>
        </w:r>
        <w:r w:rsidR="000B389D">
          <w:rPr>
            <w:noProof/>
            <w:webHidden/>
          </w:rPr>
          <w:t>69</w:t>
        </w:r>
        <w:r w:rsidR="000B389D">
          <w:rPr>
            <w:noProof/>
            <w:webHidden/>
          </w:rPr>
          <w:fldChar w:fldCharType="end"/>
        </w:r>
      </w:hyperlink>
    </w:p>
    <w:p w14:paraId="3DC207CA" w14:textId="77777777" w:rsidR="000B389D" w:rsidRDefault="00D700F7">
      <w:pPr>
        <w:pStyle w:val="TOC2"/>
        <w:rPr>
          <w:rFonts w:asciiTheme="minorHAnsi" w:eastAsiaTheme="minorEastAsia" w:hAnsiTheme="minorHAnsi" w:cstheme="minorBidi"/>
          <w:noProof/>
          <w:sz w:val="22"/>
          <w:szCs w:val="22"/>
        </w:rPr>
      </w:pPr>
      <w:hyperlink w:anchor="_Toc510788283" w:history="1">
        <w:r w:rsidR="000B389D" w:rsidRPr="009437F9">
          <w:rPr>
            <w:rStyle w:val="Hyperlink"/>
            <w:noProof/>
          </w:rPr>
          <w:t>9.02</w:t>
        </w:r>
        <w:r w:rsidR="000B389D">
          <w:rPr>
            <w:rFonts w:asciiTheme="minorHAnsi" w:eastAsiaTheme="minorEastAsia" w:hAnsiTheme="minorHAnsi" w:cstheme="minorBidi"/>
            <w:noProof/>
            <w:sz w:val="22"/>
            <w:szCs w:val="22"/>
          </w:rPr>
          <w:tab/>
        </w:r>
        <w:r w:rsidR="000B389D" w:rsidRPr="009437F9">
          <w:rPr>
            <w:rStyle w:val="Hyperlink"/>
            <w:noProof/>
          </w:rPr>
          <w:t>Additional Seller Representations and Warranties.</w:t>
        </w:r>
        <w:r w:rsidR="000B389D">
          <w:rPr>
            <w:noProof/>
            <w:webHidden/>
          </w:rPr>
          <w:tab/>
        </w:r>
        <w:r w:rsidR="000B389D">
          <w:rPr>
            <w:noProof/>
            <w:webHidden/>
          </w:rPr>
          <w:fldChar w:fldCharType="begin"/>
        </w:r>
        <w:r w:rsidR="000B389D">
          <w:rPr>
            <w:noProof/>
            <w:webHidden/>
          </w:rPr>
          <w:instrText xml:space="preserve"> PAGEREF _Toc510788283 \h </w:instrText>
        </w:r>
        <w:r w:rsidR="000B389D">
          <w:rPr>
            <w:noProof/>
            <w:webHidden/>
          </w:rPr>
        </w:r>
        <w:r w:rsidR="000B389D">
          <w:rPr>
            <w:noProof/>
            <w:webHidden/>
          </w:rPr>
          <w:fldChar w:fldCharType="separate"/>
        </w:r>
        <w:r w:rsidR="000B389D">
          <w:rPr>
            <w:noProof/>
            <w:webHidden/>
          </w:rPr>
          <w:t>70</w:t>
        </w:r>
        <w:r w:rsidR="000B389D">
          <w:rPr>
            <w:noProof/>
            <w:webHidden/>
          </w:rPr>
          <w:fldChar w:fldCharType="end"/>
        </w:r>
      </w:hyperlink>
    </w:p>
    <w:p w14:paraId="57B1A427" w14:textId="77777777" w:rsidR="000B389D" w:rsidRDefault="00D700F7">
      <w:pPr>
        <w:pStyle w:val="TOC2"/>
        <w:rPr>
          <w:rFonts w:asciiTheme="minorHAnsi" w:eastAsiaTheme="minorEastAsia" w:hAnsiTheme="minorHAnsi" w:cstheme="minorBidi"/>
          <w:noProof/>
          <w:sz w:val="22"/>
          <w:szCs w:val="22"/>
        </w:rPr>
      </w:pPr>
      <w:hyperlink w:anchor="_Toc510788284" w:history="1">
        <w:r w:rsidR="000B389D" w:rsidRPr="009437F9">
          <w:rPr>
            <w:rStyle w:val="Hyperlink"/>
            <w:noProof/>
          </w:rPr>
          <w:t>9.03</w:t>
        </w:r>
        <w:r w:rsidR="000B389D">
          <w:rPr>
            <w:rFonts w:asciiTheme="minorHAnsi" w:eastAsiaTheme="minorEastAsia" w:hAnsiTheme="minorHAnsi" w:cstheme="minorBidi"/>
            <w:noProof/>
            <w:sz w:val="22"/>
            <w:szCs w:val="22"/>
          </w:rPr>
          <w:tab/>
        </w:r>
        <w:r w:rsidR="000B389D" w:rsidRPr="009437F9">
          <w:rPr>
            <w:rStyle w:val="Hyperlink"/>
            <w:noProof/>
          </w:rPr>
          <w:t>Seller’s Covenants.</w:t>
        </w:r>
        <w:r w:rsidR="000B389D">
          <w:rPr>
            <w:noProof/>
            <w:webHidden/>
          </w:rPr>
          <w:tab/>
        </w:r>
        <w:r w:rsidR="000B389D">
          <w:rPr>
            <w:noProof/>
            <w:webHidden/>
          </w:rPr>
          <w:fldChar w:fldCharType="begin"/>
        </w:r>
        <w:r w:rsidR="000B389D">
          <w:rPr>
            <w:noProof/>
            <w:webHidden/>
          </w:rPr>
          <w:instrText xml:space="preserve"> PAGEREF _Toc510788284 \h </w:instrText>
        </w:r>
        <w:r w:rsidR="000B389D">
          <w:rPr>
            <w:noProof/>
            <w:webHidden/>
          </w:rPr>
        </w:r>
        <w:r w:rsidR="000B389D">
          <w:rPr>
            <w:noProof/>
            <w:webHidden/>
          </w:rPr>
          <w:fldChar w:fldCharType="separate"/>
        </w:r>
        <w:r w:rsidR="000B389D">
          <w:rPr>
            <w:noProof/>
            <w:webHidden/>
          </w:rPr>
          <w:t>71</w:t>
        </w:r>
        <w:r w:rsidR="000B389D">
          <w:rPr>
            <w:noProof/>
            <w:webHidden/>
          </w:rPr>
          <w:fldChar w:fldCharType="end"/>
        </w:r>
      </w:hyperlink>
    </w:p>
    <w:p w14:paraId="54F348DA" w14:textId="77777777" w:rsidR="000B389D" w:rsidRDefault="00D700F7">
      <w:pPr>
        <w:pStyle w:val="TOC2"/>
        <w:rPr>
          <w:rFonts w:asciiTheme="minorHAnsi" w:eastAsiaTheme="minorEastAsia" w:hAnsiTheme="minorHAnsi" w:cstheme="minorBidi"/>
          <w:noProof/>
          <w:sz w:val="22"/>
          <w:szCs w:val="22"/>
        </w:rPr>
      </w:pPr>
      <w:hyperlink w:anchor="_Toc510788285" w:history="1">
        <w:r w:rsidR="000B389D" w:rsidRPr="009437F9">
          <w:rPr>
            <w:rStyle w:val="Hyperlink"/>
            <w:iCs/>
            <w:noProof/>
          </w:rPr>
          <w:t>9.04</w:t>
        </w:r>
        <w:r w:rsidR="000B389D">
          <w:rPr>
            <w:rFonts w:asciiTheme="minorHAnsi" w:eastAsiaTheme="minorEastAsia" w:hAnsiTheme="minorHAnsi" w:cstheme="minorBidi"/>
            <w:noProof/>
            <w:sz w:val="22"/>
            <w:szCs w:val="22"/>
          </w:rPr>
          <w:tab/>
        </w:r>
        <w:r w:rsidR="000B389D" w:rsidRPr="009437F9">
          <w:rPr>
            <w:rStyle w:val="Hyperlink"/>
            <w:iCs/>
            <w:noProof/>
          </w:rPr>
          <w:t>Resource Adequacy Covenants of the Seller and Buyer.</w:t>
        </w:r>
        <w:r w:rsidR="000B389D">
          <w:rPr>
            <w:noProof/>
            <w:webHidden/>
          </w:rPr>
          <w:tab/>
        </w:r>
        <w:r w:rsidR="000B389D">
          <w:rPr>
            <w:noProof/>
            <w:webHidden/>
          </w:rPr>
          <w:fldChar w:fldCharType="begin"/>
        </w:r>
        <w:r w:rsidR="000B389D">
          <w:rPr>
            <w:noProof/>
            <w:webHidden/>
          </w:rPr>
          <w:instrText xml:space="preserve"> PAGEREF _Toc510788285 \h </w:instrText>
        </w:r>
        <w:r w:rsidR="000B389D">
          <w:rPr>
            <w:noProof/>
            <w:webHidden/>
          </w:rPr>
        </w:r>
        <w:r w:rsidR="000B389D">
          <w:rPr>
            <w:noProof/>
            <w:webHidden/>
          </w:rPr>
          <w:fldChar w:fldCharType="separate"/>
        </w:r>
        <w:r w:rsidR="000B389D">
          <w:rPr>
            <w:noProof/>
            <w:webHidden/>
          </w:rPr>
          <w:t>74</w:t>
        </w:r>
        <w:r w:rsidR="000B389D">
          <w:rPr>
            <w:noProof/>
            <w:webHidden/>
          </w:rPr>
          <w:fldChar w:fldCharType="end"/>
        </w:r>
      </w:hyperlink>
    </w:p>
    <w:p w14:paraId="143EC77D" w14:textId="36640BBD" w:rsidR="000B389D" w:rsidRDefault="00D700F7" w:rsidP="00DD474F">
      <w:pPr>
        <w:pStyle w:val="TOC1"/>
        <w:rPr>
          <w:rFonts w:asciiTheme="minorHAnsi" w:hAnsiTheme="minorHAnsi" w:cstheme="minorBidi"/>
          <w:noProof/>
          <w:sz w:val="22"/>
          <w:szCs w:val="22"/>
        </w:rPr>
      </w:pPr>
      <w:hyperlink w:anchor="_Toc510788286" w:history="1">
        <w:r w:rsidR="000B389D" w:rsidRPr="009437F9">
          <w:rPr>
            <w:rStyle w:val="Hyperlink"/>
            <w:noProof/>
          </w:rPr>
          <w:t>ARTICLE 10.EVENTS OF DEFAULT; TERMINATION</w:t>
        </w:r>
        <w:r w:rsidR="000B389D">
          <w:rPr>
            <w:noProof/>
            <w:webHidden/>
          </w:rPr>
          <w:tab/>
        </w:r>
        <w:r w:rsidR="000B389D">
          <w:rPr>
            <w:noProof/>
            <w:webHidden/>
          </w:rPr>
          <w:fldChar w:fldCharType="begin"/>
        </w:r>
        <w:r w:rsidR="000B389D">
          <w:rPr>
            <w:noProof/>
            <w:webHidden/>
          </w:rPr>
          <w:instrText xml:space="preserve"> PAGEREF _Toc510788286 \h </w:instrText>
        </w:r>
        <w:r w:rsidR="000B389D">
          <w:rPr>
            <w:noProof/>
            <w:webHidden/>
          </w:rPr>
        </w:r>
        <w:r w:rsidR="000B389D">
          <w:rPr>
            <w:noProof/>
            <w:webHidden/>
          </w:rPr>
          <w:fldChar w:fldCharType="separate"/>
        </w:r>
        <w:r w:rsidR="000B389D">
          <w:rPr>
            <w:noProof/>
            <w:webHidden/>
          </w:rPr>
          <w:t>74</w:t>
        </w:r>
        <w:r w:rsidR="000B389D">
          <w:rPr>
            <w:noProof/>
            <w:webHidden/>
          </w:rPr>
          <w:fldChar w:fldCharType="end"/>
        </w:r>
      </w:hyperlink>
    </w:p>
    <w:p w14:paraId="4777B64A" w14:textId="77777777" w:rsidR="000B389D" w:rsidRDefault="00D700F7">
      <w:pPr>
        <w:pStyle w:val="TOC2"/>
        <w:rPr>
          <w:rFonts w:asciiTheme="minorHAnsi" w:eastAsiaTheme="minorEastAsia" w:hAnsiTheme="minorHAnsi" w:cstheme="minorBidi"/>
          <w:noProof/>
          <w:sz w:val="22"/>
          <w:szCs w:val="22"/>
        </w:rPr>
      </w:pPr>
      <w:hyperlink w:anchor="_Toc510788287" w:history="1">
        <w:r w:rsidR="000B389D" w:rsidRPr="009437F9">
          <w:rPr>
            <w:rStyle w:val="Hyperlink"/>
            <w:noProof/>
          </w:rPr>
          <w:t>10.01</w:t>
        </w:r>
        <w:r w:rsidR="000B389D">
          <w:rPr>
            <w:rFonts w:asciiTheme="minorHAnsi" w:eastAsiaTheme="minorEastAsia" w:hAnsiTheme="minorHAnsi" w:cstheme="minorBidi"/>
            <w:noProof/>
            <w:sz w:val="22"/>
            <w:szCs w:val="22"/>
          </w:rPr>
          <w:tab/>
        </w:r>
        <w:r w:rsidR="000B389D" w:rsidRPr="009437F9">
          <w:rPr>
            <w:rStyle w:val="Hyperlink"/>
            <w:noProof/>
          </w:rPr>
          <w:t>Events of Default.</w:t>
        </w:r>
        <w:r w:rsidR="000B389D">
          <w:rPr>
            <w:noProof/>
            <w:webHidden/>
          </w:rPr>
          <w:tab/>
        </w:r>
        <w:r w:rsidR="000B389D">
          <w:rPr>
            <w:noProof/>
            <w:webHidden/>
          </w:rPr>
          <w:fldChar w:fldCharType="begin"/>
        </w:r>
        <w:r w:rsidR="000B389D">
          <w:rPr>
            <w:noProof/>
            <w:webHidden/>
          </w:rPr>
          <w:instrText xml:space="preserve"> PAGEREF _Toc510788287 \h </w:instrText>
        </w:r>
        <w:r w:rsidR="000B389D">
          <w:rPr>
            <w:noProof/>
            <w:webHidden/>
          </w:rPr>
        </w:r>
        <w:r w:rsidR="000B389D">
          <w:rPr>
            <w:noProof/>
            <w:webHidden/>
          </w:rPr>
          <w:fldChar w:fldCharType="separate"/>
        </w:r>
        <w:r w:rsidR="000B389D">
          <w:rPr>
            <w:noProof/>
            <w:webHidden/>
          </w:rPr>
          <w:t>74</w:t>
        </w:r>
        <w:r w:rsidR="000B389D">
          <w:rPr>
            <w:noProof/>
            <w:webHidden/>
          </w:rPr>
          <w:fldChar w:fldCharType="end"/>
        </w:r>
      </w:hyperlink>
    </w:p>
    <w:p w14:paraId="56991158" w14:textId="77777777" w:rsidR="000B389D" w:rsidRDefault="00D700F7">
      <w:pPr>
        <w:pStyle w:val="TOC2"/>
        <w:rPr>
          <w:rFonts w:asciiTheme="minorHAnsi" w:eastAsiaTheme="minorEastAsia" w:hAnsiTheme="minorHAnsi" w:cstheme="minorBidi"/>
          <w:noProof/>
          <w:sz w:val="22"/>
          <w:szCs w:val="22"/>
        </w:rPr>
      </w:pPr>
      <w:hyperlink w:anchor="_Toc510788288" w:history="1">
        <w:r w:rsidR="000B389D" w:rsidRPr="009437F9">
          <w:rPr>
            <w:rStyle w:val="Hyperlink"/>
            <w:noProof/>
          </w:rPr>
          <w:t>10.02</w:t>
        </w:r>
        <w:r w:rsidR="000B389D">
          <w:rPr>
            <w:rFonts w:asciiTheme="minorHAnsi" w:eastAsiaTheme="minorEastAsia" w:hAnsiTheme="minorHAnsi" w:cstheme="minorBidi"/>
            <w:noProof/>
            <w:sz w:val="22"/>
            <w:szCs w:val="22"/>
          </w:rPr>
          <w:tab/>
        </w:r>
        <w:r w:rsidR="000B389D" w:rsidRPr="009437F9">
          <w:rPr>
            <w:rStyle w:val="Hyperlink"/>
            <w:noProof/>
          </w:rPr>
          <w:t>Early Termination Date.</w:t>
        </w:r>
        <w:r w:rsidR="000B389D">
          <w:rPr>
            <w:noProof/>
            <w:webHidden/>
          </w:rPr>
          <w:tab/>
        </w:r>
        <w:r w:rsidR="000B389D">
          <w:rPr>
            <w:noProof/>
            <w:webHidden/>
          </w:rPr>
          <w:fldChar w:fldCharType="begin"/>
        </w:r>
        <w:r w:rsidR="000B389D">
          <w:rPr>
            <w:noProof/>
            <w:webHidden/>
          </w:rPr>
          <w:instrText xml:space="preserve"> PAGEREF _Toc510788288 \h </w:instrText>
        </w:r>
        <w:r w:rsidR="000B389D">
          <w:rPr>
            <w:noProof/>
            <w:webHidden/>
          </w:rPr>
        </w:r>
        <w:r w:rsidR="000B389D">
          <w:rPr>
            <w:noProof/>
            <w:webHidden/>
          </w:rPr>
          <w:fldChar w:fldCharType="separate"/>
        </w:r>
        <w:r w:rsidR="000B389D">
          <w:rPr>
            <w:noProof/>
            <w:webHidden/>
          </w:rPr>
          <w:t>77</w:t>
        </w:r>
        <w:r w:rsidR="000B389D">
          <w:rPr>
            <w:noProof/>
            <w:webHidden/>
          </w:rPr>
          <w:fldChar w:fldCharType="end"/>
        </w:r>
      </w:hyperlink>
    </w:p>
    <w:p w14:paraId="493B3C5A" w14:textId="77777777" w:rsidR="000B389D" w:rsidRDefault="00D700F7">
      <w:pPr>
        <w:pStyle w:val="TOC2"/>
        <w:rPr>
          <w:rFonts w:asciiTheme="minorHAnsi" w:eastAsiaTheme="minorEastAsia" w:hAnsiTheme="minorHAnsi" w:cstheme="minorBidi"/>
          <w:noProof/>
          <w:sz w:val="22"/>
          <w:szCs w:val="22"/>
        </w:rPr>
      </w:pPr>
      <w:hyperlink w:anchor="_Toc510788289" w:history="1">
        <w:r w:rsidR="000B389D" w:rsidRPr="009437F9">
          <w:rPr>
            <w:rStyle w:val="Hyperlink"/>
            <w:noProof/>
          </w:rPr>
          <w:t>10.03</w:t>
        </w:r>
        <w:r w:rsidR="000B389D">
          <w:rPr>
            <w:rFonts w:asciiTheme="minorHAnsi" w:eastAsiaTheme="minorEastAsia" w:hAnsiTheme="minorHAnsi" w:cstheme="minorBidi"/>
            <w:noProof/>
            <w:sz w:val="22"/>
            <w:szCs w:val="22"/>
          </w:rPr>
          <w:tab/>
        </w:r>
        <w:r w:rsidR="000B389D" w:rsidRPr="009437F9">
          <w:rPr>
            <w:rStyle w:val="Hyperlink"/>
            <w:noProof/>
          </w:rPr>
          <w:t>Calculation of Termination Payment.</w:t>
        </w:r>
        <w:r w:rsidR="000B389D">
          <w:rPr>
            <w:noProof/>
            <w:webHidden/>
          </w:rPr>
          <w:tab/>
        </w:r>
        <w:r w:rsidR="000B389D">
          <w:rPr>
            <w:noProof/>
            <w:webHidden/>
          </w:rPr>
          <w:fldChar w:fldCharType="begin"/>
        </w:r>
        <w:r w:rsidR="000B389D">
          <w:rPr>
            <w:noProof/>
            <w:webHidden/>
          </w:rPr>
          <w:instrText xml:space="preserve"> PAGEREF _Toc510788289 \h </w:instrText>
        </w:r>
        <w:r w:rsidR="000B389D">
          <w:rPr>
            <w:noProof/>
            <w:webHidden/>
          </w:rPr>
        </w:r>
        <w:r w:rsidR="000B389D">
          <w:rPr>
            <w:noProof/>
            <w:webHidden/>
          </w:rPr>
          <w:fldChar w:fldCharType="separate"/>
        </w:r>
        <w:r w:rsidR="000B389D">
          <w:rPr>
            <w:noProof/>
            <w:webHidden/>
          </w:rPr>
          <w:t>78</w:t>
        </w:r>
        <w:r w:rsidR="000B389D">
          <w:rPr>
            <w:noProof/>
            <w:webHidden/>
          </w:rPr>
          <w:fldChar w:fldCharType="end"/>
        </w:r>
      </w:hyperlink>
    </w:p>
    <w:p w14:paraId="00872B4E" w14:textId="77777777" w:rsidR="000B389D" w:rsidRDefault="00D700F7">
      <w:pPr>
        <w:pStyle w:val="TOC2"/>
        <w:rPr>
          <w:rFonts w:asciiTheme="minorHAnsi" w:eastAsiaTheme="minorEastAsia" w:hAnsiTheme="minorHAnsi" w:cstheme="minorBidi"/>
          <w:noProof/>
          <w:sz w:val="22"/>
          <w:szCs w:val="22"/>
        </w:rPr>
      </w:pPr>
      <w:hyperlink w:anchor="_Toc510788290" w:history="1">
        <w:r w:rsidR="000B389D" w:rsidRPr="009437F9">
          <w:rPr>
            <w:rStyle w:val="Hyperlink"/>
            <w:noProof/>
          </w:rPr>
          <w:t>10.04</w:t>
        </w:r>
        <w:r w:rsidR="000B389D">
          <w:rPr>
            <w:rFonts w:asciiTheme="minorHAnsi" w:eastAsiaTheme="minorEastAsia" w:hAnsiTheme="minorHAnsi" w:cstheme="minorBidi"/>
            <w:noProof/>
            <w:sz w:val="22"/>
            <w:szCs w:val="22"/>
          </w:rPr>
          <w:tab/>
        </w:r>
        <w:r w:rsidR="000B389D" w:rsidRPr="009437F9">
          <w:rPr>
            <w:rStyle w:val="Hyperlink"/>
            <w:noProof/>
          </w:rPr>
          <w:t>Notice of Termination Payment.</w:t>
        </w:r>
        <w:r w:rsidR="000B389D">
          <w:rPr>
            <w:noProof/>
            <w:webHidden/>
          </w:rPr>
          <w:tab/>
        </w:r>
        <w:r w:rsidR="000B389D">
          <w:rPr>
            <w:noProof/>
            <w:webHidden/>
          </w:rPr>
          <w:fldChar w:fldCharType="begin"/>
        </w:r>
        <w:r w:rsidR="000B389D">
          <w:rPr>
            <w:noProof/>
            <w:webHidden/>
          </w:rPr>
          <w:instrText xml:space="preserve"> PAGEREF _Toc510788290 \h </w:instrText>
        </w:r>
        <w:r w:rsidR="000B389D">
          <w:rPr>
            <w:noProof/>
            <w:webHidden/>
          </w:rPr>
        </w:r>
        <w:r w:rsidR="000B389D">
          <w:rPr>
            <w:noProof/>
            <w:webHidden/>
          </w:rPr>
          <w:fldChar w:fldCharType="separate"/>
        </w:r>
        <w:r w:rsidR="000B389D">
          <w:rPr>
            <w:noProof/>
            <w:webHidden/>
          </w:rPr>
          <w:t>79</w:t>
        </w:r>
        <w:r w:rsidR="000B389D">
          <w:rPr>
            <w:noProof/>
            <w:webHidden/>
          </w:rPr>
          <w:fldChar w:fldCharType="end"/>
        </w:r>
      </w:hyperlink>
    </w:p>
    <w:p w14:paraId="5C95044F" w14:textId="77777777" w:rsidR="000B389D" w:rsidRDefault="00D700F7">
      <w:pPr>
        <w:pStyle w:val="TOC2"/>
        <w:rPr>
          <w:rFonts w:asciiTheme="minorHAnsi" w:eastAsiaTheme="minorEastAsia" w:hAnsiTheme="minorHAnsi" w:cstheme="minorBidi"/>
          <w:noProof/>
          <w:sz w:val="22"/>
          <w:szCs w:val="22"/>
        </w:rPr>
      </w:pPr>
      <w:hyperlink w:anchor="_Toc510788291" w:history="1">
        <w:r w:rsidR="000B389D" w:rsidRPr="009437F9">
          <w:rPr>
            <w:rStyle w:val="Hyperlink"/>
            <w:noProof/>
          </w:rPr>
          <w:t>10.05</w:t>
        </w:r>
        <w:r w:rsidR="000B389D">
          <w:rPr>
            <w:rFonts w:asciiTheme="minorHAnsi" w:eastAsiaTheme="minorEastAsia" w:hAnsiTheme="minorHAnsi" w:cstheme="minorBidi"/>
            <w:noProof/>
            <w:sz w:val="22"/>
            <w:szCs w:val="22"/>
          </w:rPr>
          <w:tab/>
        </w:r>
        <w:r w:rsidR="000B389D" w:rsidRPr="009437F9">
          <w:rPr>
            <w:rStyle w:val="Hyperlink"/>
            <w:noProof/>
          </w:rPr>
          <w:t>Limitation on Seller’s Ability to Make or Agree to Third Party Sales from the Project/Storage Units after Early Termination Date.</w:t>
        </w:r>
        <w:r w:rsidR="000B389D">
          <w:rPr>
            <w:noProof/>
            <w:webHidden/>
          </w:rPr>
          <w:tab/>
        </w:r>
        <w:r w:rsidR="000B389D">
          <w:rPr>
            <w:noProof/>
            <w:webHidden/>
          </w:rPr>
          <w:fldChar w:fldCharType="begin"/>
        </w:r>
        <w:r w:rsidR="000B389D">
          <w:rPr>
            <w:noProof/>
            <w:webHidden/>
          </w:rPr>
          <w:instrText xml:space="preserve"> PAGEREF _Toc510788291 \h </w:instrText>
        </w:r>
        <w:r w:rsidR="000B389D">
          <w:rPr>
            <w:noProof/>
            <w:webHidden/>
          </w:rPr>
        </w:r>
        <w:r w:rsidR="000B389D">
          <w:rPr>
            <w:noProof/>
            <w:webHidden/>
          </w:rPr>
          <w:fldChar w:fldCharType="separate"/>
        </w:r>
        <w:r w:rsidR="000B389D">
          <w:rPr>
            <w:noProof/>
            <w:webHidden/>
          </w:rPr>
          <w:t>79</w:t>
        </w:r>
        <w:r w:rsidR="000B389D">
          <w:rPr>
            <w:noProof/>
            <w:webHidden/>
          </w:rPr>
          <w:fldChar w:fldCharType="end"/>
        </w:r>
      </w:hyperlink>
    </w:p>
    <w:p w14:paraId="5BD334A6" w14:textId="77777777" w:rsidR="000B389D" w:rsidRDefault="00D700F7">
      <w:pPr>
        <w:pStyle w:val="TOC2"/>
        <w:rPr>
          <w:rFonts w:asciiTheme="minorHAnsi" w:eastAsiaTheme="minorEastAsia" w:hAnsiTheme="minorHAnsi" w:cstheme="minorBidi"/>
          <w:noProof/>
          <w:sz w:val="22"/>
          <w:szCs w:val="22"/>
        </w:rPr>
      </w:pPr>
      <w:hyperlink w:anchor="_Toc510788292" w:history="1">
        <w:r w:rsidR="000B389D" w:rsidRPr="009437F9">
          <w:rPr>
            <w:rStyle w:val="Hyperlink"/>
            <w:noProof/>
          </w:rPr>
          <w:t>10.06</w:t>
        </w:r>
        <w:r w:rsidR="000B389D">
          <w:rPr>
            <w:rFonts w:asciiTheme="minorHAnsi" w:eastAsiaTheme="minorEastAsia" w:hAnsiTheme="minorHAnsi" w:cstheme="minorBidi"/>
            <w:noProof/>
            <w:sz w:val="22"/>
            <w:szCs w:val="22"/>
          </w:rPr>
          <w:tab/>
        </w:r>
        <w:r w:rsidR="000B389D" w:rsidRPr="009437F9">
          <w:rPr>
            <w:rStyle w:val="Hyperlink"/>
            <w:noProof/>
          </w:rPr>
          <w:t>Effect of Termination.</w:t>
        </w:r>
        <w:r w:rsidR="000B389D">
          <w:rPr>
            <w:noProof/>
            <w:webHidden/>
          </w:rPr>
          <w:tab/>
        </w:r>
        <w:r w:rsidR="000B389D">
          <w:rPr>
            <w:noProof/>
            <w:webHidden/>
          </w:rPr>
          <w:fldChar w:fldCharType="begin"/>
        </w:r>
        <w:r w:rsidR="000B389D">
          <w:rPr>
            <w:noProof/>
            <w:webHidden/>
          </w:rPr>
          <w:instrText xml:space="preserve"> PAGEREF _Toc510788292 \h </w:instrText>
        </w:r>
        <w:r w:rsidR="000B389D">
          <w:rPr>
            <w:noProof/>
            <w:webHidden/>
          </w:rPr>
        </w:r>
        <w:r w:rsidR="000B389D">
          <w:rPr>
            <w:noProof/>
            <w:webHidden/>
          </w:rPr>
          <w:fldChar w:fldCharType="separate"/>
        </w:r>
        <w:r w:rsidR="000B389D">
          <w:rPr>
            <w:noProof/>
            <w:webHidden/>
          </w:rPr>
          <w:t>80</w:t>
        </w:r>
        <w:r w:rsidR="000B389D">
          <w:rPr>
            <w:noProof/>
            <w:webHidden/>
          </w:rPr>
          <w:fldChar w:fldCharType="end"/>
        </w:r>
      </w:hyperlink>
    </w:p>
    <w:p w14:paraId="5097A377" w14:textId="77777777" w:rsidR="000B389D" w:rsidRDefault="00D700F7" w:rsidP="00DD474F">
      <w:pPr>
        <w:pStyle w:val="TOC1"/>
        <w:rPr>
          <w:rFonts w:asciiTheme="minorHAnsi" w:hAnsiTheme="minorHAnsi" w:cstheme="minorBidi"/>
          <w:noProof/>
          <w:sz w:val="22"/>
          <w:szCs w:val="22"/>
        </w:rPr>
      </w:pPr>
      <w:hyperlink w:anchor="_Toc510788293" w:history="1">
        <w:r w:rsidR="000B389D" w:rsidRPr="009437F9">
          <w:rPr>
            <w:rStyle w:val="Hyperlink"/>
            <w:noProof/>
          </w:rPr>
          <w:t>ARTICLE 11.</w:t>
        </w:r>
        <w:r w:rsidR="000B389D">
          <w:rPr>
            <w:rFonts w:asciiTheme="minorHAnsi" w:hAnsiTheme="minorHAnsi" w:cstheme="minorBidi"/>
            <w:noProof/>
            <w:sz w:val="22"/>
            <w:szCs w:val="22"/>
          </w:rPr>
          <w:tab/>
        </w:r>
        <w:r w:rsidR="000B389D" w:rsidRPr="009437F9">
          <w:rPr>
            <w:rStyle w:val="Hyperlink"/>
            <w:noProof/>
          </w:rPr>
          <w:t>LIMITATIONS</w:t>
        </w:r>
        <w:r w:rsidR="000B389D">
          <w:rPr>
            <w:noProof/>
            <w:webHidden/>
          </w:rPr>
          <w:tab/>
        </w:r>
        <w:r w:rsidR="000B389D">
          <w:rPr>
            <w:noProof/>
            <w:webHidden/>
          </w:rPr>
          <w:fldChar w:fldCharType="begin"/>
        </w:r>
        <w:r w:rsidR="000B389D">
          <w:rPr>
            <w:noProof/>
            <w:webHidden/>
          </w:rPr>
          <w:instrText xml:space="preserve"> PAGEREF _Toc510788293 \h </w:instrText>
        </w:r>
        <w:r w:rsidR="000B389D">
          <w:rPr>
            <w:noProof/>
            <w:webHidden/>
          </w:rPr>
        </w:r>
        <w:r w:rsidR="000B389D">
          <w:rPr>
            <w:noProof/>
            <w:webHidden/>
          </w:rPr>
          <w:fldChar w:fldCharType="separate"/>
        </w:r>
        <w:r w:rsidR="000B389D">
          <w:rPr>
            <w:noProof/>
            <w:webHidden/>
          </w:rPr>
          <w:t>80</w:t>
        </w:r>
        <w:r w:rsidR="000B389D">
          <w:rPr>
            <w:noProof/>
            <w:webHidden/>
          </w:rPr>
          <w:fldChar w:fldCharType="end"/>
        </w:r>
      </w:hyperlink>
    </w:p>
    <w:p w14:paraId="6466D9EE" w14:textId="77777777" w:rsidR="000B389D" w:rsidRDefault="00D700F7">
      <w:pPr>
        <w:pStyle w:val="TOC2"/>
        <w:rPr>
          <w:rFonts w:asciiTheme="minorHAnsi" w:eastAsiaTheme="minorEastAsia" w:hAnsiTheme="minorHAnsi" w:cstheme="minorBidi"/>
          <w:noProof/>
          <w:sz w:val="22"/>
          <w:szCs w:val="22"/>
        </w:rPr>
      </w:pPr>
      <w:hyperlink w:anchor="_Toc510788294" w:history="1">
        <w:r w:rsidR="000B389D" w:rsidRPr="009437F9">
          <w:rPr>
            <w:rStyle w:val="Hyperlink"/>
            <w:noProof/>
          </w:rPr>
          <w:t>11.01</w:t>
        </w:r>
        <w:r w:rsidR="000B389D">
          <w:rPr>
            <w:rFonts w:asciiTheme="minorHAnsi" w:eastAsiaTheme="minorEastAsia" w:hAnsiTheme="minorHAnsi" w:cstheme="minorBidi"/>
            <w:noProof/>
            <w:sz w:val="22"/>
            <w:szCs w:val="22"/>
          </w:rPr>
          <w:tab/>
        </w:r>
        <w:r w:rsidR="000B389D" w:rsidRPr="009437F9">
          <w:rPr>
            <w:rStyle w:val="Hyperlink"/>
            <w:noProof/>
          </w:rPr>
          <w:t>Limitation of Remedies, Liability and Damages.</w:t>
        </w:r>
        <w:r w:rsidR="000B389D">
          <w:rPr>
            <w:noProof/>
            <w:webHidden/>
          </w:rPr>
          <w:tab/>
        </w:r>
        <w:r w:rsidR="000B389D">
          <w:rPr>
            <w:noProof/>
            <w:webHidden/>
          </w:rPr>
          <w:fldChar w:fldCharType="begin"/>
        </w:r>
        <w:r w:rsidR="000B389D">
          <w:rPr>
            <w:noProof/>
            <w:webHidden/>
          </w:rPr>
          <w:instrText xml:space="preserve"> PAGEREF _Toc510788294 \h </w:instrText>
        </w:r>
        <w:r w:rsidR="000B389D">
          <w:rPr>
            <w:noProof/>
            <w:webHidden/>
          </w:rPr>
        </w:r>
        <w:r w:rsidR="000B389D">
          <w:rPr>
            <w:noProof/>
            <w:webHidden/>
          </w:rPr>
          <w:fldChar w:fldCharType="separate"/>
        </w:r>
        <w:r w:rsidR="000B389D">
          <w:rPr>
            <w:noProof/>
            <w:webHidden/>
          </w:rPr>
          <w:t>80</w:t>
        </w:r>
        <w:r w:rsidR="000B389D">
          <w:rPr>
            <w:noProof/>
            <w:webHidden/>
          </w:rPr>
          <w:fldChar w:fldCharType="end"/>
        </w:r>
      </w:hyperlink>
    </w:p>
    <w:p w14:paraId="58C36729" w14:textId="77777777" w:rsidR="000B389D" w:rsidRDefault="00D700F7">
      <w:pPr>
        <w:pStyle w:val="TOC2"/>
        <w:rPr>
          <w:rFonts w:asciiTheme="minorHAnsi" w:eastAsiaTheme="minorEastAsia" w:hAnsiTheme="minorHAnsi" w:cstheme="minorBidi"/>
          <w:noProof/>
          <w:sz w:val="22"/>
          <w:szCs w:val="22"/>
        </w:rPr>
      </w:pPr>
      <w:hyperlink w:anchor="_Toc510788295" w:history="1">
        <w:r w:rsidR="000B389D" w:rsidRPr="009437F9">
          <w:rPr>
            <w:rStyle w:val="Hyperlink"/>
            <w:noProof/>
          </w:rPr>
          <w:t>11.02</w:t>
        </w:r>
        <w:r w:rsidR="000B389D">
          <w:rPr>
            <w:rFonts w:asciiTheme="minorHAnsi" w:eastAsiaTheme="minorEastAsia" w:hAnsiTheme="minorHAnsi" w:cstheme="minorBidi"/>
            <w:noProof/>
            <w:sz w:val="22"/>
            <w:szCs w:val="22"/>
          </w:rPr>
          <w:tab/>
        </w:r>
        <w:r w:rsidR="000B389D" w:rsidRPr="009437F9">
          <w:rPr>
            <w:rStyle w:val="Hyperlink"/>
            <w:noProof/>
          </w:rPr>
          <w:t>No Representation by SCE.</w:t>
        </w:r>
        <w:r w:rsidR="000B389D">
          <w:rPr>
            <w:noProof/>
            <w:webHidden/>
          </w:rPr>
          <w:tab/>
        </w:r>
        <w:r w:rsidR="000B389D">
          <w:rPr>
            <w:noProof/>
            <w:webHidden/>
          </w:rPr>
          <w:fldChar w:fldCharType="begin"/>
        </w:r>
        <w:r w:rsidR="000B389D">
          <w:rPr>
            <w:noProof/>
            <w:webHidden/>
          </w:rPr>
          <w:instrText xml:space="preserve"> PAGEREF _Toc510788295 \h </w:instrText>
        </w:r>
        <w:r w:rsidR="000B389D">
          <w:rPr>
            <w:noProof/>
            <w:webHidden/>
          </w:rPr>
        </w:r>
        <w:r w:rsidR="000B389D">
          <w:rPr>
            <w:noProof/>
            <w:webHidden/>
          </w:rPr>
          <w:fldChar w:fldCharType="separate"/>
        </w:r>
        <w:r w:rsidR="000B389D">
          <w:rPr>
            <w:noProof/>
            <w:webHidden/>
          </w:rPr>
          <w:t>81</w:t>
        </w:r>
        <w:r w:rsidR="000B389D">
          <w:rPr>
            <w:noProof/>
            <w:webHidden/>
          </w:rPr>
          <w:fldChar w:fldCharType="end"/>
        </w:r>
      </w:hyperlink>
    </w:p>
    <w:p w14:paraId="5B5978B8" w14:textId="77777777" w:rsidR="000B389D" w:rsidRDefault="00D700F7">
      <w:pPr>
        <w:pStyle w:val="TOC2"/>
        <w:rPr>
          <w:rFonts w:asciiTheme="minorHAnsi" w:eastAsiaTheme="minorEastAsia" w:hAnsiTheme="minorHAnsi" w:cstheme="minorBidi"/>
          <w:noProof/>
          <w:sz w:val="22"/>
          <w:szCs w:val="22"/>
        </w:rPr>
      </w:pPr>
      <w:hyperlink w:anchor="_Toc510788296" w:history="1">
        <w:r w:rsidR="000B389D" w:rsidRPr="009437F9">
          <w:rPr>
            <w:rStyle w:val="Hyperlink"/>
            <w:noProof/>
          </w:rPr>
          <w:t>11.03</w:t>
        </w:r>
        <w:r w:rsidR="000B389D">
          <w:rPr>
            <w:rFonts w:asciiTheme="minorHAnsi" w:eastAsiaTheme="minorEastAsia" w:hAnsiTheme="minorHAnsi" w:cstheme="minorBidi"/>
            <w:noProof/>
            <w:sz w:val="22"/>
            <w:szCs w:val="22"/>
          </w:rPr>
          <w:tab/>
        </w:r>
        <w:r w:rsidR="000B389D" w:rsidRPr="009437F9">
          <w:rPr>
            <w:rStyle w:val="Hyperlink"/>
            <w:noProof/>
          </w:rPr>
          <w:t>Separation of Functions.</w:t>
        </w:r>
        <w:r w:rsidR="000B389D">
          <w:rPr>
            <w:noProof/>
            <w:webHidden/>
          </w:rPr>
          <w:tab/>
        </w:r>
        <w:r w:rsidR="000B389D">
          <w:rPr>
            <w:noProof/>
            <w:webHidden/>
          </w:rPr>
          <w:fldChar w:fldCharType="begin"/>
        </w:r>
        <w:r w:rsidR="000B389D">
          <w:rPr>
            <w:noProof/>
            <w:webHidden/>
          </w:rPr>
          <w:instrText xml:space="preserve"> PAGEREF _Toc510788296 \h </w:instrText>
        </w:r>
        <w:r w:rsidR="000B389D">
          <w:rPr>
            <w:noProof/>
            <w:webHidden/>
          </w:rPr>
        </w:r>
        <w:r w:rsidR="000B389D">
          <w:rPr>
            <w:noProof/>
            <w:webHidden/>
          </w:rPr>
          <w:fldChar w:fldCharType="separate"/>
        </w:r>
        <w:r w:rsidR="000B389D">
          <w:rPr>
            <w:noProof/>
            <w:webHidden/>
          </w:rPr>
          <w:t>82</w:t>
        </w:r>
        <w:r w:rsidR="000B389D">
          <w:rPr>
            <w:noProof/>
            <w:webHidden/>
          </w:rPr>
          <w:fldChar w:fldCharType="end"/>
        </w:r>
      </w:hyperlink>
    </w:p>
    <w:p w14:paraId="1279091B" w14:textId="77777777" w:rsidR="000B389D" w:rsidRDefault="00D700F7" w:rsidP="00DD474F">
      <w:pPr>
        <w:pStyle w:val="TOC1"/>
        <w:rPr>
          <w:rFonts w:asciiTheme="minorHAnsi" w:hAnsiTheme="minorHAnsi" w:cstheme="minorBidi"/>
          <w:noProof/>
          <w:sz w:val="22"/>
          <w:szCs w:val="22"/>
        </w:rPr>
      </w:pPr>
      <w:hyperlink w:anchor="_Toc510788297" w:history="1">
        <w:r w:rsidR="000B389D" w:rsidRPr="009437F9">
          <w:rPr>
            <w:rStyle w:val="Hyperlink"/>
            <w:noProof/>
          </w:rPr>
          <w:t>ARTICLE 12.</w:t>
        </w:r>
        <w:r w:rsidR="000B389D">
          <w:rPr>
            <w:rFonts w:asciiTheme="minorHAnsi" w:hAnsiTheme="minorHAnsi" w:cstheme="minorBidi"/>
            <w:noProof/>
            <w:sz w:val="22"/>
            <w:szCs w:val="22"/>
          </w:rPr>
          <w:lastRenderedPageBreak/>
          <w:tab/>
        </w:r>
        <w:r w:rsidR="000B389D" w:rsidRPr="009437F9">
          <w:rPr>
            <w:rStyle w:val="Hyperlink"/>
            <w:noProof/>
          </w:rPr>
          <w:t>DISPUTES</w:t>
        </w:r>
        <w:r w:rsidR="000B389D">
          <w:rPr>
            <w:noProof/>
            <w:webHidden/>
          </w:rPr>
          <w:tab/>
        </w:r>
        <w:r w:rsidR="000B389D">
          <w:rPr>
            <w:noProof/>
            <w:webHidden/>
          </w:rPr>
          <w:fldChar w:fldCharType="begin"/>
        </w:r>
        <w:r w:rsidR="000B389D">
          <w:rPr>
            <w:noProof/>
            <w:webHidden/>
          </w:rPr>
          <w:instrText xml:space="preserve"> PAGEREF _Toc510788297 \h </w:instrText>
        </w:r>
        <w:r w:rsidR="000B389D">
          <w:rPr>
            <w:noProof/>
            <w:webHidden/>
          </w:rPr>
        </w:r>
        <w:r w:rsidR="000B389D">
          <w:rPr>
            <w:noProof/>
            <w:webHidden/>
          </w:rPr>
          <w:fldChar w:fldCharType="separate"/>
        </w:r>
        <w:r w:rsidR="000B389D">
          <w:rPr>
            <w:noProof/>
            <w:webHidden/>
          </w:rPr>
          <w:t>82</w:t>
        </w:r>
        <w:r w:rsidR="000B389D">
          <w:rPr>
            <w:noProof/>
            <w:webHidden/>
          </w:rPr>
          <w:fldChar w:fldCharType="end"/>
        </w:r>
      </w:hyperlink>
    </w:p>
    <w:p w14:paraId="485F179E" w14:textId="77777777" w:rsidR="000B389D" w:rsidRDefault="00D700F7">
      <w:pPr>
        <w:pStyle w:val="TOC2"/>
        <w:rPr>
          <w:rFonts w:asciiTheme="minorHAnsi" w:eastAsiaTheme="minorEastAsia" w:hAnsiTheme="minorHAnsi" w:cstheme="minorBidi"/>
          <w:noProof/>
          <w:sz w:val="22"/>
          <w:szCs w:val="22"/>
        </w:rPr>
      </w:pPr>
      <w:hyperlink w:anchor="_Toc510788298" w:history="1">
        <w:r w:rsidR="000B389D" w:rsidRPr="009437F9">
          <w:rPr>
            <w:rStyle w:val="Hyperlink"/>
            <w:noProof/>
          </w:rPr>
          <w:t>12.01</w:t>
        </w:r>
        <w:r w:rsidR="000B389D">
          <w:rPr>
            <w:rFonts w:asciiTheme="minorHAnsi" w:eastAsiaTheme="minorEastAsia" w:hAnsiTheme="minorHAnsi" w:cstheme="minorBidi"/>
            <w:noProof/>
            <w:sz w:val="22"/>
            <w:szCs w:val="22"/>
          </w:rPr>
          <w:tab/>
        </w:r>
        <w:r w:rsidR="000B389D" w:rsidRPr="009437F9">
          <w:rPr>
            <w:rStyle w:val="Hyperlink"/>
            <w:noProof/>
          </w:rPr>
          <w:t>Dispute Resolution.</w:t>
        </w:r>
        <w:r w:rsidR="000B389D">
          <w:rPr>
            <w:noProof/>
            <w:webHidden/>
          </w:rPr>
          <w:tab/>
        </w:r>
        <w:r w:rsidR="000B389D">
          <w:rPr>
            <w:noProof/>
            <w:webHidden/>
          </w:rPr>
          <w:fldChar w:fldCharType="begin"/>
        </w:r>
        <w:r w:rsidR="000B389D">
          <w:rPr>
            <w:noProof/>
            <w:webHidden/>
          </w:rPr>
          <w:instrText xml:space="preserve"> PAGEREF _Toc510788298 \h </w:instrText>
        </w:r>
        <w:r w:rsidR="000B389D">
          <w:rPr>
            <w:noProof/>
            <w:webHidden/>
          </w:rPr>
        </w:r>
        <w:r w:rsidR="000B389D">
          <w:rPr>
            <w:noProof/>
            <w:webHidden/>
          </w:rPr>
          <w:fldChar w:fldCharType="separate"/>
        </w:r>
        <w:r w:rsidR="000B389D">
          <w:rPr>
            <w:noProof/>
            <w:webHidden/>
          </w:rPr>
          <w:t>82</w:t>
        </w:r>
        <w:r w:rsidR="000B389D">
          <w:rPr>
            <w:noProof/>
            <w:webHidden/>
          </w:rPr>
          <w:fldChar w:fldCharType="end"/>
        </w:r>
      </w:hyperlink>
    </w:p>
    <w:p w14:paraId="0319D4D4" w14:textId="77777777" w:rsidR="000B389D" w:rsidRDefault="00D700F7">
      <w:pPr>
        <w:pStyle w:val="TOC2"/>
        <w:rPr>
          <w:rFonts w:asciiTheme="minorHAnsi" w:eastAsiaTheme="minorEastAsia" w:hAnsiTheme="minorHAnsi" w:cstheme="minorBidi"/>
          <w:noProof/>
          <w:sz w:val="22"/>
          <w:szCs w:val="22"/>
        </w:rPr>
      </w:pPr>
      <w:hyperlink w:anchor="_Toc510788299" w:history="1">
        <w:r w:rsidR="000B389D" w:rsidRPr="009437F9">
          <w:rPr>
            <w:rStyle w:val="Hyperlink"/>
            <w:noProof/>
          </w:rPr>
          <w:t>12.02</w:t>
        </w:r>
        <w:r w:rsidR="000B389D">
          <w:rPr>
            <w:rFonts w:asciiTheme="minorHAnsi" w:eastAsiaTheme="minorEastAsia" w:hAnsiTheme="minorHAnsi" w:cstheme="minorBidi"/>
            <w:noProof/>
            <w:sz w:val="22"/>
            <w:szCs w:val="22"/>
          </w:rPr>
          <w:tab/>
        </w:r>
        <w:r w:rsidR="000B389D" w:rsidRPr="009437F9">
          <w:rPr>
            <w:rStyle w:val="Hyperlink"/>
            <w:noProof/>
          </w:rPr>
          <w:t>Mediation.</w:t>
        </w:r>
        <w:r w:rsidR="000B389D">
          <w:rPr>
            <w:noProof/>
            <w:webHidden/>
          </w:rPr>
          <w:tab/>
        </w:r>
        <w:r w:rsidR="000B389D">
          <w:rPr>
            <w:noProof/>
            <w:webHidden/>
          </w:rPr>
          <w:fldChar w:fldCharType="begin"/>
        </w:r>
        <w:r w:rsidR="000B389D">
          <w:rPr>
            <w:noProof/>
            <w:webHidden/>
          </w:rPr>
          <w:instrText xml:space="preserve"> PAGEREF _Toc510788299 \h </w:instrText>
        </w:r>
        <w:r w:rsidR="000B389D">
          <w:rPr>
            <w:noProof/>
            <w:webHidden/>
          </w:rPr>
        </w:r>
        <w:r w:rsidR="000B389D">
          <w:rPr>
            <w:noProof/>
            <w:webHidden/>
          </w:rPr>
          <w:fldChar w:fldCharType="separate"/>
        </w:r>
        <w:r w:rsidR="000B389D">
          <w:rPr>
            <w:noProof/>
            <w:webHidden/>
          </w:rPr>
          <w:t>82</w:t>
        </w:r>
        <w:r w:rsidR="000B389D">
          <w:rPr>
            <w:noProof/>
            <w:webHidden/>
          </w:rPr>
          <w:fldChar w:fldCharType="end"/>
        </w:r>
      </w:hyperlink>
    </w:p>
    <w:p w14:paraId="110686FC" w14:textId="77777777" w:rsidR="000B389D" w:rsidRDefault="00D700F7">
      <w:pPr>
        <w:pStyle w:val="TOC2"/>
        <w:rPr>
          <w:rFonts w:asciiTheme="minorHAnsi" w:eastAsiaTheme="minorEastAsia" w:hAnsiTheme="minorHAnsi" w:cstheme="minorBidi"/>
          <w:noProof/>
          <w:sz w:val="22"/>
          <w:szCs w:val="22"/>
        </w:rPr>
      </w:pPr>
      <w:hyperlink w:anchor="_Toc510788300" w:history="1">
        <w:r w:rsidR="000B389D" w:rsidRPr="009437F9">
          <w:rPr>
            <w:rStyle w:val="Hyperlink"/>
            <w:noProof/>
          </w:rPr>
          <w:t>12.03</w:t>
        </w:r>
        <w:r w:rsidR="000B389D">
          <w:rPr>
            <w:rFonts w:asciiTheme="minorHAnsi" w:eastAsiaTheme="minorEastAsia" w:hAnsiTheme="minorHAnsi" w:cstheme="minorBidi"/>
            <w:noProof/>
            <w:sz w:val="22"/>
            <w:szCs w:val="22"/>
          </w:rPr>
          <w:tab/>
        </w:r>
        <w:r w:rsidR="000B389D" w:rsidRPr="009437F9">
          <w:rPr>
            <w:rStyle w:val="Hyperlink"/>
            <w:noProof/>
          </w:rPr>
          <w:t>Arbitration.</w:t>
        </w:r>
        <w:r w:rsidR="000B389D">
          <w:rPr>
            <w:noProof/>
            <w:webHidden/>
          </w:rPr>
          <w:tab/>
        </w:r>
        <w:r w:rsidR="000B389D">
          <w:rPr>
            <w:noProof/>
            <w:webHidden/>
          </w:rPr>
          <w:fldChar w:fldCharType="begin"/>
        </w:r>
        <w:r w:rsidR="000B389D">
          <w:rPr>
            <w:noProof/>
            <w:webHidden/>
          </w:rPr>
          <w:instrText xml:space="preserve"> PAGEREF _Toc510788300 \h </w:instrText>
        </w:r>
        <w:r w:rsidR="000B389D">
          <w:rPr>
            <w:noProof/>
            <w:webHidden/>
          </w:rPr>
        </w:r>
        <w:r w:rsidR="000B389D">
          <w:rPr>
            <w:noProof/>
            <w:webHidden/>
          </w:rPr>
          <w:fldChar w:fldCharType="separate"/>
        </w:r>
        <w:r w:rsidR="000B389D">
          <w:rPr>
            <w:noProof/>
            <w:webHidden/>
          </w:rPr>
          <w:t>83</w:t>
        </w:r>
        <w:r w:rsidR="000B389D">
          <w:rPr>
            <w:noProof/>
            <w:webHidden/>
          </w:rPr>
          <w:fldChar w:fldCharType="end"/>
        </w:r>
      </w:hyperlink>
    </w:p>
    <w:p w14:paraId="42752D58" w14:textId="77777777" w:rsidR="000B389D" w:rsidRDefault="00D700F7">
      <w:pPr>
        <w:pStyle w:val="TOC2"/>
        <w:rPr>
          <w:rFonts w:asciiTheme="minorHAnsi" w:eastAsiaTheme="minorEastAsia" w:hAnsiTheme="minorHAnsi" w:cstheme="minorBidi"/>
          <w:noProof/>
          <w:sz w:val="22"/>
          <w:szCs w:val="22"/>
        </w:rPr>
      </w:pPr>
      <w:hyperlink w:anchor="_Toc510788301" w:history="1">
        <w:r w:rsidR="000B389D" w:rsidRPr="009437F9">
          <w:rPr>
            <w:rStyle w:val="Hyperlink"/>
            <w:noProof/>
          </w:rPr>
          <w:t>12.04</w:t>
        </w:r>
        <w:r w:rsidR="000B389D">
          <w:rPr>
            <w:rFonts w:asciiTheme="minorHAnsi" w:eastAsiaTheme="minorEastAsia" w:hAnsiTheme="minorHAnsi" w:cstheme="minorBidi"/>
            <w:noProof/>
            <w:sz w:val="22"/>
            <w:szCs w:val="22"/>
          </w:rPr>
          <w:tab/>
        </w:r>
        <w:r w:rsidR="000B389D" w:rsidRPr="009437F9">
          <w:rPr>
            <w:rStyle w:val="Hyperlink"/>
            <w:noProof/>
          </w:rPr>
          <w:t>Provisional Relief.</w:t>
        </w:r>
        <w:r w:rsidR="000B389D">
          <w:rPr>
            <w:noProof/>
            <w:webHidden/>
          </w:rPr>
          <w:tab/>
        </w:r>
        <w:r w:rsidR="000B389D">
          <w:rPr>
            <w:noProof/>
            <w:webHidden/>
          </w:rPr>
          <w:fldChar w:fldCharType="begin"/>
        </w:r>
        <w:r w:rsidR="000B389D">
          <w:rPr>
            <w:noProof/>
            <w:webHidden/>
          </w:rPr>
          <w:instrText xml:space="preserve"> PAGEREF _Toc510788301 \h </w:instrText>
        </w:r>
        <w:r w:rsidR="000B389D">
          <w:rPr>
            <w:noProof/>
            <w:webHidden/>
          </w:rPr>
        </w:r>
        <w:r w:rsidR="000B389D">
          <w:rPr>
            <w:noProof/>
            <w:webHidden/>
          </w:rPr>
          <w:fldChar w:fldCharType="separate"/>
        </w:r>
        <w:r w:rsidR="000B389D">
          <w:rPr>
            <w:noProof/>
            <w:webHidden/>
          </w:rPr>
          <w:t>86</w:t>
        </w:r>
        <w:r w:rsidR="000B389D">
          <w:rPr>
            <w:noProof/>
            <w:webHidden/>
          </w:rPr>
          <w:fldChar w:fldCharType="end"/>
        </w:r>
      </w:hyperlink>
    </w:p>
    <w:p w14:paraId="24595180" w14:textId="77777777" w:rsidR="000B389D" w:rsidRDefault="00D700F7">
      <w:pPr>
        <w:pStyle w:val="TOC2"/>
        <w:rPr>
          <w:rFonts w:asciiTheme="minorHAnsi" w:eastAsiaTheme="minorEastAsia" w:hAnsiTheme="minorHAnsi" w:cstheme="minorBidi"/>
          <w:noProof/>
          <w:sz w:val="22"/>
          <w:szCs w:val="22"/>
        </w:rPr>
      </w:pPr>
      <w:hyperlink w:anchor="_Toc510788302" w:history="1">
        <w:r w:rsidR="000B389D" w:rsidRPr="009437F9">
          <w:rPr>
            <w:rStyle w:val="Hyperlink"/>
            <w:noProof/>
          </w:rPr>
          <w:t>12.05</w:t>
        </w:r>
        <w:r w:rsidR="000B389D">
          <w:rPr>
            <w:rFonts w:asciiTheme="minorHAnsi" w:eastAsiaTheme="minorEastAsia" w:hAnsiTheme="minorHAnsi" w:cstheme="minorBidi"/>
            <w:noProof/>
            <w:sz w:val="22"/>
            <w:szCs w:val="22"/>
          </w:rPr>
          <w:tab/>
        </w:r>
        <w:r w:rsidR="000B389D" w:rsidRPr="009437F9">
          <w:rPr>
            <w:rStyle w:val="Hyperlink"/>
            <w:noProof/>
          </w:rPr>
          <w:t>Consolidation of Matters.</w:t>
        </w:r>
        <w:r w:rsidR="000B389D">
          <w:rPr>
            <w:noProof/>
            <w:webHidden/>
          </w:rPr>
          <w:tab/>
        </w:r>
        <w:r w:rsidR="000B389D">
          <w:rPr>
            <w:noProof/>
            <w:webHidden/>
          </w:rPr>
          <w:fldChar w:fldCharType="begin"/>
        </w:r>
        <w:r w:rsidR="000B389D">
          <w:rPr>
            <w:noProof/>
            <w:webHidden/>
          </w:rPr>
          <w:instrText xml:space="preserve"> PAGEREF _Toc510788302 \h </w:instrText>
        </w:r>
        <w:r w:rsidR="000B389D">
          <w:rPr>
            <w:noProof/>
            <w:webHidden/>
          </w:rPr>
        </w:r>
        <w:r w:rsidR="000B389D">
          <w:rPr>
            <w:noProof/>
            <w:webHidden/>
          </w:rPr>
          <w:fldChar w:fldCharType="separate"/>
        </w:r>
        <w:r w:rsidR="000B389D">
          <w:rPr>
            <w:noProof/>
            <w:webHidden/>
          </w:rPr>
          <w:t>86</w:t>
        </w:r>
        <w:r w:rsidR="000B389D">
          <w:rPr>
            <w:noProof/>
            <w:webHidden/>
          </w:rPr>
          <w:fldChar w:fldCharType="end"/>
        </w:r>
      </w:hyperlink>
    </w:p>
    <w:p w14:paraId="11986EC0" w14:textId="16D77678" w:rsidR="000B389D" w:rsidRDefault="00D700F7" w:rsidP="00DD474F">
      <w:pPr>
        <w:pStyle w:val="TOC1"/>
        <w:rPr>
          <w:rFonts w:asciiTheme="minorHAnsi" w:hAnsiTheme="minorHAnsi" w:cstheme="minorBidi"/>
          <w:noProof/>
          <w:sz w:val="22"/>
          <w:szCs w:val="22"/>
        </w:rPr>
      </w:pPr>
      <w:hyperlink w:anchor="_Toc510788303" w:history="1">
        <w:r w:rsidR="000B389D" w:rsidRPr="009437F9">
          <w:rPr>
            <w:rStyle w:val="Hyperlink"/>
            <w:noProof/>
          </w:rPr>
          <w:t>ARTICLE 13.</w:t>
        </w:r>
        <w:r w:rsidR="000B389D">
          <w:rPr>
            <w:rFonts w:asciiTheme="minorHAnsi" w:hAnsiTheme="minorHAnsi" w:cstheme="minorBidi"/>
            <w:noProof/>
            <w:sz w:val="22"/>
            <w:szCs w:val="22"/>
          </w:rPr>
          <w:t xml:space="preserve"> </w:t>
        </w:r>
        <w:r w:rsidR="000B389D" w:rsidRPr="009437F9">
          <w:rPr>
            <w:rStyle w:val="Hyperlink"/>
            <w:noProof/>
          </w:rPr>
          <w:t>INDEMNIFICATION; Governmental charges</w:t>
        </w:r>
        <w:r w:rsidR="000B389D">
          <w:rPr>
            <w:noProof/>
            <w:webHidden/>
          </w:rPr>
          <w:tab/>
        </w:r>
        <w:r w:rsidR="000B389D">
          <w:rPr>
            <w:noProof/>
            <w:webHidden/>
          </w:rPr>
          <w:fldChar w:fldCharType="begin"/>
        </w:r>
        <w:r w:rsidR="000B389D">
          <w:rPr>
            <w:noProof/>
            <w:webHidden/>
          </w:rPr>
          <w:instrText xml:space="preserve"> PAGEREF _Toc510788303 \h </w:instrText>
        </w:r>
        <w:r w:rsidR="000B389D">
          <w:rPr>
            <w:noProof/>
            <w:webHidden/>
          </w:rPr>
        </w:r>
        <w:r w:rsidR="000B389D">
          <w:rPr>
            <w:noProof/>
            <w:webHidden/>
          </w:rPr>
          <w:fldChar w:fldCharType="separate"/>
        </w:r>
        <w:r w:rsidR="000B389D">
          <w:rPr>
            <w:noProof/>
            <w:webHidden/>
          </w:rPr>
          <w:t>87</w:t>
        </w:r>
        <w:r w:rsidR="000B389D">
          <w:rPr>
            <w:noProof/>
            <w:webHidden/>
          </w:rPr>
          <w:fldChar w:fldCharType="end"/>
        </w:r>
      </w:hyperlink>
    </w:p>
    <w:p w14:paraId="1FDD67A9" w14:textId="77777777" w:rsidR="000B389D" w:rsidRDefault="00D700F7">
      <w:pPr>
        <w:pStyle w:val="TOC2"/>
        <w:rPr>
          <w:rFonts w:asciiTheme="minorHAnsi" w:eastAsiaTheme="minorEastAsia" w:hAnsiTheme="minorHAnsi" w:cstheme="minorBidi"/>
          <w:noProof/>
          <w:sz w:val="22"/>
          <w:szCs w:val="22"/>
        </w:rPr>
      </w:pPr>
      <w:hyperlink w:anchor="_Toc510788304" w:history="1">
        <w:r w:rsidR="000B389D" w:rsidRPr="009437F9">
          <w:rPr>
            <w:rStyle w:val="Hyperlink"/>
            <w:noProof/>
          </w:rPr>
          <w:t>13.01</w:t>
        </w:r>
        <w:r w:rsidR="000B389D">
          <w:rPr>
            <w:rFonts w:asciiTheme="minorHAnsi" w:eastAsiaTheme="minorEastAsia" w:hAnsiTheme="minorHAnsi" w:cstheme="minorBidi"/>
            <w:noProof/>
            <w:sz w:val="22"/>
            <w:szCs w:val="22"/>
          </w:rPr>
          <w:tab/>
        </w:r>
        <w:r w:rsidR="000B389D" w:rsidRPr="009437F9">
          <w:rPr>
            <w:rStyle w:val="Hyperlink"/>
            <w:noProof/>
          </w:rPr>
          <w:t>SCE’s Indemnification Obligations.</w:t>
        </w:r>
        <w:r w:rsidR="000B389D">
          <w:rPr>
            <w:noProof/>
            <w:webHidden/>
          </w:rPr>
          <w:tab/>
        </w:r>
        <w:r w:rsidR="000B389D">
          <w:rPr>
            <w:noProof/>
            <w:webHidden/>
          </w:rPr>
          <w:fldChar w:fldCharType="begin"/>
        </w:r>
        <w:r w:rsidR="000B389D">
          <w:rPr>
            <w:noProof/>
            <w:webHidden/>
          </w:rPr>
          <w:instrText xml:space="preserve"> PAGEREF _Toc510788304 \h </w:instrText>
        </w:r>
        <w:r w:rsidR="000B389D">
          <w:rPr>
            <w:noProof/>
            <w:webHidden/>
          </w:rPr>
        </w:r>
        <w:r w:rsidR="000B389D">
          <w:rPr>
            <w:noProof/>
            <w:webHidden/>
          </w:rPr>
          <w:fldChar w:fldCharType="separate"/>
        </w:r>
        <w:r w:rsidR="000B389D">
          <w:rPr>
            <w:noProof/>
            <w:webHidden/>
          </w:rPr>
          <w:t>87</w:t>
        </w:r>
        <w:r w:rsidR="000B389D">
          <w:rPr>
            <w:noProof/>
            <w:webHidden/>
          </w:rPr>
          <w:fldChar w:fldCharType="end"/>
        </w:r>
      </w:hyperlink>
    </w:p>
    <w:p w14:paraId="0BDE82CF" w14:textId="77777777" w:rsidR="000B389D" w:rsidRDefault="00D700F7">
      <w:pPr>
        <w:pStyle w:val="TOC2"/>
        <w:rPr>
          <w:rFonts w:asciiTheme="minorHAnsi" w:eastAsiaTheme="minorEastAsia" w:hAnsiTheme="minorHAnsi" w:cstheme="minorBidi"/>
          <w:noProof/>
          <w:sz w:val="22"/>
          <w:szCs w:val="22"/>
        </w:rPr>
      </w:pPr>
      <w:hyperlink w:anchor="_Toc510788305" w:history="1">
        <w:r w:rsidR="000B389D" w:rsidRPr="009437F9">
          <w:rPr>
            <w:rStyle w:val="Hyperlink"/>
            <w:noProof/>
          </w:rPr>
          <w:t>13.02</w:t>
        </w:r>
        <w:r w:rsidR="000B389D">
          <w:rPr>
            <w:rFonts w:asciiTheme="minorHAnsi" w:eastAsiaTheme="minorEastAsia" w:hAnsiTheme="minorHAnsi" w:cstheme="minorBidi"/>
            <w:noProof/>
            <w:sz w:val="22"/>
            <w:szCs w:val="22"/>
          </w:rPr>
          <w:tab/>
        </w:r>
        <w:r w:rsidR="000B389D" w:rsidRPr="009437F9">
          <w:rPr>
            <w:rStyle w:val="Hyperlink"/>
            <w:noProof/>
          </w:rPr>
          <w:t>Seller’s Indemnification Obligations.</w:t>
        </w:r>
        <w:r w:rsidR="000B389D">
          <w:rPr>
            <w:noProof/>
            <w:webHidden/>
          </w:rPr>
          <w:tab/>
        </w:r>
        <w:r w:rsidR="000B389D">
          <w:rPr>
            <w:noProof/>
            <w:webHidden/>
          </w:rPr>
          <w:fldChar w:fldCharType="begin"/>
        </w:r>
        <w:r w:rsidR="000B389D">
          <w:rPr>
            <w:noProof/>
            <w:webHidden/>
          </w:rPr>
          <w:instrText xml:space="preserve"> PAGEREF _Toc510788305 \h </w:instrText>
        </w:r>
        <w:r w:rsidR="000B389D">
          <w:rPr>
            <w:noProof/>
            <w:webHidden/>
          </w:rPr>
        </w:r>
        <w:r w:rsidR="000B389D">
          <w:rPr>
            <w:noProof/>
            <w:webHidden/>
          </w:rPr>
          <w:fldChar w:fldCharType="separate"/>
        </w:r>
        <w:r w:rsidR="000B389D">
          <w:rPr>
            <w:noProof/>
            <w:webHidden/>
          </w:rPr>
          <w:t>87</w:t>
        </w:r>
        <w:r w:rsidR="000B389D">
          <w:rPr>
            <w:noProof/>
            <w:webHidden/>
          </w:rPr>
          <w:fldChar w:fldCharType="end"/>
        </w:r>
      </w:hyperlink>
    </w:p>
    <w:p w14:paraId="724CEC74" w14:textId="77777777" w:rsidR="000B389D" w:rsidRDefault="00D700F7">
      <w:pPr>
        <w:pStyle w:val="TOC2"/>
        <w:rPr>
          <w:rFonts w:asciiTheme="minorHAnsi" w:eastAsiaTheme="minorEastAsia" w:hAnsiTheme="minorHAnsi" w:cstheme="minorBidi"/>
          <w:noProof/>
          <w:sz w:val="22"/>
          <w:szCs w:val="22"/>
        </w:rPr>
      </w:pPr>
      <w:hyperlink w:anchor="_Toc510788306" w:history="1">
        <w:r w:rsidR="000B389D" w:rsidRPr="009437F9">
          <w:rPr>
            <w:rStyle w:val="Hyperlink"/>
            <w:noProof/>
          </w:rPr>
          <w:t>13.03</w:t>
        </w:r>
        <w:r w:rsidR="000B389D">
          <w:rPr>
            <w:rFonts w:asciiTheme="minorHAnsi" w:eastAsiaTheme="minorEastAsia" w:hAnsiTheme="minorHAnsi" w:cstheme="minorBidi"/>
            <w:noProof/>
            <w:sz w:val="22"/>
            <w:szCs w:val="22"/>
          </w:rPr>
          <w:tab/>
        </w:r>
        <w:r w:rsidR="000B389D" w:rsidRPr="009437F9">
          <w:rPr>
            <w:rStyle w:val="Hyperlink"/>
            <w:noProof/>
          </w:rPr>
          <w:t>Indemnification Claims.</w:t>
        </w:r>
        <w:r w:rsidR="000B389D">
          <w:rPr>
            <w:noProof/>
            <w:webHidden/>
          </w:rPr>
          <w:tab/>
        </w:r>
        <w:r w:rsidR="000B389D">
          <w:rPr>
            <w:noProof/>
            <w:webHidden/>
          </w:rPr>
          <w:fldChar w:fldCharType="begin"/>
        </w:r>
        <w:r w:rsidR="000B389D">
          <w:rPr>
            <w:noProof/>
            <w:webHidden/>
          </w:rPr>
          <w:instrText xml:space="preserve"> PAGEREF _Toc510788306 \h </w:instrText>
        </w:r>
        <w:r w:rsidR="000B389D">
          <w:rPr>
            <w:noProof/>
            <w:webHidden/>
          </w:rPr>
        </w:r>
        <w:r w:rsidR="000B389D">
          <w:rPr>
            <w:noProof/>
            <w:webHidden/>
          </w:rPr>
          <w:fldChar w:fldCharType="separate"/>
        </w:r>
        <w:r w:rsidR="000B389D">
          <w:rPr>
            <w:noProof/>
            <w:webHidden/>
          </w:rPr>
          <w:t>89</w:t>
        </w:r>
        <w:r w:rsidR="000B389D">
          <w:rPr>
            <w:noProof/>
            <w:webHidden/>
          </w:rPr>
          <w:fldChar w:fldCharType="end"/>
        </w:r>
      </w:hyperlink>
    </w:p>
    <w:p w14:paraId="0C181342" w14:textId="77777777" w:rsidR="000B389D" w:rsidRDefault="00D700F7">
      <w:pPr>
        <w:pStyle w:val="TOC2"/>
        <w:rPr>
          <w:rFonts w:asciiTheme="minorHAnsi" w:eastAsiaTheme="minorEastAsia" w:hAnsiTheme="minorHAnsi" w:cstheme="minorBidi"/>
          <w:noProof/>
          <w:sz w:val="22"/>
          <w:szCs w:val="22"/>
        </w:rPr>
      </w:pPr>
      <w:hyperlink w:anchor="_Toc510788307" w:history="1">
        <w:r w:rsidR="000B389D" w:rsidRPr="009437F9">
          <w:rPr>
            <w:rStyle w:val="Hyperlink"/>
            <w:noProof/>
          </w:rPr>
          <w:t>13.04</w:t>
        </w:r>
        <w:r w:rsidR="000B389D">
          <w:rPr>
            <w:rFonts w:asciiTheme="minorHAnsi" w:eastAsiaTheme="minorEastAsia" w:hAnsiTheme="minorHAnsi" w:cstheme="minorBidi"/>
            <w:noProof/>
            <w:sz w:val="22"/>
            <w:szCs w:val="22"/>
          </w:rPr>
          <w:tab/>
        </w:r>
        <w:r w:rsidR="000B389D" w:rsidRPr="009437F9">
          <w:rPr>
            <w:rStyle w:val="Hyperlink"/>
            <w:noProof/>
          </w:rPr>
          <w:t>Survival of Indemnification Rights and Obligations.</w:t>
        </w:r>
        <w:r w:rsidR="000B389D">
          <w:rPr>
            <w:noProof/>
            <w:webHidden/>
          </w:rPr>
          <w:tab/>
        </w:r>
        <w:r w:rsidR="000B389D">
          <w:rPr>
            <w:noProof/>
            <w:webHidden/>
          </w:rPr>
          <w:fldChar w:fldCharType="begin"/>
        </w:r>
        <w:r w:rsidR="000B389D">
          <w:rPr>
            <w:noProof/>
            <w:webHidden/>
          </w:rPr>
          <w:instrText xml:space="preserve"> PAGEREF _Toc510788307 \h </w:instrText>
        </w:r>
        <w:r w:rsidR="000B389D">
          <w:rPr>
            <w:noProof/>
            <w:webHidden/>
          </w:rPr>
        </w:r>
        <w:r w:rsidR="000B389D">
          <w:rPr>
            <w:noProof/>
            <w:webHidden/>
          </w:rPr>
          <w:fldChar w:fldCharType="separate"/>
        </w:r>
        <w:r w:rsidR="000B389D">
          <w:rPr>
            <w:noProof/>
            <w:webHidden/>
          </w:rPr>
          <w:t>90</w:t>
        </w:r>
        <w:r w:rsidR="000B389D">
          <w:rPr>
            <w:noProof/>
            <w:webHidden/>
          </w:rPr>
          <w:fldChar w:fldCharType="end"/>
        </w:r>
      </w:hyperlink>
    </w:p>
    <w:p w14:paraId="12A77ADC" w14:textId="77777777" w:rsidR="000B389D" w:rsidRDefault="00D700F7">
      <w:pPr>
        <w:pStyle w:val="TOC2"/>
        <w:rPr>
          <w:rFonts w:asciiTheme="minorHAnsi" w:eastAsiaTheme="minorEastAsia" w:hAnsiTheme="minorHAnsi" w:cstheme="minorBidi"/>
          <w:noProof/>
          <w:sz w:val="22"/>
          <w:szCs w:val="22"/>
        </w:rPr>
      </w:pPr>
      <w:hyperlink w:anchor="_Toc510788308" w:history="1">
        <w:r w:rsidR="000B389D" w:rsidRPr="009437F9">
          <w:rPr>
            <w:rStyle w:val="Hyperlink"/>
            <w:noProof/>
          </w:rPr>
          <w:t>13.05</w:t>
        </w:r>
        <w:r w:rsidR="000B389D">
          <w:rPr>
            <w:rFonts w:asciiTheme="minorHAnsi" w:eastAsiaTheme="minorEastAsia" w:hAnsiTheme="minorHAnsi" w:cstheme="minorBidi"/>
            <w:noProof/>
            <w:sz w:val="22"/>
            <w:szCs w:val="22"/>
          </w:rPr>
          <w:tab/>
        </w:r>
        <w:r w:rsidR="000B389D" w:rsidRPr="009437F9">
          <w:rPr>
            <w:rStyle w:val="Hyperlink"/>
            <w:noProof/>
          </w:rPr>
          <w:t>Cooperation to Minimize Tax Liabilities.</w:t>
        </w:r>
        <w:r w:rsidR="000B389D">
          <w:rPr>
            <w:noProof/>
            <w:webHidden/>
          </w:rPr>
          <w:tab/>
        </w:r>
        <w:r w:rsidR="000B389D">
          <w:rPr>
            <w:noProof/>
            <w:webHidden/>
          </w:rPr>
          <w:fldChar w:fldCharType="begin"/>
        </w:r>
        <w:r w:rsidR="000B389D">
          <w:rPr>
            <w:noProof/>
            <w:webHidden/>
          </w:rPr>
          <w:instrText xml:space="preserve"> PAGEREF _Toc510788308 \h </w:instrText>
        </w:r>
        <w:r w:rsidR="000B389D">
          <w:rPr>
            <w:noProof/>
            <w:webHidden/>
          </w:rPr>
        </w:r>
        <w:r w:rsidR="000B389D">
          <w:rPr>
            <w:noProof/>
            <w:webHidden/>
          </w:rPr>
          <w:fldChar w:fldCharType="separate"/>
        </w:r>
        <w:r w:rsidR="000B389D">
          <w:rPr>
            <w:noProof/>
            <w:webHidden/>
          </w:rPr>
          <w:t>90</w:t>
        </w:r>
        <w:r w:rsidR="000B389D">
          <w:rPr>
            <w:noProof/>
            <w:webHidden/>
          </w:rPr>
          <w:fldChar w:fldCharType="end"/>
        </w:r>
      </w:hyperlink>
    </w:p>
    <w:p w14:paraId="3E210005" w14:textId="77777777" w:rsidR="000B389D" w:rsidRDefault="00D700F7">
      <w:pPr>
        <w:pStyle w:val="TOC2"/>
        <w:rPr>
          <w:rFonts w:asciiTheme="minorHAnsi" w:eastAsiaTheme="minorEastAsia" w:hAnsiTheme="minorHAnsi" w:cstheme="minorBidi"/>
          <w:noProof/>
          <w:sz w:val="22"/>
          <w:szCs w:val="22"/>
        </w:rPr>
      </w:pPr>
      <w:hyperlink w:anchor="_Toc510788309" w:history="1">
        <w:r w:rsidR="000B389D" w:rsidRPr="009437F9">
          <w:rPr>
            <w:rStyle w:val="Hyperlink"/>
            <w:noProof/>
          </w:rPr>
          <w:t>13.06</w:t>
        </w:r>
        <w:r w:rsidR="000B389D">
          <w:rPr>
            <w:rFonts w:asciiTheme="minorHAnsi" w:eastAsiaTheme="minorEastAsia" w:hAnsiTheme="minorHAnsi" w:cstheme="minorBidi"/>
            <w:noProof/>
            <w:sz w:val="22"/>
            <w:szCs w:val="22"/>
          </w:rPr>
          <w:tab/>
        </w:r>
        <w:r w:rsidR="000B389D" w:rsidRPr="009437F9">
          <w:rPr>
            <w:rStyle w:val="Hyperlink"/>
            <w:noProof/>
          </w:rPr>
          <w:t>Governmental Charges.</w:t>
        </w:r>
        <w:r w:rsidR="000B389D">
          <w:rPr>
            <w:noProof/>
            <w:webHidden/>
          </w:rPr>
          <w:tab/>
        </w:r>
        <w:r w:rsidR="000B389D">
          <w:rPr>
            <w:noProof/>
            <w:webHidden/>
          </w:rPr>
          <w:fldChar w:fldCharType="begin"/>
        </w:r>
        <w:r w:rsidR="000B389D">
          <w:rPr>
            <w:noProof/>
            <w:webHidden/>
          </w:rPr>
          <w:instrText xml:space="preserve"> PAGEREF _Toc510788309 \h </w:instrText>
        </w:r>
        <w:r w:rsidR="000B389D">
          <w:rPr>
            <w:noProof/>
            <w:webHidden/>
          </w:rPr>
        </w:r>
        <w:r w:rsidR="000B389D">
          <w:rPr>
            <w:noProof/>
            <w:webHidden/>
          </w:rPr>
          <w:fldChar w:fldCharType="separate"/>
        </w:r>
        <w:r w:rsidR="000B389D">
          <w:rPr>
            <w:noProof/>
            <w:webHidden/>
          </w:rPr>
          <w:t>90</w:t>
        </w:r>
        <w:r w:rsidR="000B389D">
          <w:rPr>
            <w:noProof/>
            <w:webHidden/>
          </w:rPr>
          <w:fldChar w:fldCharType="end"/>
        </w:r>
      </w:hyperlink>
    </w:p>
    <w:p w14:paraId="130A9F34" w14:textId="77777777" w:rsidR="000B389D" w:rsidRDefault="00D700F7">
      <w:pPr>
        <w:pStyle w:val="TOC2"/>
        <w:rPr>
          <w:rFonts w:asciiTheme="minorHAnsi" w:eastAsiaTheme="minorEastAsia" w:hAnsiTheme="minorHAnsi" w:cstheme="minorBidi"/>
          <w:noProof/>
          <w:sz w:val="22"/>
          <w:szCs w:val="22"/>
        </w:rPr>
      </w:pPr>
      <w:hyperlink w:anchor="_Toc510788310" w:history="1">
        <w:r w:rsidR="000B389D" w:rsidRPr="009437F9">
          <w:rPr>
            <w:rStyle w:val="Hyperlink"/>
            <w:noProof/>
          </w:rPr>
          <w:t>13.07</w:t>
        </w:r>
        <w:r w:rsidR="000B389D">
          <w:rPr>
            <w:rFonts w:asciiTheme="minorHAnsi" w:eastAsiaTheme="minorEastAsia" w:hAnsiTheme="minorHAnsi" w:cstheme="minorBidi"/>
            <w:noProof/>
            <w:sz w:val="22"/>
            <w:szCs w:val="22"/>
          </w:rPr>
          <w:tab/>
        </w:r>
        <w:r w:rsidR="000B389D" w:rsidRPr="009437F9">
          <w:rPr>
            <w:rStyle w:val="Hyperlink"/>
            <w:noProof/>
          </w:rPr>
          <w:t>Compliance with Laws and Indemnification.</w:t>
        </w:r>
        <w:r w:rsidR="000B389D">
          <w:rPr>
            <w:noProof/>
            <w:webHidden/>
          </w:rPr>
          <w:tab/>
        </w:r>
        <w:r w:rsidR="000B389D">
          <w:rPr>
            <w:noProof/>
            <w:webHidden/>
          </w:rPr>
          <w:fldChar w:fldCharType="begin"/>
        </w:r>
        <w:r w:rsidR="000B389D">
          <w:rPr>
            <w:noProof/>
            <w:webHidden/>
          </w:rPr>
          <w:instrText xml:space="preserve"> PAGEREF _Toc510788310 \h </w:instrText>
        </w:r>
        <w:r w:rsidR="000B389D">
          <w:rPr>
            <w:noProof/>
            <w:webHidden/>
          </w:rPr>
        </w:r>
        <w:r w:rsidR="000B389D">
          <w:rPr>
            <w:noProof/>
            <w:webHidden/>
          </w:rPr>
          <w:fldChar w:fldCharType="separate"/>
        </w:r>
        <w:r w:rsidR="000B389D">
          <w:rPr>
            <w:noProof/>
            <w:webHidden/>
          </w:rPr>
          <w:t>91</w:t>
        </w:r>
        <w:r w:rsidR="000B389D">
          <w:rPr>
            <w:noProof/>
            <w:webHidden/>
          </w:rPr>
          <w:fldChar w:fldCharType="end"/>
        </w:r>
      </w:hyperlink>
    </w:p>
    <w:p w14:paraId="198A4A23" w14:textId="77777777" w:rsidR="000B389D" w:rsidRDefault="00D700F7">
      <w:pPr>
        <w:pStyle w:val="TOC2"/>
        <w:rPr>
          <w:rFonts w:asciiTheme="minorHAnsi" w:eastAsiaTheme="minorEastAsia" w:hAnsiTheme="minorHAnsi" w:cstheme="minorBidi"/>
          <w:noProof/>
          <w:sz w:val="22"/>
          <w:szCs w:val="22"/>
        </w:rPr>
      </w:pPr>
      <w:hyperlink w:anchor="_Toc510788311" w:history="1">
        <w:r w:rsidR="000B389D" w:rsidRPr="009437F9">
          <w:rPr>
            <w:rStyle w:val="Hyperlink"/>
            <w:noProof/>
          </w:rPr>
          <w:t>13.08</w:t>
        </w:r>
        <w:r w:rsidR="000B389D">
          <w:rPr>
            <w:rFonts w:asciiTheme="minorHAnsi" w:eastAsiaTheme="minorEastAsia" w:hAnsiTheme="minorHAnsi" w:cstheme="minorBidi"/>
            <w:noProof/>
            <w:sz w:val="22"/>
            <w:szCs w:val="22"/>
          </w:rPr>
          <w:tab/>
        </w:r>
        <w:r w:rsidR="000B389D" w:rsidRPr="009437F9">
          <w:rPr>
            <w:rStyle w:val="Hyperlink"/>
            <w:noProof/>
          </w:rPr>
          <w:t>Environmental Costs and Indemnification.</w:t>
        </w:r>
        <w:r w:rsidR="000B389D">
          <w:rPr>
            <w:noProof/>
            <w:webHidden/>
          </w:rPr>
          <w:tab/>
        </w:r>
        <w:r w:rsidR="000B389D">
          <w:rPr>
            <w:noProof/>
            <w:webHidden/>
          </w:rPr>
          <w:fldChar w:fldCharType="begin"/>
        </w:r>
        <w:r w:rsidR="000B389D">
          <w:rPr>
            <w:noProof/>
            <w:webHidden/>
          </w:rPr>
          <w:instrText xml:space="preserve"> PAGEREF _Toc510788311 \h </w:instrText>
        </w:r>
        <w:r w:rsidR="000B389D">
          <w:rPr>
            <w:noProof/>
            <w:webHidden/>
          </w:rPr>
        </w:r>
        <w:r w:rsidR="000B389D">
          <w:rPr>
            <w:noProof/>
            <w:webHidden/>
          </w:rPr>
          <w:fldChar w:fldCharType="separate"/>
        </w:r>
        <w:r w:rsidR="000B389D">
          <w:rPr>
            <w:noProof/>
            <w:webHidden/>
          </w:rPr>
          <w:t>91</w:t>
        </w:r>
        <w:r w:rsidR="000B389D">
          <w:rPr>
            <w:noProof/>
            <w:webHidden/>
          </w:rPr>
          <w:fldChar w:fldCharType="end"/>
        </w:r>
      </w:hyperlink>
    </w:p>
    <w:p w14:paraId="694AD5B0" w14:textId="0B6BDC5E" w:rsidR="000B389D" w:rsidRDefault="00D700F7" w:rsidP="00DD474F">
      <w:pPr>
        <w:pStyle w:val="TOC1"/>
        <w:rPr>
          <w:rFonts w:asciiTheme="minorHAnsi" w:hAnsiTheme="minorHAnsi" w:cstheme="minorBidi"/>
          <w:noProof/>
          <w:sz w:val="22"/>
          <w:szCs w:val="22"/>
        </w:rPr>
      </w:pPr>
      <w:hyperlink w:anchor="_Toc510788312" w:history="1">
        <w:r w:rsidR="000B389D" w:rsidRPr="009437F9">
          <w:rPr>
            <w:rStyle w:val="Hyperlink"/>
            <w:noProof/>
          </w:rPr>
          <w:t xml:space="preserve">ARTICLE </w:t>
        </w:r>
        <w:r w:rsidR="000B389D">
          <w:rPr>
            <w:rStyle w:val="Hyperlink"/>
            <w:noProof/>
          </w:rPr>
          <w:t>1</w:t>
        </w:r>
        <w:r w:rsidR="000B389D" w:rsidRPr="009437F9">
          <w:rPr>
            <w:rStyle w:val="Hyperlink"/>
            <w:noProof/>
          </w:rPr>
          <w:t>4.</w:t>
        </w:r>
        <w:r w:rsidR="000B389D">
          <w:rPr>
            <w:rFonts w:asciiTheme="minorHAnsi" w:hAnsiTheme="minorHAnsi" w:cstheme="minorBidi"/>
            <w:noProof/>
            <w:sz w:val="22"/>
            <w:szCs w:val="22"/>
          </w:rPr>
          <w:t xml:space="preserve"> </w:t>
        </w:r>
        <w:r w:rsidR="000B389D" w:rsidRPr="009437F9">
          <w:rPr>
            <w:rStyle w:val="Hyperlink"/>
            <w:noProof/>
          </w:rPr>
          <w:t>MISCELLANEOUS</w:t>
        </w:r>
        <w:r w:rsidR="000B389D">
          <w:rPr>
            <w:noProof/>
            <w:webHidden/>
          </w:rPr>
          <w:tab/>
        </w:r>
        <w:r w:rsidR="000B389D">
          <w:rPr>
            <w:noProof/>
            <w:webHidden/>
          </w:rPr>
          <w:fldChar w:fldCharType="begin"/>
        </w:r>
        <w:r w:rsidR="000B389D">
          <w:rPr>
            <w:noProof/>
            <w:webHidden/>
          </w:rPr>
          <w:instrText xml:space="preserve"> PAGEREF _Toc510788312 \h </w:instrText>
        </w:r>
        <w:r w:rsidR="000B389D">
          <w:rPr>
            <w:noProof/>
            <w:webHidden/>
          </w:rPr>
        </w:r>
        <w:r w:rsidR="000B389D">
          <w:rPr>
            <w:noProof/>
            <w:webHidden/>
          </w:rPr>
          <w:fldChar w:fldCharType="separate"/>
        </w:r>
        <w:r w:rsidR="000B389D">
          <w:rPr>
            <w:noProof/>
            <w:webHidden/>
          </w:rPr>
          <w:t>92</w:t>
        </w:r>
        <w:r w:rsidR="000B389D">
          <w:rPr>
            <w:noProof/>
            <w:webHidden/>
          </w:rPr>
          <w:fldChar w:fldCharType="end"/>
        </w:r>
      </w:hyperlink>
    </w:p>
    <w:p w14:paraId="76F4AAE2" w14:textId="77777777" w:rsidR="000B389D" w:rsidRDefault="00D700F7">
      <w:pPr>
        <w:pStyle w:val="TOC2"/>
        <w:rPr>
          <w:rFonts w:asciiTheme="minorHAnsi" w:eastAsiaTheme="minorEastAsia" w:hAnsiTheme="minorHAnsi" w:cstheme="minorBidi"/>
          <w:noProof/>
          <w:sz w:val="22"/>
          <w:szCs w:val="22"/>
        </w:rPr>
      </w:pPr>
      <w:hyperlink w:anchor="_Toc510788313" w:history="1">
        <w:r w:rsidR="000B389D" w:rsidRPr="009437F9">
          <w:rPr>
            <w:rStyle w:val="Hyperlink"/>
            <w:noProof/>
          </w:rPr>
          <w:t>14.01</w:t>
        </w:r>
        <w:r w:rsidR="000B389D">
          <w:rPr>
            <w:rFonts w:asciiTheme="minorHAnsi" w:eastAsiaTheme="minorEastAsia" w:hAnsiTheme="minorHAnsi" w:cstheme="minorBidi"/>
            <w:noProof/>
            <w:sz w:val="22"/>
            <w:szCs w:val="22"/>
          </w:rPr>
          <w:tab/>
        </w:r>
        <w:r w:rsidR="000B389D" w:rsidRPr="009437F9">
          <w:rPr>
            <w:rStyle w:val="Hyperlink"/>
            <w:noProof/>
          </w:rPr>
          <w:t>General.</w:t>
        </w:r>
        <w:r w:rsidR="000B389D">
          <w:rPr>
            <w:noProof/>
            <w:webHidden/>
          </w:rPr>
          <w:tab/>
        </w:r>
        <w:r w:rsidR="000B389D">
          <w:rPr>
            <w:noProof/>
            <w:webHidden/>
          </w:rPr>
          <w:fldChar w:fldCharType="begin"/>
        </w:r>
        <w:r w:rsidR="000B389D">
          <w:rPr>
            <w:noProof/>
            <w:webHidden/>
          </w:rPr>
          <w:instrText xml:space="preserve"> PAGEREF _Toc510788313 \h </w:instrText>
        </w:r>
        <w:r w:rsidR="000B389D">
          <w:rPr>
            <w:noProof/>
            <w:webHidden/>
          </w:rPr>
        </w:r>
        <w:r w:rsidR="000B389D">
          <w:rPr>
            <w:noProof/>
            <w:webHidden/>
          </w:rPr>
          <w:fldChar w:fldCharType="separate"/>
        </w:r>
        <w:r w:rsidR="000B389D">
          <w:rPr>
            <w:noProof/>
            <w:webHidden/>
          </w:rPr>
          <w:t>92</w:t>
        </w:r>
        <w:r w:rsidR="000B389D">
          <w:rPr>
            <w:noProof/>
            <w:webHidden/>
          </w:rPr>
          <w:fldChar w:fldCharType="end"/>
        </w:r>
      </w:hyperlink>
    </w:p>
    <w:p w14:paraId="234C9A29" w14:textId="77777777" w:rsidR="000B389D" w:rsidRDefault="00D700F7">
      <w:pPr>
        <w:pStyle w:val="TOC2"/>
        <w:rPr>
          <w:rFonts w:asciiTheme="minorHAnsi" w:eastAsiaTheme="minorEastAsia" w:hAnsiTheme="minorHAnsi" w:cstheme="minorBidi"/>
          <w:noProof/>
          <w:sz w:val="22"/>
          <w:szCs w:val="22"/>
        </w:rPr>
      </w:pPr>
      <w:hyperlink w:anchor="_Toc510788314" w:history="1">
        <w:r w:rsidR="000B389D" w:rsidRPr="009437F9">
          <w:rPr>
            <w:rStyle w:val="Hyperlink"/>
            <w:noProof/>
          </w:rPr>
          <w:t>14.02</w:t>
        </w:r>
        <w:r w:rsidR="000B389D">
          <w:rPr>
            <w:rFonts w:asciiTheme="minorHAnsi" w:eastAsiaTheme="minorEastAsia" w:hAnsiTheme="minorHAnsi" w:cstheme="minorBidi"/>
            <w:noProof/>
            <w:sz w:val="22"/>
            <w:szCs w:val="22"/>
          </w:rPr>
          <w:tab/>
        </w:r>
        <w:r w:rsidR="000B389D" w:rsidRPr="009437F9">
          <w:rPr>
            <w:rStyle w:val="Hyperlink"/>
            <w:noProof/>
          </w:rPr>
          <w:t>Notices.</w:t>
        </w:r>
        <w:r w:rsidR="000B389D">
          <w:rPr>
            <w:noProof/>
            <w:webHidden/>
          </w:rPr>
          <w:tab/>
        </w:r>
        <w:r w:rsidR="000B389D">
          <w:rPr>
            <w:noProof/>
            <w:webHidden/>
          </w:rPr>
          <w:fldChar w:fldCharType="begin"/>
        </w:r>
        <w:r w:rsidR="000B389D">
          <w:rPr>
            <w:noProof/>
            <w:webHidden/>
          </w:rPr>
          <w:instrText xml:space="preserve"> PAGEREF _Toc510788314 \h </w:instrText>
        </w:r>
        <w:r w:rsidR="000B389D">
          <w:rPr>
            <w:noProof/>
            <w:webHidden/>
          </w:rPr>
        </w:r>
        <w:r w:rsidR="000B389D">
          <w:rPr>
            <w:noProof/>
            <w:webHidden/>
          </w:rPr>
          <w:fldChar w:fldCharType="separate"/>
        </w:r>
        <w:r w:rsidR="000B389D">
          <w:rPr>
            <w:noProof/>
            <w:webHidden/>
          </w:rPr>
          <w:t>94</w:t>
        </w:r>
        <w:r w:rsidR="000B389D">
          <w:rPr>
            <w:noProof/>
            <w:webHidden/>
          </w:rPr>
          <w:fldChar w:fldCharType="end"/>
        </w:r>
      </w:hyperlink>
    </w:p>
    <w:p w14:paraId="4CC2ECB0" w14:textId="77777777" w:rsidR="000B389D" w:rsidRDefault="00D700F7">
      <w:pPr>
        <w:pStyle w:val="TOC2"/>
        <w:rPr>
          <w:rFonts w:asciiTheme="minorHAnsi" w:eastAsiaTheme="minorEastAsia" w:hAnsiTheme="minorHAnsi" w:cstheme="minorBidi"/>
          <w:noProof/>
          <w:sz w:val="22"/>
          <w:szCs w:val="22"/>
        </w:rPr>
      </w:pPr>
      <w:hyperlink w:anchor="_Toc510788315" w:history="1">
        <w:r w:rsidR="000B389D" w:rsidRPr="009437F9">
          <w:rPr>
            <w:rStyle w:val="Hyperlink"/>
            <w:noProof/>
          </w:rPr>
          <w:t>14.03</w:t>
        </w:r>
        <w:r w:rsidR="000B389D">
          <w:rPr>
            <w:rFonts w:asciiTheme="minorHAnsi" w:eastAsiaTheme="minorEastAsia" w:hAnsiTheme="minorHAnsi" w:cstheme="minorBidi"/>
            <w:noProof/>
            <w:sz w:val="22"/>
            <w:szCs w:val="22"/>
          </w:rPr>
          <w:tab/>
        </w:r>
        <w:r w:rsidR="000B389D" w:rsidRPr="009437F9">
          <w:rPr>
            <w:rStyle w:val="Hyperlink"/>
            <w:noProof/>
          </w:rPr>
          <w:t>Governing Law; Waiver of Jury Trial.</w:t>
        </w:r>
        <w:r w:rsidR="000B389D">
          <w:rPr>
            <w:noProof/>
            <w:webHidden/>
          </w:rPr>
          <w:tab/>
        </w:r>
        <w:r w:rsidR="000B389D">
          <w:rPr>
            <w:noProof/>
            <w:webHidden/>
          </w:rPr>
          <w:fldChar w:fldCharType="begin"/>
        </w:r>
        <w:r w:rsidR="000B389D">
          <w:rPr>
            <w:noProof/>
            <w:webHidden/>
          </w:rPr>
          <w:instrText xml:space="preserve"> PAGEREF _Toc510788315 \h </w:instrText>
        </w:r>
        <w:r w:rsidR="000B389D">
          <w:rPr>
            <w:noProof/>
            <w:webHidden/>
          </w:rPr>
        </w:r>
        <w:r w:rsidR="000B389D">
          <w:rPr>
            <w:noProof/>
            <w:webHidden/>
          </w:rPr>
          <w:fldChar w:fldCharType="separate"/>
        </w:r>
        <w:r w:rsidR="000B389D">
          <w:rPr>
            <w:noProof/>
            <w:webHidden/>
          </w:rPr>
          <w:t>95</w:t>
        </w:r>
        <w:r w:rsidR="000B389D">
          <w:rPr>
            <w:noProof/>
            <w:webHidden/>
          </w:rPr>
          <w:fldChar w:fldCharType="end"/>
        </w:r>
      </w:hyperlink>
    </w:p>
    <w:p w14:paraId="6CFEF4F3" w14:textId="77777777" w:rsidR="000B389D" w:rsidRDefault="00D700F7">
      <w:pPr>
        <w:pStyle w:val="TOC2"/>
        <w:rPr>
          <w:rFonts w:asciiTheme="minorHAnsi" w:eastAsiaTheme="minorEastAsia" w:hAnsiTheme="minorHAnsi" w:cstheme="minorBidi"/>
          <w:noProof/>
          <w:sz w:val="22"/>
          <w:szCs w:val="22"/>
        </w:rPr>
      </w:pPr>
      <w:hyperlink w:anchor="_Toc510788316" w:history="1">
        <w:r w:rsidR="000B389D" w:rsidRPr="009437F9">
          <w:rPr>
            <w:rStyle w:val="Hyperlink"/>
            <w:noProof/>
          </w:rPr>
          <w:t>14.04</w:t>
        </w:r>
        <w:r w:rsidR="000B389D">
          <w:rPr>
            <w:rFonts w:asciiTheme="minorHAnsi" w:eastAsiaTheme="minorEastAsia" w:hAnsiTheme="minorHAnsi" w:cstheme="minorBidi"/>
            <w:noProof/>
            <w:sz w:val="22"/>
            <w:szCs w:val="22"/>
          </w:rPr>
          <w:tab/>
        </w:r>
        <w:r w:rsidR="000B389D" w:rsidRPr="009437F9">
          <w:rPr>
            <w:rStyle w:val="Hyperlink"/>
            <w:noProof/>
          </w:rPr>
          <w:t>Assignment.</w:t>
        </w:r>
        <w:r w:rsidR="000B389D">
          <w:rPr>
            <w:noProof/>
            <w:webHidden/>
          </w:rPr>
          <w:tab/>
        </w:r>
        <w:r w:rsidR="000B389D">
          <w:rPr>
            <w:noProof/>
            <w:webHidden/>
          </w:rPr>
          <w:fldChar w:fldCharType="begin"/>
        </w:r>
        <w:r w:rsidR="000B389D">
          <w:rPr>
            <w:noProof/>
            <w:webHidden/>
          </w:rPr>
          <w:instrText xml:space="preserve"> PAGEREF _Toc510788316 \h </w:instrText>
        </w:r>
        <w:r w:rsidR="000B389D">
          <w:rPr>
            <w:noProof/>
            <w:webHidden/>
          </w:rPr>
        </w:r>
        <w:r w:rsidR="000B389D">
          <w:rPr>
            <w:noProof/>
            <w:webHidden/>
          </w:rPr>
          <w:fldChar w:fldCharType="separate"/>
        </w:r>
        <w:r w:rsidR="000B389D">
          <w:rPr>
            <w:noProof/>
            <w:webHidden/>
          </w:rPr>
          <w:t>95</w:t>
        </w:r>
        <w:r w:rsidR="000B389D">
          <w:rPr>
            <w:noProof/>
            <w:webHidden/>
          </w:rPr>
          <w:fldChar w:fldCharType="end"/>
        </w:r>
      </w:hyperlink>
    </w:p>
    <w:p w14:paraId="0C080664" w14:textId="77777777" w:rsidR="000B389D" w:rsidRDefault="00D700F7">
      <w:pPr>
        <w:pStyle w:val="TOC2"/>
        <w:rPr>
          <w:rFonts w:asciiTheme="minorHAnsi" w:eastAsiaTheme="minorEastAsia" w:hAnsiTheme="minorHAnsi" w:cstheme="minorBidi"/>
          <w:noProof/>
          <w:sz w:val="22"/>
          <w:szCs w:val="22"/>
        </w:rPr>
      </w:pPr>
      <w:hyperlink w:anchor="_Toc510788317" w:history="1">
        <w:r w:rsidR="000B389D" w:rsidRPr="009437F9">
          <w:rPr>
            <w:rStyle w:val="Hyperlink"/>
            <w:noProof/>
          </w:rPr>
          <w:t>14.05</w:t>
        </w:r>
        <w:r w:rsidR="000B389D">
          <w:rPr>
            <w:rFonts w:asciiTheme="minorHAnsi" w:eastAsiaTheme="minorEastAsia" w:hAnsiTheme="minorHAnsi" w:cstheme="minorBidi"/>
            <w:noProof/>
            <w:sz w:val="22"/>
            <w:szCs w:val="22"/>
          </w:rPr>
          <w:tab/>
        </w:r>
        <w:r w:rsidR="000B389D" w:rsidRPr="009437F9">
          <w:rPr>
            <w:rStyle w:val="Hyperlink"/>
            <w:noProof/>
          </w:rPr>
          <w:t>Confidentiality.</w:t>
        </w:r>
        <w:r w:rsidR="000B389D">
          <w:rPr>
            <w:noProof/>
            <w:webHidden/>
          </w:rPr>
          <w:tab/>
        </w:r>
        <w:r w:rsidR="000B389D">
          <w:rPr>
            <w:noProof/>
            <w:webHidden/>
          </w:rPr>
          <w:fldChar w:fldCharType="begin"/>
        </w:r>
        <w:r w:rsidR="000B389D">
          <w:rPr>
            <w:noProof/>
            <w:webHidden/>
          </w:rPr>
          <w:instrText xml:space="preserve"> PAGEREF _Toc510788317 \h </w:instrText>
        </w:r>
        <w:r w:rsidR="000B389D">
          <w:rPr>
            <w:noProof/>
            <w:webHidden/>
          </w:rPr>
        </w:r>
        <w:r w:rsidR="000B389D">
          <w:rPr>
            <w:noProof/>
            <w:webHidden/>
          </w:rPr>
          <w:fldChar w:fldCharType="separate"/>
        </w:r>
        <w:r w:rsidR="000B389D">
          <w:rPr>
            <w:noProof/>
            <w:webHidden/>
          </w:rPr>
          <w:t>96</w:t>
        </w:r>
        <w:r w:rsidR="000B389D">
          <w:rPr>
            <w:noProof/>
            <w:webHidden/>
          </w:rPr>
          <w:fldChar w:fldCharType="end"/>
        </w:r>
      </w:hyperlink>
    </w:p>
    <w:p w14:paraId="2AE9E466" w14:textId="77777777" w:rsidR="000B389D" w:rsidRDefault="00D700F7">
      <w:pPr>
        <w:pStyle w:val="TOC2"/>
        <w:rPr>
          <w:rFonts w:asciiTheme="minorHAnsi" w:eastAsiaTheme="minorEastAsia" w:hAnsiTheme="minorHAnsi" w:cstheme="minorBidi"/>
          <w:noProof/>
          <w:sz w:val="22"/>
          <w:szCs w:val="22"/>
        </w:rPr>
      </w:pPr>
      <w:hyperlink w:anchor="_Toc510788318" w:history="1">
        <w:r w:rsidR="000B389D" w:rsidRPr="009437F9">
          <w:rPr>
            <w:rStyle w:val="Hyperlink"/>
            <w:noProof/>
          </w:rPr>
          <w:t>14.06</w:t>
        </w:r>
        <w:r w:rsidR="000B389D">
          <w:rPr>
            <w:rFonts w:asciiTheme="minorHAnsi" w:eastAsiaTheme="minorEastAsia" w:hAnsiTheme="minorHAnsi" w:cstheme="minorBidi"/>
            <w:noProof/>
            <w:sz w:val="22"/>
            <w:szCs w:val="22"/>
          </w:rPr>
          <w:tab/>
        </w:r>
        <w:r w:rsidR="000B389D" w:rsidRPr="009437F9">
          <w:rPr>
            <w:rStyle w:val="Hyperlink"/>
            <w:noProof/>
          </w:rPr>
          <w:t>Records.</w:t>
        </w:r>
        <w:r w:rsidR="000B389D">
          <w:rPr>
            <w:noProof/>
            <w:webHidden/>
          </w:rPr>
          <w:tab/>
        </w:r>
        <w:r w:rsidR="000B389D">
          <w:rPr>
            <w:noProof/>
            <w:webHidden/>
          </w:rPr>
          <w:fldChar w:fldCharType="begin"/>
        </w:r>
        <w:r w:rsidR="000B389D">
          <w:rPr>
            <w:noProof/>
            <w:webHidden/>
          </w:rPr>
          <w:instrText xml:space="preserve"> PAGEREF _Toc510788318 \h </w:instrText>
        </w:r>
        <w:r w:rsidR="000B389D">
          <w:rPr>
            <w:noProof/>
            <w:webHidden/>
          </w:rPr>
        </w:r>
        <w:r w:rsidR="000B389D">
          <w:rPr>
            <w:noProof/>
            <w:webHidden/>
          </w:rPr>
          <w:fldChar w:fldCharType="separate"/>
        </w:r>
        <w:r w:rsidR="000B389D">
          <w:rPr>
            <w:noProof/>
            <w:webHidden/>
          </w:rPr>
          <w:t>98</w:t>
        </w:r>
        <w:r w:rsidR="000B389D">
          <w:rPr>
            <w:noProof/>
            <w:webHidden/>
          </w:rPr>
          <w:fldChar w:fldCharType="end"/>
        </w:r>
      </w:hyperlink>
    </w:p>
    <w:p w14:paraId="69EBEE20" w14:textId="77777777" w:rsidR="000B389D" w:rsidRDefault="00D700F7">
      <w:pPr>
        <w:pStyle w:val="TOC2"/>
        <w:rPr>
          <w:rFonts w:asciiTheme="minorHAnsi" w:eastAsiaTheme="minorEastAsia" w:hAnsiTheme="minorHAnsi" w:cstheme="minorBidi"/>
          <w:noProof/>
          <w:sz w:val="22"/>
          <w:szCs w:val="22"/>
        </w:rPr>
      </w:pPr>
      <w:hyperlink w:anchor="_Toc510788319" w:history="1">
        <w:r w:rsidR="000B389D" w:rsidRPr="009437F9">
          <w:rPr>
            <w:rStyle w:val="Hyperlink"/>
            <w:noProof/>
          </w:rPr>
          <w:t>14.07</w:t>
        </w:r>
        <w:r w:rsidR="000B389D">
          <w:rPr>
            <w:rFonts w:asciiTheme="minorHAnsi" w:eastAsiaTheme="minorEastAsia" w:hAnsiTheme="minorHAnsi" w:cstheme="minorBidi"/>
            <w:noProof/>
            <w:sz w:val="22"/>
            <w:szCs w:val="22"/>
          </w:rPr>
          <w:tab/>
        </w:r>
        <w:r w:rsidR="000B389D" w:rsidRPr="009437F9">
          <w:rPr>
            <w:rStyle w:val="Hyperlink"/>
            <w:noProof/>
          </w:rPr>
          <w:t>Insurance.</w:t>
        </w:r>
        <w:r w:rsidR="000B389D">
          <w:rPr>
            <w:noProof/>
            <w:webHidden/>
          </w:rPr>
          <w:tab/>
        </w:r>
        <w:r w:rsidR="000B389D">
          <w:rPr>
            <w:noProof/>
            <w:webHidden/>
          </w:rPr>
          <w:fldChar w:fldCharType="begin"/>
        </w:r>
        <w:r w:rsidR="000B389D">
          <w:rPr>
            <w:noProof/>
            <w:webHidden/>
          </w:rPr>
          <w:instrText xml:space="preserve"> PAGEREF _Toc510788319 \h </w:instrText>
        </w:r>
        <w:r w:rsidR="000B389D">
          <w:rPr>
            <w:noProof/>
            <w:webHidden/>
          </w:rPr>
        </w:r>
        <w:r w:rsidR="000B389D">
          <w:rPr>
            <w:noProof/>
            <w:webHidden/>
          </w:rPr>
          <w:fldChar w:fldCharType="separate"/>
        </w:r>
        <w:r w:rsidR="000B389D">
          <w:rPr>
            <w:noProof/>
            <w:webHidden/>
          </w:rPr>
          <w:t>99</w:t>
        </w:r>
        <w:r w:rsidR="000B389D">
          <w:rPr>
            <w:noProof/>
            <w:webHidden/>
          </w:rPr>
          <w:fldChar w:fldCharType="end"/>
        </w:r>
      </w:hyperlink>
    </w:p>
    <w:p w14:paraId="1B1B2FFF" w14:textId="77777777" w:rsidR="000B389D" w:rsidRDefault="00D700F7">
      <w:pPr>
        <w:pStyle w:val="TOC2"/>
        <w:rPr>
          <w:rFonts w:asciiTheme="minorHAnsi" w:eastAsiaTheme="minorEastAsia" w:hAnsiTheme="minorHAnsi" w:cstheme="minorBidi"/>
          <w:noProof/>
          <w:sz w:val="22"/>
          <w:szCs w:val="22"/>
        </w:rPr>
      </w:pPr>
      <w:hyperlink w:anchor="_Toc510788320" w:history="1">
        <w:r w:rsidR="000B389D" w:rsidRPr="009437F9">
          <w:rPr>
            <w:rStyle w:val="Hyperlink"/>
            <w:noProof/>
          </w:rPr>
          <w:t>14.08</w:t>
        </w:r>
        <w:r w:rsidR="000B389D">
          <w:rPr>
            <w:rFonts w:asciiTheme="minorHAnsi" w:eastAsiaTheme="minorEastAsia" w:hAnsiTheme="minorHAnsi" w:cstheme="minorBidi"/>
            <w:noProof/>
            <w:sz w:val="22"/>
            <w:szCs w:val="22"/>
          </w:rPr>
          <w:tab/>
        </w:r>
        <w:r w:rsidR="000B389D" w:rsidRPr="009437F9">
          <w:rPr>
            <w:rStyle w:val="Hyperlink"/>
            <w:noProof/>
          </w:rPr>
          <w:t>Consolidation of Seller’s Financial Statements.</w:t>
        </w:r>
        <w:r w:rsidR="000B389D">
          <w:rPr>
            <w:noProof/>
            <w:webHidden/>
          </w:rPr>
          <w:tab/>
        </w:r>
        <w:r w:rsidR="000B389D">
          <w:rPr>
            <w:noProof/>
            <w:webHidden/>
          </w:rPr>
          <w:fldChar w:fldCharType="begin"/>
        </w:r>
        <w:r w:rsidR="000B389D">
          <w:rPr>
            <w:noProof/>
            <w:webHidden/>
          </w:rPr>
          <w:instrText xml:space="preserve"> PAGEREF _Toc510788320 \h </w:instrText>
        </w:r>
        <w:r w:rsidR="000B389D">
          <w:rPr>
            <w:noProof/>
            <w:webHidden/>
          </w:rPr>
        </w:r>
        <w:r w:rsidR="000B389D">
          <w:rPr>
            <w:noProof/>
            <w:webHidden/>
          </w:rPr>
          <w:fldChar w:fldCharType="separate"/>
        </w:r>
        <w:r w:rsidR="000B389D">
          <w:rPr>
            <w:noProof/>
            <w:webHidden/>
          </w:rPr>
          <w:t>103</w:t>
        </w:r>
        <w:r w:rsidR="000B389D">
          <w:rPr>
            <w:noProof/>
            <w:webHidden/>
          </w:rPr>
          <w:fldChar w:fldCharType="end"/>
        </w:r>
      </w:hyperlink>
    </w:p>
    <w:p w14:paraId="7D0D1277" w14:textId="77777777" w:rsidR="000B389D" w:rsidRDefault="00D700F7">
      <w:pPr>
        <w:pStyle w:val="TOC2"/>
        <w:rPr>
          <w:rFonts w:asciiTheme="minorHAnsi" w:eastAsiaTheme="minorEastAsia" w:hAnsiTheme="minorHAnsi" w:cstheme="minorBidi"/>
          <w:noProof/>
          <w:sz w:val="22"/>
          <w:szCs w:val="22"/>
        </w:rPr>
      </w:pPr>
      <w:hyperlink w:anchor="_Toc510788321" w:history="1">
        <w:r w:rsidR="000B389D" w:rsidRPr="009437F9">
          <w:rPr>
            <w:rStyle w:val="Hyperlink"/>
            <w:noProof/>
          </w:rPr>
          <w:t>14.09</w:t>
        </w:r>
        <w:r w:rsidR="000B389D">
          <w:rPr>
            <w:rFonts w:asciiTheme="minorHAnsi" w:eastAsiaTheme="minorEastAsia" w:hAnsiTheme="minorHAnsi" w:cstheme="minorBidi"/>
            <w:noProof/>
            <w:sz w:val="22"/>
            <w:szCs w:val="22"/>
          </w:rPr>
          <w:tab/>
        </w:r>
        <w:r w:rsidR="000B389D" w:rsidRPr="009437F9">
          <w:rPr>
            <w:rStyle w:val="Hyperlink"/>
            <w:noProof/>
          </w:rPr>
          <w:t>Mobile Sierra.</w:t>
        </w:r>
        <w:r w:rsidR="000B389D">
          <w:rPr>
            <w:noProof/>
            <w:webHidden/>
          </w:rPr>
          <w:tab/>
        </w:r>
        <w:r w:rsidR="000B389D">
          <w:rPr>
            <w:noProof/>
            <w:webHidden/>
          </w:rPr>
          <w:fldChar w:fldCharType="begin"/>
        </w:r>
        <w:r w:rsidR="000B389D">
          <w:rPr>
            <w:noProof/>
            <w:webHidden/>
          </w:rPr>
          <w:instrText xml:space="preserve"> PAGEREF _Toc510788321 \h </w:instrText>
        </w:r>
        <w:r w:rsidR="000B389D">
          <w:rPr>
            <w:noProof/>
            <w:webHidden/>
          </w:rPr>
        </w:r>
        <w:r w:rsidR="000B389D">
          <w:rPr>
            <w:noProof/>
            <w:webHidden/>
          </w:rPr>
          <w:fldChar w:fldCharType="separate"/>
        </w:r>
        <w:r w:rsidR="000B389D">
          <w:rPr>
            <w:noProof/>
            <w:webHidden/>
          </w:rPr>
          <w:t>106</w:t>
        </w:r>
        <w:r w:rsidR="000B389D">
          <w:rPr>
            <w:noProof/>
            <w:webHidden/>
          </w:rPr>
          <w:fldChar w:fldCharType="end"/>
        </w:r>
      </w:hyperlink>
    </w:p>
    <w:p w14:paraId="798A4E59" w14:textId="77777777" w:rsidR="000B389D" w:rsidRDefault="00D700F7">
      <w:pPr>
        <w:pStyle w:val="TOC2"/>
        <w:rPr>
          <w:rFonts w:asciiTheme="minorHAnsi" w:eastAsiaTheme="minorEastAsia" w:hAnsiTheme="minorHAnsi" w:cstheme="minorBidi"/>
          <w:noProof/>
          <w:sz w:val="22"/>
          <w:szCs w:val="22"/>
        </w:rPr>
      </w:pPr>
      <w:hyperlink w:anchor="_Toc510788322" w:history="1">
        <w:r w:rsidR="000B389D" w:rsidRPr="009437F9">
          <w:rPr>
            <w:rStyle w:val="Hyperlink"/>
            <w:noProof/>
          </w:rPr>
          <w:t>14.10</w:t>
        </w:r>
        <w:r w:rsidR="000B389D">
          <w:rPr>
            <w:rFonts w:asciiTheme="minorHAnsi" w:eastAsiaTheme="minorEastAsia" w:hAnsiTheme="minorHAnsi" w:cstheme="minorBidi"/>
            <w:noProof/>
            <w:sz w:val="22"/>
            <w:szCs w:val="22"/>
          </w:rPr>
          <w:tab/>
        </w:r>
        <w:r w:rsidR="000B389D" w:rsidRPr="009437F9">
          <w:rPr>
            <w:rStyle w:val="Hyperlink"/>
            <w:noProof/>
          </w:rPr>
          <w:t>Seller Ownership and Control of Project.</w:t>
        </w:r>
        <w:r w:rsidR="000B389D">
          <w:rPr>
            <w:noProof/>
            <w:webHidden/>
          </w:rPr>
          <w:tab/>
        </w:r>
        <w:r w:rsidR="000B389D">
          <w:rPr>
            <w:noProof/>
            <w:webHidden/>
          </w:rPr>
          <w:fldChar w:fldCharType="begin"/>
        </w:r>
        <w:r w:rsidR="000B389D">
          <w:rPr>
            <w:noProof/>
            <w:webHidden/>
          </w:rPr>
          <w:instrText xml:space="preserve"> PAGEREF _Toc510788322 \h </w:instrText>
        </w:r>
        <w:r w:rsidR="000B389D">
          <w:rPr>
            <w:noProof/>
            <w:webHidden/>
          </w:rPr>
        </w:r>
        <w:r w:rsidR="000B389D">
          <w:rPr>
            <w:noProof/>
            <w:webHidden/>
          </w:rPr>
          <w:fldChar w:fldCharType="separate"/>
        </w:r>
        <w:r w:rsidR="000B389D">
          <w:rPr>
            <w:noProof/>
            <w:webHidden/>
          </w:rPr>
          <w:t>106</w:t>
        </w:r>
        <w:r w:rsidR="000B389D">
          <w:rPr>
            <w:noProof/>
            <w:webHidden/>
          </w:rPr>
          <w:fldChar w:fldCharType="end"/>
        </w:r>
      </w:hyperlink>
    </w:p>
    <w:p w14:paraId="49EC948F" w14:textId="77777777" w:rsidR="000B389D" w:rsidRDefault="00D700F7">
      <w:pPr>
        <w:pStyle w:val="TOC2"/>
        <w:rPr>
          <w:rFonts w:asciiTheme="minorHAnsi" w:eastAsiaTheme="minorEastAsia" w:hAnsiTheme="minorHAnsi" w:cstheme="minorBidi"/>
          <w:noProof/>
          <w:sz w:val="22"/>
          <w:szCs w:val="22"/>
        </w:rPr>
      </w:pPr>
      <w:hyperlink w:anchor="_Toc510788323" w:history="1">
        <w:r w:rsidR="000B389D" w:rsidRPr="009437F9">
          <w:rPr>
            <w:rStyle w:val="Hyperlink"/>
            <w:noProof/>
          </w:rPr>
          <w:t>14.11</w:t>
        </w:r>
        <w:r w:rsidR="000B389D">
          <w:rPr>
            <w:rFonts w:asciiTheme="minorHAnsi" w:eastAsiaTheme="minorEastAsia" w:hAnsiTheme="minorHAnsi" w:cstheme="minorBidi"/>
            <w:noProof/>
            <w:sz w:val="22"/>
            <w:szCs w:val="22"/>
          </w:rPr>
          <w:tab/>
        </w:r>
        <w:r w:rsidR="000B389D" w:rsidRPr="009437F9">
          <w:rPr>
            <w:rStyle w:val="Hyperlink"/>
            <w:noProof/>
          </w:rPr>
          <w:t>NERC Standards Non-Compliance Penalties.</w:t>
        </w:r>
        <w:r w:rsidR="000B389D">
          <w:rPr>
            <w:noProof/>
            <w:webHidden/>
          </w:rPr>
          <w:tab/>
        </w:r>
        <w:r w:rsidR="000B389D">
          <w:rPr>
            <w:noProof/>
            <w:webHidden/>
          </w:rPr>
          <w:fldChar w:fldCharType="begin"/>
        </w:r>
        <w:r w:rsidR="000B389D">
          <w:rPr>
            <w:noProof/>
            <w:webHidden/>
          </w:rPr>
          <w:instrText xml:space="preserve"> PAGEREF _Toc510788323 \h </w:instrText>
        </w:r>
        <w:r w:rsidR="000B389D">
          <w:rPr>
            <w:noProof/>
            <w:webHidden/>
          </w:rPr>
        </w:r>
        <w:r w:rsidR="000B389D">
          <w:rPr>
            <w:noProof/>
            <w:webHidden/>
          </w:rPr>
          <w:fldChar w:fldCharType="separate"/>
        </w:r>
        <w:r w:rsidR="000B389D">
          <w:rPr>
            <w:noProof/>
            <w:webHidden/>
          </w:rPr>
          <w:t>106</w:t>
        </w:r>
        <w:r w:rsidR="000B389D">
          <w:rPr>
            <w:noProof/>
            <w:webHidden/>
          </w:rPr>
          <w:fldChar w:fldCharType="end"/>
        </w:r>
      </w:hyperlink>
    </w:p>
    <w:p w14:paraId="32AE6C4D" w14:textId="77777777" w:rsidR="00700CB2" w:rsidRPr="0027789B" w:rsidRDefault="0089176A" w:rsidP="00477BAF">
      <w:pPr>
        <w:pStyle w:val="Heading1Text"/>
      </w:pPr>
      <w:r w:rsidRPr="0027789B">
        <w:fldChar w:fldCharType="end"/>
      </w:r>
    </w:p>
    <w:p w14:paraId="687D886F" w14:textId="77777777" w:rsidR="0089176A" w:rsidRPr="0027789B" w:rsidRDefault="0089176A" w:rsidP="00477BAF">
      <w:pPr>
        <w:pStyle w:val="Heading1Text"/>
        <w:sectPr w:rsidR="0089176A" w:rsidRPr="0027789B" w:rsidSect="00FD06AB">
          <w:pgSz w:w="12240" w:h="15840" w:code="1"/>
          <w:pgMar w:top="1440" w:right="1440" w:bottom="1440" w:left="1440" w:header="720" w:footer="720" w:gutter="0"/>
          <w:pgNumType w:fmt="lowerRoman"/>
          <w:cols w:space="720"/>
          <w:docGrid w:linePitch="360"/>
        </w:sectPr>
      </w:pPr>
    </w:p>
    <w:p w14:paraId="53AA7B48" w14:textId="77777777" w:rsidR="00DE74E5" w:rsidRPr="009F0F03" w:rsidRDefault="00DE74E5" w:rsidP="00DD474F">
      <w:pPr>
        <w:pStyle w:val="TOC1"/>
      </w:pPr>
      <w:r w:rsidRPr="009F0F03">
        <w:lastRenderedPageBreak/>
        <w:t>EXHIBIT A</w:t>
      </w:r>
      <w:r w:rsidRPr="009F0F03">
        <w:tab/>
      </w:r>
      <w:r>
        <w:t>D</w:t>
      </w:r>
      <w:r w:rsidRPr="009F0F03">
        <w:t>efinitions</w:t>
      </w:r>
    </w:p>
    <w:p w14:paraId="4E485B50" w14:textId="77777777" w:rsidR="00DE74E5" w:rsidRDefault="00DE74E5" w:rsidP="00DD474F">
      <w:pPr>
        <w:pStyle w:val="TOC1"/>
      </w:pPr>
      <w:r w:rsidRPr="009F0F03">
        <w:t>EXHIBIT B</w:t>
      </w:r>
      <w:r w:rsidRPr="009F0F03">
        <w:tab/>
      </w:r>
      <w:r>
        <w:t>Project Description</w:t>
      </w:r>
    </w:p>
    <w:p w14:paraId="0B8A92C3" w14:textId="77777777" w:rsidR="004D56EA" w:rsidRPr="009F0F03" w:rsidRDefault="004D56EA" w:rsidP="00DD474F">
      <w:pPr>
        <w:pStyle w:val="TOC1"/>
      </w:pPr>
      <w:r>
        <w:t>EXHIBIT C</w:t>
      </w:r>
      <w:r w:rsidRPr="009F0F03">
        <w:tab/>
      </w:r>
      <w:r>
        <w:t>T</w:t>
      </w:r>
      <w:r w:rsidRPr="009F0F03">
        <w:t xml:space="preserve">esting </w:t>
      </w:r>
      <w:r>
        <w:t>P</w:t>
      </w:r>
      <w:r w:rsidRPr="009F0F03">
        <w:t>rotocols</w:t>
      </w:r>
    </w:p>
    <w:p w14:paraId="04FCEFAE" w14:textId="77777777" w:rsidR="004D56EA" w:rsidRDefault="004D56EA" w:rsidP="00DD474F">
      <w:pPr>
        <w:pStyle w:val="TOC1"/>
      </w:pPr>
      <w:r>
        <w:t>EXHIBIT D</w:t>
      </w:r>
      <w:r w:rsidRPr="009F0F03">
        <w:tab/>
      </w:r>
      <w:r>
        <w:t>C</w:t>
      </w:r>
      <w:r w:rsidRPr="009F0F03">
        <w:t xml:space="preserve">apacity and </w:t>
      </w:r>
      <w:r>
        <w:t>A</w:t>
      </w:r>
      <w:r w:rsidRPr="009F0F03">
        <w:t xml:space="preserve">ncillary </w:t>
      </w:r>
      <w:r>
        <w:t>S</w:t>
      </w:r>
      <w:r w:rsidRPr="009F0F03">
        <w:t xml:space="preserve">ervices </w:t>
      </w:r>
      <w:r>
        <w:t>O</w:t>
      </w:r>
      <w:r w:rsidRPr="009F0F03">
        <w:t xml:space="preserve">perating </w:t>
      </w:r>
      <w:r>
        <w:t>R</w:t>
      </w:r>
      <w:r w:rsidRPr="009F0F03">
        <w:t>estrictions</w:t>
      </w:r>
    </w:p>
    <w:p w14:paraId="426EBE7C" w14:textId="77777777" w:rsidR="004D56EA" w:rsidRPr="009F0F03" w:rsidRDefault="004D56EA" w:rsidP="00DD474F">
      <w:pPr>
        <w:pStyle w:val="TOC1"/>
      </w:pPr>
      <w:r>
        <w:t>EXHIBIT E</w:t>
      </w:r>
      <w:r w:rsidRPr="009F0F03">
        <w:tab/>
      </w:r>
      <w:r>
        <w:t>M</w:t>
      </w:r>
      <w:r w:rsidRPr="009F0F03">
        <w:t xml:space="preserve">onthly </w:t>
      </w:r>
      <w:r>
        <w:t>C</w:t>
      </w:r>
      <w:r w:rsidRPr="009F0F03">
        <w:t xml:space="preserve">apacity </w:t>
      </w:r>
      <w:r>
        <w:t>P</w:t>
      </w:r>
      <w:r w:rsidRPr="009F0F03">
        <w:t xml:space="preserve">rice and </w:t>
      </w:r>
      <w:r>
        <w:t>M</w:t>
      </w:r>
      <w:r w:rsidRPr="009F0F03">
        <w:t xml:space="preserve">onthly </w:t>
      </w:r>
      <w:r>
        <w:t>C</w:t>
      </w:r>
      <w:r w:rsidRPr="009F0F03">
        <w:t xml:space="preserve">apacity </w:t>
      </w:r>
      <w:r>
        <w:t>P</w:t>
      </w:r>
      <w:r w:rsidRPr="009F0F03">
        <w:t>ayment</w:t>
      </w:r>
    </w:p>
    <w:p w14:paraId="62FA19F1" w14:textId="77777777" w:rsidR="004D56EA" w:rsidRDefault="004D56EA" w:rsidP="00DD474F">
      <w:pPr>
        <w:pStyle w:val="TOC1"/>
      </w:pPr>
      <w:r w:rsidRPr="009F0F03">
        <w:t xml:space="preserve">EXHIBIT </w:t>
      </w:r>
      <w:r>
        <w:t>F</w:t>
      </w:r>
      <w:r w:rsidRPr="009F0F03">
        <w:tab/>
      </w:r>
      <w:r>
        <w:t>D</w:t>
      </w:r>
      <w:r w:rsidRPr="009F0F03">
        <w:t xml:space="preserve">elivery of </w:t>
      </w:r>
      <w:r>
        <w:t>D</w:t>
      </w:r>
      <w:r w:rsidRPr="009F0F03">
        <w:t>ata</w:t>
      </w:r>
    </w:p>
    <w:p w14:paraId="4D838271" w14:textId="77777777" w:rsidR="004D56EA" w:rsidRDefault="004D56EA" w:rsidP="00DD474F">
      <w:pPr>
        <w:pStyle w:val="TOC1"/>
      </w:pPr>
      <w:r>
        <w:t>EXHIBIT G</w:t>
      </w:r>
      <w:r w:rsidRPr="009F0F03">
        <w:tab/>
        <w:t>V</w:t>
      </w:r>
      <w:r>
        <w:t>ariable</w:t>
      </w:r>
      <w:r w:rsidRPr="009F0F03">
        <w:t xml:space="preserve"> O&amp;M C</w:t>
      </w:r>
      <w:r>
        <w:t>harge</w:t>
      </w:r>
      <w:r w:rsidRPr="009F0F03">
        <w:t xml:space="preserve"> </w:t>
      </w:r>
      <w:r w:rsidRPr="0027789B">
        <w:t xml:space="preserve">and Variable Asset Replacement </w:t>
      </w:r>
      <w:r>
        <w:t>Charge</w:t>
      </w:r>
    </w:p>
    <w:p w14:paraId="48E3FAF5" w14:textId="2A1B6486" w:rsidR="00DE74E5" w:rsidRPr="009F0F03" w:rsidRDefault="00DE74E5" w:rsidP="00DD474F">
      <w:pPr>
        <w:pStyle w:val="TOC1"/>
      </w:pPr>
      <w:r w:rsidRPr="009F0F03">
        <w:t xml:space="preserve">EXHIBIT </w:t>
      </w:r>
      <w:r w:rsidR="004D56EA">
        <w:t>H</w:t>
      </w:r>
      <w:r w:rsidRPr="009F0F03">
        <w:tab/>
      </w:r>
      <w:r>
        <w:t>M</w:t>
      </w:r>
      <w:r w:rsidRPr="009F0F03">
        <w:t xml:space="preserve">ilestone </w:t>
      </w:r>
      <w:r>
        <w:t>S</w:t>
      </w:r>
      <w:r w:rsidRPr="009F0F03">
        <w:t>chedule</w:t>
      </w:r>
    </w:p>
    <w:p w14:paraId="6D1F5C3F" w14:textId="77EC2837" w:rsidR="00DE74E5" w:rsidRPr="009F0F03" w:rsidRDefault="00DE74E5" w:rsidP="00DD474F">
      <w:pPr>
        <w:pStyle w:val="TOC1"/>
      </w:pPr>
      <w:r w:rsidRPr="009F0F03">
        <w:t xml:space="preserve">EXHIBIT </w:t>
      </w:r>
      <w:r w:rsidR="004D56EA">
        <w:t>I</w:t>
      </w:r>
      <w:r w:rsidRPr="009F0F03">
        <w:tab/>
      </w:r>
      <w:r>
        <w:t>C</w:t>
      </w:r>
      <w:r w:rsidRPr="009F0F03">
        <w:t xml:space="preserve">onstruction </w:t>
      </w:r>
      <w:r>
        <w:t>R</w:t>
      </w:r>
      <w:r w:rsidRPr="009F0F03">
        <w:t>eport</w:t>
      </w:r>
    </w:p>
    <w:p w14:paraId="56BFC566" w14:textId="77777777" w:rsidR="004D56EA" w:rsidRDefault="004D56EA" w:rsidP="00884170">
      <w:pPr>
        <w:ind w:left="1350" w:hanging="1350"/>
      </w:pPr>
      <w:r>
        <w:t>EXHIBIT J</w:t>
      </w:r>
      <w:r>
        <w:tab/>
        <w:t>SELF-SCHEDULE REQUEST</w:t>
      </w:r>
    </w:p>
    <w:p w14:paraId="389690CB" w14:textId="77777777" w:rsidR="004D56EA" w:rsidRPr="009F0F03" w:rsidRDefault="004D56EA" w:rsidP="00DD474F">
      <w:pPr>
        <w:pStyle w:val="TOC1"/>
      </w:pPr>
      <w:r>
        <w:t>EXHIBIT K</w:t>
      </w:r>
      <w:r w:rsidRPr="009F0F03">
        <w:tab/>
      </w:r>
      <w:r>
        <w:t>C</w:t>
      </w:r>
      <w:r w:rsidRPr="009F0F03">
        <w:t xml:space="preserve">ommunications </w:t>
      </w:r>
      <w:r>
        <w:t>P</w:t>
      </w:r>
      <w:r w:rsidRPr="009F0F03">
        <w:t>rotocols</w:t>
      </w:r>
    </w:p>
    <w:p w14:paraId="176B7955" w14:textId="77777777" w:rsidR="00E54169" w:rsidRDefault="00E54169" w:rsidP="00DD474F">
      <w:pPr>
        <w:pStyle w:val="TOC1"/>
      </w:pPr>
      <w:r>
        <w:t>EXHIBIT L</w:t>
      </w:r>
      <w:r>
        <w:tab/>
        <w:t>SUPPLY PLAN INFORMATION</w:t>
      </w:r>
      <w:r w:rsidRPr="009F0F03">
        <w:t xml:space="preserve"> </w:t>
      </w:r>
    </w:p>
    <w:p w14:paraId="6539AD01" w14:textId="27AB9B0D" w:rsidR="00E54169" w:rsidRDefault="00E54169" w:rsidP="00DD474F">
      <w:pPr>
        <w:pStyle w:val="TOC1"/>
      </w:pPr>
      <w:r w:rsidRPr="009F0F03">
        <w:t xml:space="preserve">EXHIBIT </w:t>
      </w:r>
      <w:r>
        <w:t>M</w:t>
      </w:r>
      <w:r w:rsidRPr="009F0F03">
        <w:tab/>
      </w:r>
      <w:r>
        <w:t>O</w:t>
      </w:r>
      <w:r w:rsidRPr="009F0F03">
        <w:t>utage</w:t>
      </w:r>
      <w:r w:rsidR="007667DD">
        <w:t xml:space="preserve"> SCHEDULE</w:t>
      </w:r>
      <w:r w:rsidRPr="009F0F03">
        <w:t xml:space="preserve"> </w:t>
      </w:r>
      <w:r>
        <w:t>R</w:t>
      </w:r>
      <w:r w:rsidRPr="009F0F03">
        <w:t>eport</w:t>
      </w:r>
    </w:p>
    <w:p w14:paraId="70AEE304" w14:textId="77777777" w:rsidR="00E54169" w:rsidRPr="009F0F03" w:rsidRDefault="00E54169" w:rsidP="00DD474F">
      <w:pPr>
        <w:pStyle w:val="TOC1"/>
      </w:pPr>
      <w:r w:rsidRPr="009F0F03">
        <w:t xml:space="preserve">EXHIBIT </w:t>
      </w:r>
      <w:r>
        <w:t>N</w:t>
      </w:r>
      <w:r w:rsidRPr="009F0F03">
        <w:tab/>
      </w:r>
      <w:r>
        <w:t>A</w:t>
      </w:r>
      <w:r w:rsidRPr="009F0F03">
        <w:t xml:space="preserve">vailability </w:t>
      </w:r>
      <w:r>
        <w:t>N</w:t>
      </w:r>
      <w:r w:rsidRPr="009F0F03">
        <w:t>otice</w:t>
      </w:r>
    </w:p>
    <w:p w14:paraId="004800A0" w14:textId="77777777" w:rsidR="00E54169" w:rsidRPr="009F0F03" w:rsidRDefault="00E54169" w:rsidP="00DD474F">
      <w:pPr>
        <w:pStyle w:val="TOC1"/>
      </w:pPr>
      <w:r w:rsidRPr="009F0F03">
        <w:t xml:space="preserve">EXHIBIT </w:t>
      </w:r>
      <w:r>
        <w:t>O</w:t>
      </w:r>
      <w:r w:rsidRPr="009F0F03">
        <w:tab/>
      </w:r>
      <w:r>
        <w:t>D</w:t>
      </w:r>
      <w:r w:rsidRPr="009F0F03">
        <w:t xml:space="preserve">ispatch </w:t>
      </w:r>
      <w:r>
        <w:t>N</w:t>
      </w:r>
      <w:r w:rsidRPr="009F0F03">
        <w:t>otices</w:t>
      </w:r>
    </w:p>
    <w:p w14:paraId="654CAA74" w14:textId="77777777" w:rsidR="00E54169" w:rsidRPr="009F0F03" w:rsidRDefault="00E54169" w:rsidP="00DD474F">
      <w:pPr>
        <w:pStyle w:val="TOC1"/>
      </w:pPr>
      <w:r w:rsidRPr="009F0F03">
        <w:t xml:space="preserve">EXHIBIT </w:t>
      </w:r>
      <w:r>
        <w:t>P</w:t>
      </w:r>
      <w:r w:rsidRPr="009F0F03">
        <w:tab/>
      </w:r>
      <w:r>
        <w:t>S</w:t>
      </w:r>
      <w:r w:rsidRPr="009F0F03">
        <w:t>tart-</w:t>
      </w:r>
      <w:r>
        <w:t>U</w:t>
      </w:r>
      <w:r w:rsidRPr="009F0F03">
        <w:t xml:space="preserve">p </w:t>
      </w:r>
      <w:r>
        <w:t>N</w:t>
      </w:r>
      <w:r w:rsidRPr="009F0F03">
        <w:t>otice</w:t>
      </w:r>
    </w:p>
    <w:p w14:paraId="2A3467BC" w14:textId="77777777" w:rsidR="00E54169" w:rsidRPr="009F0F03" w:rsidRDefault="00E54169" w:rsidP="00DD474F">
      <w:pPr>
        <w:pStyle w:val="TOC1"/>
      </w:pPr>
      <w:r w:rsidRPr="009F0F03">
        <w:t xml:space="preserve">EXHIBIT </w:t>
      </w:r>
      <w:r>
        <w:t>Q</w:t>
      </w:r>
      <w:r w:rsidRPr="009F0F03">
        <w:tab/>
      </w:r>
      <w:r>
        <w:t>Notice</w:t>
      </w:r>
    </w:p>
    <w:p w14:paraId="7E5C99F8" w14:textId="77777777" w:rsidR="00E54169" w:rsidRPr="009F0F03" w:rsidRDefault="00E54169" w:rsidP="00DD474F">
      <w:pPr>
        <w:pStyle w:val="TOC1"/>
      </w:pPr>
      <w:r w:rsidRPr="009F0F03">
        <w:t xml:space="preserve">EXHIBIT </w:t>
      </w:r>
      <w:r>
        <w:t>R</w:t>
      </w:r>
      <w:r w:rsidRPr="009F0F03">
        <w:tab/>
      </w:r>
      <w:r>
        <w:t>F</w:t>
      </w:r>
      <w:r w:rsidRPr="009F0F03">
        <w:t xml:space="preserve">orm of </w:t>
      </w:r>
      <w:r>
        <w:t>Consent to C</w:t>
      </w:r>
      <w:r w:rsidRPr="009F0F03">
        <w:t xml:space="preserve">ollateral </w:t>
      </w:r>
      <w:r>
        <w:t>A</w:t>
      </w:r>
      <w:r w:rsidRPr="009F0F03">
        <w:t xml:space="preserve">ssignment </w:t>
      </w:r>
      <w:r>
        <w:t>A</w:t>
      </w:r>
      <w:r w:rsidRPr="009F0F03">
        <w:t>greement</w:t>
      </w:r>
    </w:p>
    <w:p w14:paraId="6722D585" w14:textId="5CF6ED53" w:rsidR="00DE74E5" w:rsidRPr="009F0F03" w:rsidRDefault="00DE74E5" w:rsidP="00DD474F">
      <w:pPr>
        <w:pStyle w:val="TOC1"/>
      </w:pPr>
      <w:r w:rsidRPr="009F0F03">
        <w:t xml:space="preserve">EXHIBIT </w:t>
      </w:r>
      <w:r w:rsidR="004D56EA">
        <w:t>S</w:t>
      </w:r>
      <w:r w:rsidRPr="009F0F03">
        <w:tab/>
      </w:r>
      <w:r>
        <w:t>Form of Letter of Credit</w:t>
      </w:r>
    </w:p>
    <w:p w14:paraId="36C49FBE" w14:textId="3821BFCD" w:rsidR="00E54169" w:rsidRPr="00E3729B" w:rsidRDefault="00E54169" w:rsidP="00E54169"/>
    <w:p w14:paraId="3031072E" w14:textId="77777777" w:rsidR="00E54169" w:rsidRPr="009F0F03" w:rsidRDefault="00E54169" w:rsidP="00DD474F">
      <w:pPr>
        <w:pStyle w:val="TOC1"/>
        <w:sectPr w:rsidR="00E54169" w:rsidRPr="009F0F03" w:rsidSect="008F1817">
          <w:headerReference w:type="first" r:id="rId14"/>
          <w:pgSz w:w="12240" w:h="15840" w:code="1"/>
          <w:pgMar w:top="1440" w:right="1440" w:bottom="1440" w:left="1440" w:header="720" w:footer="720" w:gutter="0"/>
          <w:pgNumType w:fmt="lowerRoman"/>
          <w:cols w:space="720"/>
          <w:titlePg/>
          <w:docGrid w:linePitch="360"/>
        </w:sectPr>
      </w:pPr>
    </w:p>
    <w:p w14:paraId="4C849721" w14:textId="77777777" w:rsidR="00D90EDE" w:rsidRPr="0027789B" w:rsidRDefault="00D90EDE" w:rsidP="00477BAF">
      <w:pPr>
        <w:pStyle w:val="Heading1Text"/>
        <w:rPr>
          <w:b/>
        </w:rPr>
      </w:pPr>
    </w:p>
    <w:p w14:paraId="7A71356A" w14:textId="77777777" w:rsidR="009273DF" w:rsidRDefault="0085615B" w:rsidP="00477BAF">
      <w:pPr>
        <w:pStyle w:val="Heading1Text"/>
        <w:jc w:val="center"/>
        <w:rPr>
          <w:b/>
        </w:rPr>
      </w:pPr>
      <w:r w:rsidRPr="0027789B">
        <w:rPr>
          <w:b/>
        </w:rPr>
        <w:t xml:space="preserve">ENERGY STORAGE </w:t>
      </w:r>
      <w:r w:rsidR="008E65AA" w:rsidRPr="0027789B">
        <w:rPr>
          <w:b/>
        </w:rPr>
        <w:t xml:space="preserve">RESOURCE ADEQUACY </w:t>
      </w:r>
    </w:p>
    <w:p w14:paraId="15A6B1D8" w14:textId="641B1027" w:rsidR="00A01DF3" w:rsidRPr="0027789B" w:rsidRDefault="008E65AA" w:rsidP="00477BAF">
      <w:pPr>
        <w:pStyle w:val="Heading1Text"/>
        <w:jc w:val="center"/>
        <w:rPr>
          <w:b/>
        </w:rPr>
      </w:pPr>
      <w:r w:rsidRPr="0027789B">
        <w:rPr>
          <w:b/>
        </w:rPr>
        <w:t xml:space="preserve">PURCHASE </w:t>
      </w:r>
      <w:r w:rsidR="009273DF">
        <w:rPr>
          <w:b/>
        </w:rPr>
        <w:t xml:space="preserve">AND SALE </w:t>
      </w:r>
      <w:r w:rsidRPr="0027789B">
        <w:rPr>
          <w:b/>
        </w:rPr>
        <w:t xml:space="preserve">AGREEMENT </w:t>
      </w:r>
    </w:p>
    <w:p w14:paraId="370171AD" w14:textId="77777777" w:rsidR="00A01DF3" w:rsidRPr="0027789B" w:rsidRDefault="0085615B" w:rsidP="00477BAF">
      <w:pPr>
        <w:pStyle w:val="Heading1Text"/>
        <w:jc w:val="center"/>
        <w:rPr>
          <w:b/>
        </w:rPr>
      </w:pPr>
      <w:r w:rsidRPr="0027789B">
        <w:rPr>
          <w:b/>
        </w:rPr>
        <w:t>(ENERGY PUT</w:t>
      </w:r>
      <w:r w:rsidR="008E65AA" w:rsidRPr="0027789B">
        <w:rPr>
          <w:b/>
        </w:rPr>
        <w:t xml:space="preserve"> OPTION)</w:t>
      </w:r>
    </w:p>
    <w:p w14:paraId="4D72DB41" w14:textId="77777777" w:rsidR="00A01DF3" w:rsidRPr="0027789B" w:rsidRDefault="00C43FB9" w:rsidP="00477BAF">
      <w:pPr>
        <w:pStyle w:val="Heading1Text"/>
        <w:jc w:val="center"/>
        <w:rPr>
          <w:b/>
        </w:rPr>
      </w:pPr>
      <w:r w:rsidRPr="0027789B">
        <w:rPr>
          <w:b/>
        </w:rPr>
        <w:t>between</w:t>
      </w:r>
    </w:p>
    <w:p w14:paraId="4A522B8C" w14:textId="77777777" w:rsidR="00A01DF3" w:rsidRPr="0027789B" w:rsidRDefault="008E65AA" w:rsidP="00477BAF">
      <w:pPr>
        <w:pStyle w:val="Heading1Text"/>
        <w:jc w:val="center"/>
        <w:rPr>
          <w:b/>
        </w:rPr>
      </w:pPr>
      <w:r w:rsidRPr="0027789B">
        <w:rPr>
          <w:b/>
        </w:rPr>
        <w:t>SOUTHERN CALIFORNIA EDISON COMPANY</w:t>
      </w:r>
    </w:p>
    <w:p w14:paraId="4D5D7905" w14:textId="77777777" w:rsidR="00A01DF3" w:rsidRPr="0027789B" w:rsidRDefault="00C43FB9" w:rsidP="00477BAF">
      <w:pPr>
        <w:pStyle w:val="Heading1Text"/>
        <w:jc w:val="center"/>
        <w:rPr>
          <w:b/>
        </w:rPr>
      </w:pPr>
      <w:r w:rsidRPr="0027789B">
        <w:rPr>
          <w:b/>
        </w:rPr>
        <w:t>and</w:t>
      </w:r>
    </w:p>
    <w:p w14:paraId="15F88285" w14:textId="77777777" w:rsidR="00A01DF3" w:rsidRPr="0027789B" w:rsidRDefault="001E217F" w:rsidP="00477BAF">
      <w:pPr>
        <w:pStyle w:val="Heading1Text"/>
        <w:jc w:val="center"/>
        <w:rPr>
          <w:b/>
          <w:color w:val="FF0000"/>
        </w:rPr>
      </w:pPr>
      <w:r w:rsidRPr="00DB7FE0">
        <w:rPr>
          <w:b/>
          <w:i/>
          <w:color w:val="0000FF"/>
        </w:rPr>
        <w:t>[SELLER’S NAME]</w:t>
      </w:r>
    </w:p>
    <w:p w14:paraId="79B3E9A7" w14:textId="77777777" w:rsidR="00582E5D" w:rsidRPr="004E2914" w:rsidRDefault="00582E5D" w:rsidP="00582E5D">
      <w:pPr>
        <w:pStyle w:val="Heading1Text"/>
        <w:tabs>
          <w:tab w:val="left" w:pos="3540"/>
          <w:tab w:val="center" w:pos="4680"/>
        </w:tabs>
        <w:rPr>
          <w:b/>
        </w:rPr>
      </w:pPr>
      <w:r>
        <w:rPr>
          <w:b/>
        </w:rPr>
        <w:tab/>
      </w:r>
      <w:r>
        <w:rPr>
          <w:b/>
        </w:rPr>
        <w:tab/>
      </w:r>
      <w:r w:rsidRPr="004E2914">
        <w:rPr>
          <w:b/>
        </w:rPr>
        <w:t xml:space="preserve">(ID# </w:t>
      </w:r>
      <w:r w:rsidRPr="004E2914">
        <w:rPr>
          <w:b/>
          <w:i/>
          <w:color w:val="0000CC"/>
        </w:rPr>
        <w:t>[Number]</w:t>
      </w:r>
      <w:r w:rsidRPr="004E2914">
        <w:rPr>
          <w:b/>
        </w:rPr>
        <w:t>)</w:t>
      </w:r>
    </w:p>
    <w:p w14:paraId="0617947F" w14:textId="77777777" w:rsidR="00A01DF3" w:rsidRPr="0027789B" w:rsidRDefault="00A01DF3" w:rsidP="00477BAF">
      <w:pPr>
        <w:pStyle w:val="Heading1Text"/>
        <w:rPr>
          <w:b/>
        </w:rPr>
      </w:pPr>
    </w:p>
    <w:p w14:paraId="51A8841B" w14:textId="5548AAAC" w:rsidR="00A01DF3" w:rsidRPr="0027789B" w:rsidRDefault="008E65AA" w:rsidP="00477BAF">
      <w:pPr>
        <w:pStyle w:val="Heading1Text"/>
        <w:rPr>
          <w:b/>
        </w:rPr>
      </w:pPr>
      <w:r w:rsidRPr="0027789B">
        <w:t xml:space="preserve">This </w:t>
      </w:r>
      <w:r w:rsidR="0085615B" w:rsidRPr="0027789B">
        <w:t xml:space="preserve">Energy Storage </w:t>
      </w:r>
      <w:r w:rsidRPr="0027789B">
        <w:t>Resource Adequacy Pu</w:t>
      </w:r>
      <w:r w:rsidR="0085615B" w:rsidRPr="0027789B">
        <w:t xml:space="preserve">rchase </w:t>
      </w:r>
      <w:r w:rsidR="009273DF">
        <w:t xml:space="preserve">and Sale </w:t>
      </w:r>
      <w:r w:rsidR="0085615B" w:rsidRPr="0027789B">
        <w:t>Agreement</w:t>
      </w:r>
      <w:r w:rsidRPr="0027789B">
        <w:t xml:space="preserve">, together with the </w:t>
      </w:r>
      <w:r w:rsidR="00D90EDE" w:rsidRPr="0027789B">
        <w:t xml:space="preserve">exhibits </w:t>
      </w:r>
      <w:r w:rsidR="00674528" w:rsidRPr="0027789B">
        <w:t xml:space="preserve">attached hereto (as amended, restated, extended, renewed, modified or supplemented from time to time, </w:t>
      </w:r>
      <w:r w:rsidRPr="0027789B">
        <w:t>collectively, the “</w:t>
      </w:r>
      <w:r w:rsidRPr="0027789B">
        <w:rPr>
          <w:u w:val="single"/>
        </w:rPr>
        <w:t>Agreement</w:t>
      </w:r>
      <w:r w:rsidRPr="0027789B">
        <w:t xml:space="preserve">”) </w:t>
      </w:r>
      <w:r w:rsidR="001E217F" w:rsidRPr="004E2914">
        <w:t xml:space="preserve">is made and entered into as of this </w:t>
      </w:r>
      <w:r w:rsidR="001E217F" w:rsidRPr="00DB7FE0">
        <w:rPr>
          <w:i/>
          <w:color w:val="0000FF"/>
          <w:kern w:val="32"/>
        </w:rPr>
        <w:t>[____]</w:t>
      </w:r>
      <w:r w:rsidR="001E217F" w:rsidRPr="004E2914">
        <w:t xml:space="preserve"> day of </w:t>
      </w:r>
      <w:r w:rsidR="001E217F" w:rsidRPr="00DB7FE0">
        <w:rPr>
          <w:i/>
          <w:color w:val="0000FF"/>
          <w:kern w:val="32"/>
        </w:rPr>
        <w:t>[Month]</w:t>
      </w:r>
      <w:r w:rsidR="001E217F" w:rsidRPr="004E2914">
        <w:t xml:space="preserve">, </w:t>
      </w:r>
      <w:r w:rsidR="001E217F" w:rsidRPr="00DB7FE0">
        <w:rPr>
          <w:i/>
          <w:color w:val="0000FF"/>
          <w:kern w:val="32"/>
        </w:rPr>
        <w:t>[Year]</w:t>
      </w:r>
      <w:r w:rsidR="001E217F" w:rsidRPr="004E2914">
        <w:t xml:space="preserve"> (“</w:t>
      </w:r>
      <w:r w:rsidR="001E217F" w:rsidRPr="004E2914">
        <w:rPr>
          <w:u w:val="single"/>
        </w:rPr>
        <w:t>Effective Date</w:t>
      </w:r>
      <w:r w:rsidR="001E217F" w:rsidRPr="004E2914">
        <w:t xml:space="preserve">”) by </w:t>
      </w:r>
      <w:r w:rsidR="001E217F" w:rsidRPr="004E2914">
        <w:rPr>
          <w:b/>
        </w:rPr>
        <w:t>SOUTHERN CALIFORNIA EDISON COMPANY</w:t>
      </w:r>
      <w:r w:rsidR="001E217F" w:rsidRPr="004E2914">
        <w:t>, a California corporation (“</w:t>
      </w:r>
      <w:r w:rsidR="001E217F" w:rsidRPr="004E2914">
        <w:rPr>
          <w:u w:val="single"/>
        </w:rPr>
        <w:t>SCE</w:t>
      </w:r>
      <w:r w:rsidR="001E217F" w:rsidRPr="004E2914">
        <w:t xml:space="preserve">”), and </w:t>
      </w:r>
      <w:r w:rsidR="001E217F" w:rsidRPr="00DB7FE0">
        <w:rPr>
          <w:b/>
          <w:i/>
          <w:color w:val="0000FF"/>
          <w:kern w:val="32"/>
        </w:rPr>
        <w:t>[SELLER]</w:t>
      </w:r>
      <w:r w:rsidR="001E217F" w:rsidRPr="004E2914">
        <w:t xml:space="preserve">, a </w:t>
      </w:r>
      <w:r w:rsidR="001E217F" w:rsidRPr="00DB7FE0">
        <w:rPr>
          <w:i/>
          <w:color w:val="0000FF"/>
          <w:kern w:val="32"/>
        </w:rPr>
        <w:t>[Seller’s business registration]</w:t>
      </w:r>
      <w:r w:rsidR="001E217F" w:rsidRPr="004E2914" w:rsidDel="00104979">
        <w:rPr>
          <w:i/>
          <w:color w:val="FF0000"/>
        </w:rPr>
        <w:t xml:space="preserve"> </w:t>
      </w:r>
      <w:r w:rsidR="001E217F" w:rsidRPr="004E2914">
        <w:t>(“</w:t>
      </w:r>
      <w:r w:rsidR="001E217F" w:rsidRPr="004E2914">
        <w:rPr>
          <w:u w:val="single"/>
        </w:rPr>
        <w:t>Seller</w:t>
      </w:r>
      <w:r w:rsidR="001E217F" w:rsidRPr="004E2914">
        <w:t>”). SCE and Seller are sometimes referred to herein individually as a “</w:t>
      </w:r>
      <w:r w:rsidR="001E217F" w:rsidRPr="004E2914">
        <w:rPr>
          <w:u w:val="single"/>
        </w:rPr>
        <w:t>Party</w:t>
      </w:r>
      <w:r w:rsidR="001E217F" w:rsidRPr="004E2914">
        <w:t>” and jointly as the “</w:t>
      </w:r>
      <w:r w:rsidR="001E217F" w:rsidRPr="004E2914">
        <w:rPr>
          <w:u w:val="single"/>
        </w:rPr>
        <w:t>Parties</w:t>
      </w:r>
      <w:r w:rsidR="001E217F" w:rsidRPr="004E2914">
        <w:t>”.</w:t>
      </w:r>
      <w:r w:rsidRPr="0027789B">
        <w:t xml:space="preserve">  </w:t>
      </w:r>
    </w:p>
    <w:p w14:paraId="48E0F3F2" w14:textId="77777777" w:rsidR="00A01DF3" w:rsidRPr="00477BAF" w:rsidRDefault="008E65AA" w:rsidP="00477BAF">
      <w:pPr>
        <w:pStyle w:val="Heading1Text"/>
        <w:jc w:val="center"/>
        <w:rPr>
          <w:b/>
          <w:u w:val="single"/>
        </w:rPr>
      </w:pPr>
      <w:r w:rsidRPr="00477BAF">
        <w:rPr>
          <w:b/>
          <w:u w:val="single"/>
        </w:rPr>
        <w:t>RECITALS</w:t>
      </w:r>
    </w:p>
    <w:p w14:paraId="78FB7994" w14:textId="77777777" w:rsidR="00A01DF3" w:rsidRPr="0027789B" w:rsidRDefault="008E65AA" w:rsidP="00477BAF">
      <w:pPr>
        <w:pStyle w:val="Heading1Text"/>
        <w:numPr>
          <w:ilvl w:val="0"/>
          <w:numId w:val="2"/>
        </w:numPr>
        <w:ind w:hanging="720"/>
      </w:pPr>
      <w:r w:rsidRPr="0027789B">
        <w:t>SCE is an investor-owned electric utility serving customers in central and southern California.</w:t>
      </w:r>
    </w:p>
    <w:p w14:paraId="62742DD5" w14:textId="0D4A9886" w:rsidR="00A01DF3" w:rsidRPr="0027789B" w:rsidRDefault="008E65AA" w:rsidP="00477BAF">
      <w:pPr>
        <w:pStyle w:val="Heading1Text"/>
        <w:numPr>
          <w:ilvl w:val="0"/>
          <w:numId w:val="2"/>
        </w:numPr>
        <w:ind w:hanging="720"/>
      </w:pPr>
      <w:r w:rsidRPr="0027789B">
        <w:t xml:space="preserve">Seller </w:t>
      </w:r>
      <w:r w:rsidR="006A274A">
        <w:t>is willing</w:t>
      </w:r>
      <w:r w:rsidR="006A274A" w:rsidRPr="0027789B">
        <w:t xml:space="preserve"> </w:t>
      </w:r>
      <w:r w:rsidRPr="0027789B">
        <w:t xml:space="preserve">to sell and deliver exclusively to SCE, and SCE </w:t>
      </w:r>
      <w:r w:rsidR="006A274A">
        <w:t>is willing</w:t>
      </w:r>
      <w:r w:rsidR="006A274A" w:rsidRPr="0027789B">
        <w:t xml:space="preserve"> </w:t>
      </w:r>
      <w:r w:rsidRPr="0027789B">
        <w:t>to purchase, the Product under the</w:t>
      </w:r>
      <w:r w:rsidR="006A274A">
        <w:t xml:space="preserve"> terms and</w:t>
      </w:r>
      <w:r w:rsidRPr="0027789B">
        <w:t xml:space="preserve"> conditions set forth in this Agreement.</w:t>
      </w:r>
    </w:p>
    <w:p w14:paraId="1E0F2304" w14:textId="77777777" w:rsidR="00A01DF3" w:rsidRPr="00477BAF" w:rsidRDefault="008E65AA" w:rsidP="00477BAF">
      <w:pPr>
        <w:pStyle w:val="Heading1Text"/>
        <w:jc w:val="center"/>
        <w:rPr>
          <w:b/>
          <w:u w:val="single"/>
        </w:rPr>
      </w:pPr>
      <w:r w:rsidRPr="00477BAF">
        <w:rPr>
          <w:b/>
          <w:u w:val="single"/>
        </w:rPr>
        <w:t>AGREEMENT</w:t>
      </w:r>
    </w:p>
    <w:p w14:paraId="45BF13BD" w14:textId="77777777" w:rsidR="00A01DF3" w:rsidRPr="0027789B" w:rsidRDefault="008E65AA" w:rsidP="00477BAF">
      <w:pPr>
        <w:pStyle w:val="Heading1Text"/>
      </w:pPr>
      <w:r w:rsidRPr="0027789B">
        <w:t>NOW, THEREFORE, in consideration of these recitals and the agreements contained herein, and for other good and valuable consideration, the receipt and sufficiency of which are hereby acknowledged, the Parties, intending to be legally bound, agree as follows.</w:t>
      </w:r>
    </w:p>
    <w:p w14:paraId="4E6517D8" w14:textId="01CA0002" w:rsidR="00A01DF3" w:rsidRPr="0027789B" w:rsidRDefault="006A274A" w:rsidP="00477BAF">
      <w:pPr>
        <w:pStyle w:val="Heading1"/>
        <w:keepNext w:val="0"/>
        <w:keepLines w:val="0"/>
      </w:pPr>
      <w:bookmarkStart w:id="0" w:name="_Toc510788214"/>
      <w:r>
        <w:t>PURCHASE AND SALE OF PRODUCT</w:t>
      </w:r>
      <w:bookmarkEnd w:id="0"/>
    </w:p>
    <w:p w14:paraId="17509FAC" w14:textId="5203F142" w:rsidR="00C81A39" w:rsidRDefault="008E65AA" w:rsidP="00477BAF">
      <w:pPr>
        <w:pStyle w:val="Heading2"/>
        <w:keepNext w:val="0"/>
        <w:keepLines w:val="0"/>
      </w:pPr>
      <w:bookmarkStart w:id="1" w:name="_Toc467577465"/>
      <w:bookmarkStart w:id="2" w:name="_Toc470014725"/>
      <w:bookmarkStart w:id="3" w:name="_Toc470855918"/>
      <w:bookmarkStart w:id="4" w:name="_Toc510788215"/>
      <w:r w:rsidRPr="0027789B">
        <w:t>Product</w:t>
      </w:r>
      <w:r w:rsidRPr="00477BAF">
        <w:rPr>
          <w:u w:val="none"/>
        </w:rPr>
        <w:t>.</w:t>
      </w:r>
      <w:bookmarkEnd w:id="1"/>
      <w:bookmarkEnd w:id="2"/>
      <w:bookmarkEnd w:id="3"/>
      <w:bookmarkEnd w:id="4"/>
    </w:p>
    <w:p w14:paraId="43FA0AAC" w14:textId="65992364" w:rsidR="00CA7AF7" w:rsidRDefault="00CA7AF7" w:rsidP="00CA7AF7">
      <w:pPr>
        <w:pStyle w:val="Heading3"/>
      </w:pPr>
      <w:r>
        <w:lastRenderedPageBreak/>
        <w:t>The “</w:t>
      </w:r>
      <w:r w:rsidRPr="00DB7FE0">
        <w:rPr>
          <w:u w:val="single"/>
        </w:rPr>
        <w:t>Product</w:t>
      </w:r>
      <w:r w:rsidRPr="00A66457">
        <w:t>”</w:t>
      </w:r>
      <w:r>
        <w:t xml:space="preserve"> consists of</w:t>
      </w:r>
      <w:r w:rsidR="004C3902">
        <w:t>:</w:t>
      </w:r>
    </w:p>
    <w:p w14:paraId="6A78301D" w14:textId="77777777" w:rsidR="00CA7AF7" w:rsidRPr="009120CA" w:rsidRDefault="00CA7AF7" w:rsidP="00CA7AF7">
      <w:pPr>
        <w:pStyle w:val="Heading4"/>
      </w:pPr>
      <w:r w:rsidRPr="009120CA">
        <w:t>during Put Period</w:t>
      </w:r>
      <w:r>
        <w:t>s</w:t>
      </w:r>
      <w:r w:rsidRPr="009120CA">
        <w:t xml:space="preserve">, </w:t>
      </w:r>
      <w:r>
        <w:t xml:space="preserve">and not RA Periods, </w:t>
      </w:r>
      <w:r w:rsidRPr="009120CA">
        <w:t xml:space="preserve">any and all Energy, </w:t>
      </w:r>
      <w:r w:rsidRPr="00FF7FC0">
        <w:t>Capacity</w:t>
      </w:r>
      <w:r w:rsidRPr="009120CA">
        <w:t xml:space="preserve">, Ancillary Services, Ancillary Services Capacity, or any other benefits associated therewith, associated with the Project under the terms of this Agreement, and </w:t>
      </w:r>
    </w:p>
    <w:p w14:paraId="1FDAC9A4" w14:textId="5FC87EB9" w:rsidR="00CA7AF7" w:rsidRDefault="00CA7AF7" w:rsidP="00CA7AF7">
      <w:pPr>
        <w:pStyle w:val="Heading4"/>
      </w:pPr>
      <w:r w:rsidRPr="00AA2F65">
        <w:t xml:space="preserve">during </w:t>
      </w:r>
      <w:r w:rsidRPr="00FF7FC0">
        <w:t>both</w:t>
      </w:r>
      <w:r>
        <w:t xml:space="preserve"> Put Periods and RA Periods</w:t>
      </w:r>
      <w:r w:rsidRPr="00AA2F65">
        <w:t xml:space="preserve">, </w:t>
      </w:r>
      <w:r>
        <w:t xml:space="preserve">any and </w:t>
      </w:r>
      <w:r w:rsidRPr="00AA2F65">
        <w:t>all Capacity Attributes</w:t>
      </w:r>
      <w:r>
        <w:t xml:space="preserve"> associated with the Project.</w:t>
      </w:r>
    </w:p>
    <w:p w14:paraId="7F6B0E35" w14:textId="77777777" w:rsidR="00771FBF" w:rsidRDefault="00771FBF" w:rsidP="00DB7FE0">
      <w:pPr>
        <w:pStyle w:val="Heading3"/>
      </w:pPr>
      <w:r w:rsidRPr="009120CA">
        <w:t>During the Delivery Period, Seller shall deliver and sell, and SCE shall purchase and receive</w:t>
      </w:r>
      <w:r>
        <w:t xml:space="preserve"> the Product.</w:t>
      </w:r>
      <w:r w:rsidRPr="00A66457">
        <w:t xml:space="preserve"> </w:t>
      </w:r>
      <w:r w:rsidRPr="009120CA">
        <w:t xml:space="preserve">Seller shall not substitute or purchase any </w:t>
      </w:r>
      <w:r>
        <w:t>portion of the Product</w:t>
      </w:r>
      <w:r w:rsidRPr="009120CA">
        <w:t xml:space="preserve"> from any other generating resource, non-generator resource, or storage device or from the market for delivery hereunder.</w:t>
      </w:r>
    </w:p>
    <w:p w14:paraId="4B50E508" w14:textId="77777777" w:rsidR="00CA7AF7" w:rsidRDefault="00771FBF" w:rsidP="00DB7FE0">
      <w:pPr>
        <w:pStyle w:val="Heading3"/>
      </w:pPr>
      <w:r w:rsidRPr="00DB7FE0">
        <w:rPr>
          <w:u w:val="single"/>
        </w:rPr>
        <w:t>Energy Put Option</w:t>
      </w:r>
      <w:r>
        <w:t xml:space="preserve">. </w:t>
      </w:r>
    </w:p>
    <w:p w14:paraId="4E98F015" w14:textId="11CAE34D" w:rsidR="00771FBF" w:rsidRDefault="00771FBF" w:rsidP="00DB7FE0">
      <w:pPr>
        <w:pStyle w:val="Heading3Text"/>
      </w:pPr>
      <w:r w:rsidRPr="009120CA">
        <w:t>Seller shall, for any Contract Year, have the option of</w:t>
      </w:r>
      <w:r>
        <w:t xml:space="preserve"> including</w:t>
      </w:r>
      <w:r w:rsidRPr="009120CA">
        <w:t xml:space="preserve"> the Capacity, Energy, Ancillary Services Capacity and Associated Ancillary Services Energy from the Project</w:t>
      </w:r>
      <w:r>
        <w:t xml:space="preserve"> as Product</w:t>
      </w:r>
      <w:r w:rsidRPr="009120CA">
        <w:t xml:space="preserve"> (the “</w:t>
      </w:r>
      <w:r w:rsidRPr="00DB7FE0">
        <w:t>Energy Put Option</w:t>
      </w:r>
      <w:r w:rsidRPr="009120CA">
        <w:t>”). Seller may exercise its Energy Put Option by delivering Notice of such exercise to SCE</w:t>
      </w:r>
      <w:r w:rsidRPr="00DB7FE0">
        <w:t>:</w:t>
      </w:r>
      <w:r w:rsidRPr="009120CA">
        <w:t xml:space="preserve"> </w:t>
      </w:r>
    </w:p>
    <w:p w14:paraId="5C3F2C05" w14:textId="246DD6AB" w:rsidR="00771FBF" w:rsidRDefault="00771FBF" w:rsidP="00DB7FE0">
      <w:pPr>
        <w:pStyle w:val="Heading4"/>
      </w:pPr>
      <w:r w:rsidRPr="009120CA">
        <w:t xml:space="preserve">for the </w:t>
      </w:r>
      <w:r w:rsidRPr="00FF7FC0">
        <w:t>first</w:t>
      </w:r>
      <w:r w:rsidRPr="009120CA">
        <w:t xml:space="preserve"> Contract Year at least </w:t>
      </w:r>
      <w:r w:rsidR="007667DD">
        <w:t>one</w:t>
      </w:r>
      <w:r w:rsidR="007667DD" w:rsidRPr="009120CA">
        <w:t xml:space="preserve"> </w:t>
      </w:r>
      <w:r w:rsidRPr="009120CA">
        <w:t xml:space="preserve">year (and no more than </w:t>
      </w:r>
      <w:r w:rsidR="007667DD">
        <w:t>two</w:t>
      </w:r>
      <w:r w:rsidR="007667DD" w:rsidRPr="009120CA">
        <w:t xml:space="preserve"> </w:t>
      </w:r>
      <w:r w:rsidRPr="009120CA">
        <w:t>years) before the Expected Initial Delivery Dat</w:t>
      </w:r>
      <w:r>
        <w:t>e as of the Effective Date,</w:t>
      </w:r>
      <w:r w:rsidR="007667DD">
        <w:t xml:space="preserve"> and </w:t>
      </w:r>
      <w:r w:rsidR="007667DD">
        <w:rPr>
          <w:i/>
          <w:color w:val="0000FF"/>
        </w:rPr>
        <w:t>{</w:t>
      </w:r>
      <w:r w:rsidR="007667DD" w:rsidRPr="00DB7FE0">
        <w:rPr>
          <w:i/>
          <w:color w:val="0000FF"/>
        </w:rPr>
        <w:t xml:space="preserve">SCE Comment: </w:t>
      </w:r>
      <w:r w:rsidR="007667DD">
        <w:rPr>
          <w:i/>
          <w:color w:val="0000FF"/>
        </w:rPr>
        <w:t>If Expected Initial Delivery Date is within one year of the Effective Date, Agreement will specify election for first Contract Year; provided SCE may require that the put option not be exercised if the Expected Initial Delivery Date is within six (6) months of the Effective Date}</w:t>
      </w:r>
    </w:p>
    <w:p w14:paraId="77997543" w14:textId="5543EE94" w:rsidR="006901BC" w:rsidRDefault="00771FBF" w:rsidP="00DB7FE0">
      <w:pPr>
        <w:pStyle w:val="Heading4"/>
      </w:pPr>
      <w:r>
        <w:t>for</w:t>
      </w:r>
      <w:r w:rsidRPr="009120CA">
        <w:t xml:space="preserve"> </w:t>
      </w:r>
      <w:r>
        <w:t xml:space="preserve">all </w:t>
      </w:r>
      <w:r w:rsidRPr="00FF7FC0">
        <w:t>other</w:t>
      </w:r>
      <w:r>
        <w:t xml:space="preserve"> Contract Years at least </w:t>
      </w:r>
      <w:r w:rsidR="007A3113">
        <w:t xml:space="preserve">one </w:t>
      </w:r>
      <w:r>
        <w:t xml:space="preserve">year (and no more than </w:t>
      </w:r>
      <w:r w:rsidR="007A3113">
        <w:t xml:space="preserve">two </w:t>
      </w:r>
      <w:r>
        <w:t>years) before the start of such Contract Year.</w:t>
      </w:r>
    </w:p>
    <w:p w14:paraId="1387234A" w14:textId="592EEFA6" w:rsidR="00663248" w:rsidRPr="000678FD" w:rsidRDefault="00663248" w:rsidP="00663248">
      <w:pPr>
        <w:pStyle w:val="Heading2"/>
        <w:keepNext w:val="0"/>
        <w:keepLines w:val="0"/>
        <w:rPr>
          <w:u w:val="none"/>
        </w:rPr>
      </w:pPr>
      <w:bookmarkStart w:id="5" w:name="_Toc497310252"/>
      <w:bookmarkStart w:id="6" w:name="_Toc497310385"/>
      <w:bookmarkStart w:id="7" w:name="_Toc497468365"/>
      <w:bookmarkStart w:id="8" w:name="_Toc497310253"/>
      <w:bookmarkStart w:id="9" w:name="_Toc497310386"/>
      <w:bookmarkStart w:id="10" w:name="_Toc497468366"/>
      <w:bookmarkStart w:id="11" w:name="_Toc497310254"/>
      <w:bookmarkStart w:id="12" w:name="_Toc497310387"/>
      <w:bookmarkStart w:id="13" w:name="_Toc497468367"/>
      <w:bookmarkStart w:id="14" w:name="_Toc497310255"/>
      <w:bookmarkStart w:id="15" w:name="_Toc497310388"/>
      <w:bookmarkStart w:id="16" w:name="_Toc497468368"/>
      <w:bookmarkStart w:id="17" w:name="_Toc497310256"/>
      <w:bookmarkStart w:id="18" w:name="_Toc497310389"/>
      <w:bookmarkStart w:id="19" w:name="_Toc497468369"/>
      <w:bookmarkStart w:id="20" w:name="_Toc497310257"/>
      <w:bookmarkStart w:id="21" w:name="_Toc497310390"/>
      <w:bookmarkStart w:id="22" w:name="_Toc497468370"/>
      <w:bookmarkStart w:id="23" w:name="_Toc497310258"/>
      <w:bookmarkStart w:id="24" w:name="_Toc497310391"/>
      <w:bookmarkStart w:id="25" w:name="_Toc497468371"/>
      <w:bookmarkStart w:id="26" w:name="_Toc467577466"/>
      <w:bookmarkStart w:id="27" w:name="_Toc470014726"/>
      <w:bookmarkStart w:id="28" w:name="_Toc470855919"/>
      <w:bookmarkStart w:id="29" w:name="_Toc51078821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678FD">
        <w:t>Project</w:t>
      </w:r>
      <w:r w:rsidRPr="000678FD">
        <w:rPr>
          <w:u w:val="none"/>
        </w:rPr>
        <w:t>.</w:t>
      </w:r>
      <w:bookmarkEnd w:id="26"/>
      <w:bookmarkEnd w:id="27"/>
      <w:bookmarkEnd w:id="28"/>
      <w:bookmarkEnd w:id="29"/>
    </w:p>
    <w:p w14:paraId="54284954" w14:textId="16FFD22C" w:rsidR="00254C9E" w:rsidRPr="00DB7FE0" w:rsidRDefault="00254C9E" w:rsidP="00DB7FE0">
      <w:pPr>
        <w:pStyle w:val="Heading3"/>
        <w:numPr>
          <w:ilvl w:val="0"/>
          <w:numId w:val="0"/>
        </w:numPr>
        <w:ind w:left="864"/>
      </w:pPr>
      <w:r>
        <w:t>T</w:t>
      </w:r>
      <w:r w:rsidRPr="0027789B">
        <w:t>he</w:t>
      </w:r>
      <w:r>
        <w:t xml:space="preserve"> “</w:t>
      </w:r>
      <w:r w:rsidRPr="00DB7FE0">
        <w:rPr>
          <w:u w:val="single"/>
        </w:rPr>
        <w:t>Project</w:t>
      </w:r>
      <w:r>
        <w:t>” consists of the</w:t>
      </w:r>
      <w:r w:rsidRPr="0027789B">
        <w:t xml:space="preserve"> Storage Unit(s), Interconnection Facilities (owned by Seller or Seller’s Affiliate) up to the Interconnection Point, Prevention Equipment, and Protective Apparatus together with all materials, equipment </w:t>
      </w:r>
      <w:r w:rsidRPr="00C600E0">
        <w:t xml:space="preserve">systems, structures, features and improvements necessary to store, charge and discharge electric energy at the facility, excluding the Site, land rights and interests in land and as more fully described in </w:t>
      </w:r>
      <w:r w:rsidRPr="00561154">
        <w:rPr>
          <w:u w:val="single"/>
        </w:rPr>
        <w:t>Exhibit B</w:t>
      </w:r>
      <w:r w:rsidRPr="00482B73">
        <w:t xml:space="preserve">. </w:t>
      </w:r>
      <w:r w:rsidRPr="00DB7FE0">
        <w:rPr>
          <w:i/>
          <w:iCs/>
          <w:color w:val="0000FF"/>
        </w:rPr>
        <w:t>[SCE Comment: may require additional description in addition to Exhibit B]</w:t>
      </w:r>
    </w:p>
    <w:p w14:paraId="606EDE48" w14:textId="1413DCAD" w:rsidR="00254C9E" w:rsidRPr="00DB7FE0" w:rsidRDefault="00254C9E" w:rsidP="00663248">
      <w:pPr>
        <w:pStyle w:val="Heading3"/>
      </w:pPr>
      <w:r w:rsidRPr="00DB7FE0">
        <w:rPr>
          <w:u w:val="single"/>
        </w:rPr>
        <w:t>Project Name</w:t>
      </w:r>
      <w:r>
        <w:t>.</w:t>
      </w:r>
      <w:r w:rsidR="00976FB2">
        <w:t xml:space="preserve"> </w:t>
      </w:r>
      <w:r w:rsidR="00976FB2" w:rsidRPr="00DB7FE0">
        <w:rPr>
          <w:i/>
          <w:iCs/>
          <w:color w:val="0000FF"/>
        </w:rPr>
        <w:t>[Name]</w:t>
      </w:r>
      <w:r w:rsidR="00976FB2" w:rsidRPr="00482B73">
        <w:t>.</w:t>
      </w:r>
    </w:p>
    <w:p w14:paraId="3466F8AB" w14:textId="24A48484" w:rsidR="00663248" w:rsidRPr="00C600E0" w:rsidRDefault="00663248" w:rsidP="00663248">
      <w:pPr>
        <w:pStyle w:val="Heading3"/>
      </w:pPr>
      <w:r w:rsidRPr="000C1651">
        <w:rPr>
          <w:bCs/>
          <w:iCs/>
          <w:u w:val="single"/>
        </w:rPr>
        <w:lastRenderedPageBreak/>
        <w:t>Location of Project</w:t>
      </w:r>
      <w:r w:rsidRPr="000C1651">
        <w:rPr>
          <w:bCs/>
          <w:iCs/>
        </w:rPr>
        <w:t xml:space="preserve">. </w:t>
      </w:r>
      <w:r w:rsidRPr="00DB7FE0">
        <w:rPr>
          <w:i/>
          <w:iCs/>
          <w:color w:val="0000FF"/>
        </w:rPr>
        <w:t>[Project Address]</w:t>
      </w:r>
      <w:r w:rsidRPr="000C1651">
        <w:t>, as further</w:t>
      </w:r>
      <w:r w:rsidRPr="00C600E0">
        <w:t xml:space="preserve"> described </w:t>
      </w:r>
      <w:r w:rsidRPr="00482B73">
        <w:t xml:space="preserve">in </w:t>
      </w:r>
      <w:r w:rsidRPr="00482B73">
        <w:rPr>
          <w:u w:val="single"/>
        </w:rPr>
        <w:t xml:space="preserve">Exhibit </w:t>
      </w:r>
      <w:r w:rsidR="00482B73" w:rsidRPr="00482B73">
        <w:rPr>
          <w:u w:val="single"/>
        </w:rPr>
        <w:t>B</w:t>
      </w:r>
      <w:r w:rsidRPr="00482B73">
        <w:t>.</w:t>
      </w:r>
    </w:p>
    <w:p w14:paraId="6D5E8D89" w14:textId="0FED5946" w:rsidR="00663248" w:rsidRPr="00482B73" w:rsidRDefault="00663248" w:rsidP="00663248">
      <w:pPr>
        <w:pStyle w:val="Heading3"/>
      </w:pPr>
      <w:r w:rsidRPr="00C600E0">
        <w:rPr>
          <w:u w:val="single"/>
        </w:rPr>
        <w:t>Energy Delivery Point</w:t>
      </w:r>
      <w:r w:rsidRPr="00C600E0">
        <w:t xml:space="preserve">. The Energy Delivery Point shall be </w:t>
      </w:r>
      <w:r w:rsidRPr="000C1651">
        <w:t xml:space="preserve">the </w:t>
      </w:r>
      <w:r w:rsidRPr="00DB7FE0">
        <w:rPr>
          <w:i/>
          <w:color w:val="0000FF"/>
        </w:rPr>
        <w:t>[description]</w:t>
      </w:r>
      <w:r w:rsidRPr="000C1651">
        <w:rPr>
          <w:i/>
        </w:rPr>
        <w:t>,</w:t>
      </w:r>
      <w:r w:rsidRPr="00C600E0">
        <w:rPr>
          <w:i/>
        </w:rPr>
        <w:t xml:space="preserve"> </w:t>
      </w:r>
      <w:r w:rsidRPr="00C600E0">
        <w:t xml:space="preserve">as specified in </w:t>
      </w:r>
      <w:r w:rsidRPr="00482B73">
        <w:rPr>
          <w:u w:val="single"/>
        </w:rPr>
        <w:t xml:space="preserve">Exhibit </w:t>
      </w:r>
      <w:r w:rsidR="00482B73" w:rsidRPr="00482B73">
        <w:rPr>
          <w:u w:val="single"/>
        </w:rPr>
        <w:t>B</w:t>
      </w:r>
      <w:r w:rsidRPr="00482B73">
        <w:t xml:space="preserve">. </w:t>
      </w:r>
    </w:p>
    <w:p w14:paraId="5F68C3AB" w14:textId="7196A3A7" w:rsidR="00663248" w:rsidRPr="00482B73" w:rsidRDefault="00663248" w:rsidP="00663248">
      <w:pPr>
        <w:pStyle w:val="Heading3"/>
      </w:pPr>
      <w:r w:rsidRPr="00482B73">
        <w:rPr>
          <w:u w:val="single"/>
        </w:rPr>
        <w:t>Interconnection Point</w:t>
      </w:r>
      <w:r w:rsidRPr="00482B73">
        <w:t xml:space="preserve">. The Interconnection Point is </w:t>
      </w:r>
      <w:r w:rsidRPr="00DB7FE0">
        <w:rPr>
          <w:i/>
          <w:color w:val="0000FF"/>
        </w:rPr>
        <w:t>[insert name and location]</w:t>
      </w:r>
      <w:r w:rsidRPr="00482B73">
        <w:t xml:space="preserve">, as specified in </w:t>
      </w:r>
      <w:r w:rsidRPr="00482B73">
        <w:rPr>
          <w:u w:val="single"/>
        </w:rPr>
        <w:t xml:space="preserve">Exhibit </w:t>
      </w:r>
      <w:r w:rsidR="00482B73" w:rsidRPr="00482B73">
        <w:rPr>
          <w:u w:val="single"/>
        </w:rPr>
        <w:t>B</w:t>
      </w:r>
      <w:r w:rsidRPr="00482B73">
        <w:t>.</w:t>
      </w:r>
    </w:p>
    <w:p w14:paraId="51275D8C" w14:textId="6488BBEB" w:rsidR="00663248" w:rsidRDefault="00663248" w:rsidP="00663248">
      <w:pPr>
        <w:pStyle w:val="Heading3"/>
      </w:pPr>
      <w:r w:rsidRPr="00673CD7">
        <w:rPr>
          <w:u w:val="single"/>
        </w:rPr>
        <w:t xml:space="preserve">Interconnection Queue </w:t>
      </w:r>
      <w:r w:rsidRPr="000C1651">
        <w:rPr>
          <w:u w:val="single"/>
        </w:rPr>
        <w:t>Position</w:t>
      </w:r>
      <w:r w:rsidRPr="000C1651">
        <w:t xml:space="preserve">. </w:t>
      </w:r>
      <w:r w:rsidRPr="00DB7FE0">
        <w:rPr>
          <w:i/>
          <w:color w:val="0000FF"/>
        </w:rPr>
        <w:t>[Number(s) to be inserted]</w:t>
      </w:r>
      <w:r>
        <w:t xml:space="preserve">. </w:t>
      </w:r>
    </w:p>
    <w:p w14:paraId="400281DE" w14:textId="7592BA59" w:rsidR="00976FB2" w:rsidRPr="00A17E65" w:rsidRDefault="00976FB2" w:rsidP="00D8575F">
      <w:pPr>
        <w:pStyle w:val="Heading3"/>
      </w:pPr>
      <w:r w:rsidRPr="00DB7FE0">
        <w:rPr>
          <w:u w:val="single"/>
        </w:rPr>
        <w:t>Local Capacity Area</w:t>
      </w:r>
      <w:r>
        <w:t xml:space="preserve">. </w:t>
      </w:r>
      <w:r w:rsidRPr="00DB7FE0">
        <w:rPr>
          <w:i/>
          <w:iCs/>
          <w:color w:val="0000FF"/>
        </w:rPr>
        <w:t>[examples: CAISO System, Big Creek-Ventura, LA Basin, etc.]</w:t>
      </w:r>
      <w:r w:rsidRPr="00482B73">
        <w:t>.</w:t>
      </w:r>
    </w:p>
    <w:p w14:paraId="1688AAD1" w14:textId="4659CD11" w:rsidR="00D8575F" w:rsidRPr="000C1651" w:rsidRDefault="00D8575F" w:rsidP="00D8575F">
      <w:pPr>
        <w:pStyle w:val="Heading3"/>
      </w:pPr>
      <w:r w:rsidRPr="000678FD">
        <w:rPr>
          <w:u w:val="single"/>
        </w:rPr>
        <w:t>Station Use</w:t>
      </w:r>
      <w:r w:rsidRPr="000678FD">
        <w:t xml:space="preserve">. The Storage Unit(s) will not serve Station Use and Seller shall </w:t>
      </w:r>
      <w:r w:rsidRPr="0027789B">
        <w:t xml:space="preserve">be responsible for all costs related to </w:t>
      </w:r>
      <w:r w:rsidRPr="000C1651">
        <w:t xml:space="preserve">Station Use. The Storage Unit(s) is/are expected to use </w:t>
      </w:r>
      <w:r w:rsidRPr="00DB7FE0">
        <w:rPr>
          <w:i/>
          <w:color w:val="0000FF"/>
        </w:rPr>
        <w:t>[number #]</w:t>
      </w:r>
      <w:r w:rsidRPr="000C1651">
        <w:t xml:space="preserve"> MWh per year for Station Use. </w:t>
      </w:r>
      <w:r w:rsidRPr="00DB7FE0">
        <w:rPr>
          <w:i/>
          <w:color w:val="0000FF"/>
        </w:rPr>
        <w:t>[SCE note: insert description of Station Use]</w:t>
      </w:r>
    </w:p>
    <w:p w14:paraId="54BC50AE" w14:textId="77777777" w:rsidR="00254C9E" w:rsidRDefault="00C369AA" w:rsidP="00AD07C9">
      <w:pPr>
        <w:pStyle w:val="Heading2"/>
        <w:rPr>
          <w:u w:val="none"/>
        </w:rPr>
      </w:pPr>
      <w:bookmarkStart w:id="30" w:name="_Toc510788217"/>
      <w:r>
        <w:t>Capacity</w:t>
      </w:r>
      <w:r w:rsidRPr="00DB7FE0">
        <w:rPr>
          <w:u w:val="none"/>
        </w:rPr>
        <w:t>.</w:t>
      </w:r>
      <w:bookmarkEnd w:id="30"/>
    </w:p>
    <w:p w14:paraId="29E23EB7" w14:textId="2A247537" w:rsidR="00FE2274" w:rsidRDefault="00FE2274" w:rsidP="00FE2274">
      <w:pPr>
        <w:pStyle w:val="Heading3"/>
        <w:numPr>
          <w:ilvl w:val="0"/>
          <w:numId w:val="133"/>
        </w:numPr>
        <w:ind w:left="1710" w:hanging="810"/>
      </w:pPr>
      <w:r w:rsidRPr="006E3A35">
        <w:rPr>
          <w:u w:val="single"/>
        </w:rPr>
        <w:t>Contract Capacity</w:t>
      </w:r>
      <w:r>
        <w:t>.  F</w:t>
      </w:r>
      <w:r w:rsidRPr="00BD20B8">
        <w:t xml:space="preserve">rom the Effective Date until the Initial Delivery Date, </w:t>
      </w:r>
      <w:r>
        <w:t xml:space="preserve">the Contract Capacity shall be equal to </w:t>
      </w:r>
      <w:r w:rsidRPr="00BD20B8">
        <w:t xml:space="preserve">the </w:t>
      </w:r>
      <w:r w:rsidR="00011BB5" w:rsidRPr="00484686">
        <w:t xml:space="preserve">aggregate of the Expected Contract Capacity for </w:t>
      </w:r>
      <w:r w:rsidR="009A359B">
        <w:t>all</w:t>
      </w:r>
      <w:r w:rsidR="009A359B" w:rsidRPr="00484686">
        <w:t xml:space="preserve"> </w:t>
      </w:r>
      <w:r w:rsidR="00011BB5" w:rsidRPr="00484686">
        <w:t>Storage Unit</w:t>
      </w:r>
      <w:r w:rsidR="009A359B">
        <w:t>s</w:t>
      </w:r>
      <w:r w:rsidR="00011BB5" w:rsidRPr="00484686">
        <w:t xml:space="preserve"> as set forth in </w:t>
      </w:r>
      <w:r w:rsidR="00011BB5">
        <w:rPr>
          <w:u w:val="single"/>
        </w:rPr>
        <w:t>subsection (b</w:t>
      </w:r>
      <w:r w:rsidR="00011BB5" w:rsidRPr="00FB2F26">
        <w:rPr>
          <w:u w:val="single"/>
        </w:rPr>
        <w:t>)</w:t>
      </w:r>
      <w:r w:rsidR="00011BB5" w:rsidRPr="008B3C43">
        <w:t>, below</w:t>
      </w:r>
      <w:r>
        <w:t>.  From and after</w:t>
      </w:r>
      <w:r w:rsidRPr="00BD20B8">
        <w:t xml:space="preserve"> the Initial Delivery Date, the </w:t>
      </w:r>
      <w:r>
        <w:t xml:space="preserve">Contract Capacity shall be </w:t>
      </w:r>
      <w:r w:rsidR="006C12F9">
        <w:t>as established by the Initial Commercial Operation Test</w:t>
      </w:r>
      <w:r w:rsidR="00250103">
        <w:t xml:space="preserve"> as set forth in subsection (c), below.</w:t>
      </w:r>
    </w:p>
    <w:p w14:paraId="678CAB20" w14:textId="07FB8384" w:rsidR="00FE2274" w:rsidRDefault="00011BB5" w:rsidP="00FE2274">
      <w:pPr>
        <w:pStyle w:val="Heading2Text"/>
        <w:numPr>
          <w:ilvl w:val="0"/>
          <w:numId w:val="133"/>
        </w:numPr>
        <w:ind w:left="1710" w:hanging="810"/>
      </w:pPr>
      <w:r>
        <w:rPr>
          <w:u w:val="single"/>
        </w:rPr>
        <w:t>Aggregate Expected Contract Capacity</w:t>
      </w:r>
      <w:r w:rsidR="00FE2274">
        <w:t xml:space="preserve">. The </w:t>
      </w:r>
      <w:r>
        <w:t xml:space="preserve">aggregate of the Expected Contract Capacity for </w:t>
      </w:r>
      <w:r w:rsidR="00493B1A">
        <w:t xml:space="preserve">all </w:t>
      </w:r>
      <w:r>
        <w:t>Storage Unit</w:t>
      </w:r>
      <w:r w:rsidR="00493B1A">
        <w:t>s</w:t>
      </w:r>
      <w:r w:rsidR="00FE2274">
        <w:t xml:space="preserve"> is </w:t>
      </w:r>
      <w:r w:rsidR="00FE2274" w:rsidRPr="00014092">
        <w:rPr>
          <w:i/>
          <w:color w:val="0000FF"/>
        </w:rPr>
        <w:t>[</w:t>
      </w:r>
      <w:r w:rsidR="00FE2274">
        <w:rPr>
          <w:i/>
          <w:color w:val="0000FF"/>
        </w:rPr>
        <w:t>T</w:t>
      </w:r>
      <w:r w:rsidR="00FE2274" w:rsidRPr="000F628D">
        <w:rPr>
          <w:i/>
          <w:color w:val="0000FF"/>
        </w:rPr>
        <w:t>o be inserted</w:t>
      </w:r>
      <w:r w:rsidR="00FE2274" w:rsidRPr="00014092">
        <w:rPr>
          <w:i/>
          <w:color w:val="0000FF"/>
        </w:rPr>
        <w:t>]</w:t>
      </w:r>
      <w:r w:rsidR="00FE2274">
        <w:t xml:space="preserve"> MW.</w:t>
      </w:r>
    </w:p>
    <w:p w14:paraId="170454D2" w14:textId="29B25647" w:rsidR="00FE2274" w:rsidRPr="00561154" w:rsidRDefault="00250103" w:rsidP="00561154">
      <w:pPr>
        <w:pStyle w:val="Heading2Text"/>
        <w:numPr>
          <w:ilvl w:val="0"/>
          <w:numId w:val="133"/>
        </w:numPr>
        <w:ind w:left="1710" w:hanging="810"/>
        <w:rPr>
          <w:u w:val="single"/>
        </w:rPr>
      </w:pPr>
      <w:r>
        <w:rPr>
          <w:u w:val="single"/>
        </w:rPr>
        <w:t>Adjustment of Contract Capacity at Commercial Operation</w:t>
      </w:r>
      <w:r w:rsidR="00FE2274" w:rsidRPr="00FE2274">
        <w:t xml:space="preserve">. </w:t>
      </w:r>
      <w:r w:rsidRPr="00484686">
        <w:t xml:space="preserve">Pursuant to </w:t>
      </w:r>
      <w:r>
        <w:t xml:space="preserve">Sections 5.03 </w:t>
      </w:r>
      <w:r w:rsidRPr="00484686">
        <w:t xml:space="preserve">and </w:t>
      </w:r>
      <w:r w:rsidRPr="00D01883">
        <w:rPr>
          <w:u w:val="single"/>
        </w:rPr>
        <w:t xml:space="preserve">Exhibit </w:t>
      </w:r>
      <w:r w:rsidR="00CF10CD">
        <w:rPr>
          <w:u w:val="single"/>
        </w:rPr>
        <w:t>C</w:t>
      </w:r>
      <w:r w:rsidRPr="00D01883">
        <w:t xml:space="preserve">, Contract Capacity shall be adjusted upon SCE’s acceptance of the Initial Commercial Operation Test, in accordance with </w:t>
      </w:r>
      <w:r w:rsidR="00CF10CD">
        <w:rPr>
          <w:u w:val="single"/>
        </w:rPr>
        <w:t>Exhibit C</w:t>
      </w:r>
      <w:r w:rsidRPr="00D01883">
        <w:t>, Part</w:t>
      </w:r>
      <w:r w:rsidRPr="00484686">
        <w:t xml:space="preserve"> III</w:t>
      </w:r>
      <w:r w:rsidRPr="00482B73">
        <w:t xml:space="preserve">.E. </w:t>
      </w:r>
      <w:r w:rsidRPr="00482B73">
        <w:rPr>
          <w:u w:val="single"/>
        </w:rPr>
        <w:t xml:space="preserve">Exhibit </w:t>
      </w:r>
      <w:r w:rsidR="00CF10CD">
        <w:rPr>
          <w:u w:val="single"/>
        </w:rPr>
        <w:t>D</w:t>
      </w:r>
      <w:r w:rsidRPr="00482B73">
        <w:t xml:space="preserve"> shall</w:t>
      </w:r>
      <w:r w:rsidRPr="00484686">
        <w:t xml:space="preserve"> be automatically amended to reflect the updated Contract Capacity achieved by the Storage Unit(s) pursuant to such Test; provided, that in no event may the Contract Capacity, as determined</w:t>
      </w:r>
      <w:r w:rsidRPr="0027789B">
        <w:t xml:space="preserve"> pursuant to </w:t>
      </w:r>
      <w:r>
        <w:t>Sections 5.03</w:t>
      </w:r>
      <w:r w:rsidRPr="0084576D">
        <w:t>, exceed</w:t>
      </w:r>
      <w:r w:rsidRPr="0027789B">
        <w:t xml:space="preserve"> the aggregate Expected Contract Capacity of the Storage Unit(s).</w:t>
      </w:r>
    </w:p>
    <w:p w14:paraId="23E6F22B" w14:textId="09277059" w:rsidR="00C369AA" w:rsidRDefault="00C369AA" w:rsidP="00AD07C9">
      <w:pPr>
        <w:pStyle w:val="Heading2"/>
      </w:pPr>
      <w:bookmarkStart w:id="31" w:name="_Toc497310261"/>
      <w:bookmarkStart w:id="32" w:name="_Toc497310394"/>
      <w:bookmarkStart w:id="33" w:name="_Toc497468374"/>
      <w:bookmarkStart w:id="34" w:name="_Toc510788218"/>
      <w:bookmarkEnd w:id="31"/>
      <w:bookmarkEnd w:id="32"/>
      <w:bookmarkEnd w:id="33"/>
      <w:r>
        <w:t>Monthly Capacity Price</w:t>
      </w:r>
      <w:r w:rsidRPr="00DB7FE0">
        <w:rPr>
          <w:u w:val="none"/>
        </w:rPr>
        <w:t>.</w:t>
      </w:r>
      <w:bookmarkEnd w:id="34"/>
    </w:p>
    <w:p w14:paraId="6E047BD1" w14:textId="1E1CFE77" w:rsidR="00254C9E" w:rsidRPr="00A17E65" w:rsidRDefault="00431EC8" w:rsidP="00254C9E">
      <w:pPr>
        <w:pStyle w:val="Heading3"/>
        <w:rPr>
          <w:u w:val="single"/>
        </w:rPr>
      </w:pPr>
      <w:r w:rsidRPr="00A17E65">
        <w:t xml:space="preserve">The </w:t>
      </w:r>
      <w:r>
        <w:t>“</w:t>
      </w:r>
      <w:r w:rsidRPr="00A17E65">
        <w:rPr>
          <w:u w:val="single"/>
        </w:rPr>
        <w:t>Monthly RA Capacity Price</w:t>
      </w:r>
      <w:r>
        <w:t>”</w:t>
      </w:r>
      <w:r w:rsidRPr="00A17E65">
        <w:t xml:space="preserve"> will be, </w:t>
      </w:r>
      <w:r w:rsidRPr="00B022A3">
        <w:t>for any Showing Month during a</w:t>
      </w:r>
      <w:r>
        <w:t>n</w:t>
      </w:r>
      <w:r w:rsidRPr="00B022A3">
        <w:t xml:space="preserve"> RA Period, the “Monthly RA Capacity Price” set forth in </w:t>
      </w:r>
      <w:r w:rsidRPr="00B022A3">
        <w:rPr>
          <w:u w:val="single"/>
        </w:rPr>
        <w:t xml:space="preserve">Exhibit </w:t>
      </w:r>
      <w:r w:rsidR="00CF10CD">
        <w:rPr>
          <w:u w:val="single"/>
        </w:rPr>
        <w:t>E</w:t>
      </w:r>
      <w:r w:rsidRPr="00B022A3">
        <w:t xml:space="preserve"> applicable to such </w:t>
      </w:r>
      <w:r>
        <w:t>Contract Year</w:t>
      </w:r>
      <w:r w:rsidRPr="00B022A3">
        <w:t>, as may be reduced under Section 3.05(d) or modified by SCE under Section 3.05(c)</w:t>
      </w:r>
      <w:r w:rsidRPr="00DB7FE0">
        <w:t>.</w:t>
      </w:r>
    </w:p>
    <w:p w14:paraId="3D0EE4BB" w14:textId="595AEB54" w:rsidR="00254C9E" w:rsidRDefault="00431EC8" w:rsidP="00254C9E">
      <w:pPr>
        <w:pStyle w:val="Heading3"/>
      </w:pPr>
      <w:r w:rsidRPr="00635483">
        <w:lastRenderedPageBreak/>
        <w:t xml:space="preserve">The </w:t>
      </w:r>
      <w:r>
        <w:t>“</w:t>
      </w:r>
      <w:r w:rsidRPr="00635483">
        <w:rPr>
          <w:u w:val="single"/>
        </w:rPr>
        <w:t xml:space="preserve">Monthly </w:t>
      </w:r>
      <w:r>
        <w:rPr>
          <w:u w:val="single"/>
        </w:rPr>
        <w:t>Energy</w:t>
      </w:r>
      <w:r w:rsidRPr="00635483">
        <w:rPr>
          <w:u w:val="single"/>
        </w:rPr>
        <w:t xml:space="preserve"> Capacity Price</w:t>
      </w:r>
      <w:r>
        <w:t>”</w:t>
      </w:r>
      <w:r w:rsidRPr="00635483">
        <w:t xml:space="preserve"> will be, </w:t>
      </w:r>
      <w:r w:rsidRPr="00B022A3">
        <w:t xml:space="preserve">for any Showing Month during a </w:t>
      </w:r>
      <w:r>
        <w:t>Put</w:t>
      </w:r>
      <w:r w:rsidRPr="00B022A3">
        <w:t xml:space="preserve"> Period, the “Monthly </w:t>
      </w:r>
      <w:r>
        <w:t>Energy</w:t>
      </w:r>
      <w:r w:rsidRPr="00B022A3">
        <w:t xml:space="preserve"> Capacity Price” set forth in </w:t>
      </w:r>
      <w:r w:rsidRPr="00B022A3">
        <w:rPr>
          <w:u w:val="single"/>
        </w:rPr>
        <w:t xml:space="preserve">Exhibit </w:t>
      </w:r>
      <w:r w:rsidR="00CF10CD">
        <w:rPr>
          <w:u w:val="single"/>
        </w:rPr>
        <w:t>E</w:t>
      </w:r>
      <w:r w:rsidRPr="00B022A3">
        <w:t xml:space="preserve"> applicable to such </w:t>
      </w:r>
      <w:r>
        <w:t>Contract Year</w:t>
      </w:r>
      <w:r w:rsidRPr="00B022A3">
        <w:t>, as may be reduced under Section 3.05(d)</w:t>
      </w:r>
      <w:r w:rsidRPr="00DB7FE0">
        <w:t>.</w:t>
      </w:r>
    </w:p>
    <w:p w14:paraId="7D5438F5" w14:textId="3B4CFCB3" w:rsidR="00AD07C9" w:rsidRDefault="008E65AA" w:rsidP="00AD07C9">
      <w:pPr>
        <w:pStyle w:val="Heading2"/>
      </w:pPr>
      <w:bookmarkStart w:id="35" w:name="_Toc497310263"/>
      <w:bookmarkStart w:id="36" w:name="_Toc497310396"/>
      <w:bookmarkStart w:id="37" w:name="_Toc497468376"/>
      <w:bookmarkStart w:id="38" w:name="_Toc510788219"/>
      <w:bookmarkEnd w:id="35"/>
      <w:bookmarkEnd w:id="36"/>
      <w:bookmarkEnd w:id="37"/>
      <w:r w:rsidRPr="0027789B">
        <w:t>Exclusive Rights</w:t>
      </w:r>
      <w:r w:rsidR="001D4101" w:rsidRPr="00261CDD">
        <w:rPr>
          <w:u w:val="none"/>
        </w:rPr>
        <w:t>.</w:t>
      </w:r>
      <w:bookmarkEnd w:id="38"/>
      <w:r w:rsidR="001D4101" w:rsidRPr="00261CDD">
        <w:rPr>
          <w:u w:val="none"/>
        </w:rPr>
        <w:t xml:space="preserve"> </w:t>
      </w:r>
    </w:p>
    <w:p w14:paraId="509C1859" w14:textId="11A63F32" w:rsidR="00A01DF3" w:rsidRDefault="008E65AA" w:rsidP="00AD07C9">
      <w:pPr>
        <w:pStyle w:val="Heading3"/>
        <w:numPr>
          <w:ilvl w:val="0"/>
          <w:numId w:val="0"/>
        </w:numPr>
        <w:ind w:left="864"/>
      </w:pPr>
      <w:r w:rsidRPr="0027789B">
        <w:t>During the Delivery Period (and, during any Put Period, except only as a result of a Non-SCE Dispatch), SCE shall have exclusive rights to the Product and all benefits derived therefrom.</w:t>
      </w:r>
    </w:p>
    <w:p w14:paraId="10DA72F3" w14:textId="77777777" w:rsidR="00D12C72" w:rsidRPr="00673ADF" w:rsidRDefault="00D12C72" w:rsidP="00D12C72">
      <w:pPr>
        <w:pStyle w:val="Heading3"/>
        <w:numPr>
          <w:ilvl w:val="2"/>
          <w:numId w:val="88"/>
        </w:numPr>
      </w:pPr>
      <w:bookmarkStart w:id="39" w:name="_Toc366652534"/>
      <w:bookmarkStart w:id="40" w:name="_Toc467577533"/>
      <w:bookmarkStart w:id="41" w:name="_Toc470014793"/>
      <w:bookmarkStart w:id="42" w:name="_Toc470855984"/>
      <w:r w:rsidRPr="0027789B">
        <w:rPr>
          <w:u w:val="single"/>
        </w:rPr>
        <w:t>Resource Adequacy Benefits</w:t>
      </w:r>
      <w:r>
        <w:t xml:space="preserve">. </w:t>
      </w:r>
      <w:r w:rsidRPr="0027789B">
        <w:t>During the Delivery Period, Seller grants, pledges, assigns and otherwise commits to SCE all of the Product which may be used to meet RA Compliance Obligations under any Resource Adequacy Rulings</w:t>
      </w:r>
      <w:r>
        <w:t xml:space="preserve">. </w:t>
      </w:r>
    </w:p>
    <w:p w14:paraId="2778946B" w14:textId="5BBC36FA" w:rsidR="00D12C72" w:rsidRPr="0027789B" w:rsidRDefault="00D12C72" w:rsidP="00D12C72">
      <w:pPr>
        <w:pStyle w:val="Heading3"/>
        <w:numPr>
          <w:ilvl w:val="2"/>
          <w:numId w:val="88"/>
        </w:numPr>
      </w:pPr>
      <w:r w:rsidRPr="0027789B">
        <w:rPr>
          <w:u w:val="single"/>
        </w:rPr>
        <w:t>Capacity</w:t>
      </w:r>
      <w:r>
        <w:t xml:space="preserve">. </w:t>
      </w:r>
      <w:r w:rsidRPr="0027789B">
        <w:t>During any Put Period, SCE shall have the exclusive right to the Capacity from the Project.</w:t>
      </w:r>
    </w:p>
    <w:p w14:paraId="57E292EE" w14:textId="7E4130F8" w:rsidR="00D12C72" w:rsidRPr="000678FD" w:rsidRDefault="00D12C72" w:rsidP="00D12C72">
      <w:pPr>
        <w:pStyle w:val="Heading3"/>
        <w:numPr>
          <w:ilvl w:val="2"/>
          <w:numId w:val="88"/>
        </w:numPr>
      </w:pPr>
      <w:r w:rsidRPr="0027789B">
        <w:rPr>
          <w:u w:val="single"/>
        </w:rPr>
        <w:t>Energy</w:t>
      </w:r>
      <w:r>
        <w:t xml:space="preserve">. </w:t>
      </w:r>
      <w:r w:rsidRPr="0027789B">
        <w:t>During any Put Period, except for Energy resulting from a Non-SCE Dispatch, Seller dedicates the Energy of the Project to SCE, and SCE shall have the exclusive rights to all Energy stored by the Project, including pursuant to a forward schedule or an Imbalance Energy instruction from the CAISO.</w:t>
      </w:r>
      <w:r>
        <w:t xml:space="preserve"> </w:t>
      </w:r>
      <w:r w:rsidRPr="0004721A">
        <w:t xml:space="preserve">During any Put Period, energy from each Storage Unit shall </w:t>
      </w:r>
      <w:r w:rsidRPr="000678FD">
        <w:t>be delivered to the Energy Delivery Point.</w:t>
      </w:r>
    </w:p>
    <w:p w14:paraId="2CA86A29" w14:textId="1002D607" w:rsidR="00D12C72" w:rsidRPr="00D12C72" w:rsidRDefault="00D12C72" w:rsidP="00DB7FE0">
      <w:pPr>
        <w:pStyle w:val="Heading3"/>
        <w:numPr>
          <w:ilvl w:val="2"/>
          <w:numId w:val="88"/>
        </w:numPr>
      </w:pPr>
      <w:r w:rsidRPr="000678FD">
        <w:rPr>
          <w:u w:val="single"/>
        </w:rPr>
        <w:t>Ancillary Services</w:t>
      </w:r>
      <w:r w:rsidRPr="000678FD">
        <w:t xml:space="preserve">. During any Put Period, SCE shall have the exclusive rights to all Ancillary Services Capacity and Associated Ancillary Services Energy from the Project, subject only to the limitations set forth in </w:t>
      </w:r>
      <w:r w:rsidRPr="000678FD">
        <w:rPr>
          <w:u w:val="single"/>
        </w:rPr>
        <w:t xml:space="preserve">Exhibit </w:t>
      </w:r>
      <w:r w:rsidR="00CF10CD">
        <w:rPr>
          <w:u w:val="single"/>
        </w:rPr>
        <w:t>D</w:t>
      </w:r>
      <w:r w:rsidRPr="000678FD">
        <w:rPr>
          <w:iCs/>
        </w:rPr>
        <w:t>.</w:t>
      </w:r>
    </w:p>
    <w:p w14:paraId="2174F51E" w14:textId="77777777" w:rsidR="00663248" w:rsidRPr="00FF157D" w:rsidRDefault="00663248" w:rsidP="00663248">
      <w:pPr>
        <w:pStyle w:val="Heading2"/>
        <w:keepNext w:val="0"/>
        <w:keepLines w:val="0"/>
        <w:rPr>
          <w:u w:val="none"/>
        </w:rPr>
      </w:pPr>
      <w:bookmarkStart w:id="43" w:name="_Toc510788220"/>
      <w:r w:rsidRPr="0027789B">
        <w:t>SCE’s Re-Sale of Product</w:t>
      </w:r>
      <w:bookmarkEnd w:id="39"/>
      <w:r w:rsidRPr="00FF157D">
        <w:rPr>
          <w:u w:val="none"/>
        </w:rPr>
        <w:t>.</w:t>
      </w:r>
      <w:bookmarkEnd w:id="40"/>
      <w:bookmarkEnd w:id="41"/>
      <w:bookmarkEnd w:id="42"/>
      <w:bookmarkEnd w:id="43"/>
    </w:p>
    <w:p w14:paraId="27EF16C7" w14:textId="0D5AE042" w:rsidR="00663248" w:rsidRDefault="00663248" w:rsidP="00663248">
      <w:pPr>
        <w:pStyle w:val="Heading2Text"/>
      </w:pPr>
      <w:r w:rsidRPr="0027789B">
        <w:t xml:space="preserve">SCE </w:t>
      </w:r>
      <w:r w:rsidR="0093313C">
        <w:t>shall have the</w:t>
      </w:r>
      <w:r w:rsidR="0093313C" w:rsidRPr="0027789B">
        <w:t xml:space="preserve"> exclusive right to use, market or sell the Product</w:t>
      </w:r>
      <w:r w:rsidR="0093313C" w:rsidRPr="0093313C">
        <w:t xml:space="preserve"> </w:t>
      </w:r>
      <w:r w:rsidR="0093313C" w:rsidRPr="0027789B">
        <w:t xml:space="preserve">and any associated rights, in each case, acquired under this Agreement and the right to all revenues generated </w:t>
      </w:r>
      <w:r w:rsidR="0093313C">
        <w:t>from this use, sale or marketing</w:t>
      </w:r>
      <w:r>
        <w:t xml:space="preserve">. </w:t>
      </w:r>
    </w:p>
    <w:p w14:paraId="2FC5B7B1" w14:textId="530A3A0C" w:rsidR="00DB5FB7" w:rsidRDefault="00D8575F" w:rsidP="00663248">
      <w:pPr>
        <w:pStyle w:val="Heading2Text"/>
      </w:pPr>
      <w:r>
        <w:t>If</w:t>
      </w:r>
      <w:r w:rsidR="00663248" w:rsidRPr="0027789B">
        <w:t xml:space="preserve"> SCE re-sells all or a portion of the Product and any </w:t>
      </w:r>
      <w:r w:rsidR="00663248" w:rsidRPr="00165EAE">
        <w:t>associated rights acquired under this Agreement for any RA Period (“</w:t>
      </w:r>
      <w:r w:rsidR="00663248" w:rsidRPr="00165EAE">
        <w:rPr>
          <w:u w:val="single"/>
        </w:rPr>
        <w:t>Resold Product</w:t>
      </w:r>
      <w:r w:rsidR="00663248" w:rsidRPr="00165EAE">
        <w:t>”), Seller agrees, and agrees to cause the Storage Unit’s SC</w:t>
      </w:r>
      <w:r w:rsidR="00DB5FB7">
        <w:t xml:space="preserve"> to:</w:t>
      </w:r>
      <w:r w:rsidR="00663248" w:rsidRPr="00165EAE">
        <w:t xml:space="preserve"> </w:t>
      </w:r>
    </w:p>
    <w:p w14:paraId="00445ECA" w14:textId="7DF1CCF1" w:rsidR="00DB5FB7" w:rsidRDefault="00DB5FB7" w:rsidP="00DB7FE0">
      <w:pPr>
        <w:pStyle w:val="Heading3"/>
      </w:pPr>
      <w:r>
        <w:t>F</w:t>
      </w:r>
      <w:r w:rsidR="00663248" w:rsidRPr="00165EAE">
        <w:t xml:space="preserve">ollow SCE’s instructions and the CAISO Tariff with respect to providing such Resold Product to subsequent purchasers of such Resold Product. </w:t>
      </w:r>
    </w:p>
    <w:p w14:paraId="5D7B252D" w14:textId="40504345" w:rsidR="00DB5FB7" w:rsidRDefault="00DB5FB7" w:rsidP="00DB7FE0">
      <w:pPr>
        <w:pStyle w:val="Heading3"/>
      </w:pPr>
      <w:r>
        <w:t>T</w:t>
      </w:r>
      <w:r w:rsidR="00663248" w:rsidRPr="00165EAE">
        <w:t xml:space="preserve">ake all commercially reasonable actions and execute any and all documents or instruments reasonably necessary to allow such subsequent purchasers to use such Resold Product. </w:t>
      </w:r>
    </w:p>
    <w:p w14:paraId="420BFBAA" w14:textId="6A58C1E6" w:rsidR="00663248" w:rsidRPr="00663248" w:rsidRDefault="00663248">
      <w:pPr>
        <w:pStyle w:val="Heading2Text"/>
      </w:pPr>
      <w:r w:rsidRPr="00165EAE">
        <w:lastRenderedPageBreak/>
        <w:t xml:space="preserve">Seller acknowledges and agrees that if SCE incurs any liability to any purchaser of such Resold Product due to the failure of Seller or the Storage Unit’s SC to comply with the terms of this Agreement, and Seller would have had liability to SCE under this Agreement for such failure had SCE not sold the Resold Product to a subsequent purchaser, then Seller shall be liable to SCE under this Agreement, including </w:t>
      </w:r>
      <w:r w:rsidRPr="0024612D">
        <w:t xml:space="preserve">pursuant to this Section </w:t>
      </w:r>
      <w:r w:rsidR="0024612D" w:rsidRPr="0024612D">
        <w:t>1</w:t>
      </w:r>
      <w:r w:rsidRPr="0024612D">
        <w:t>.0</w:t>
      </w:r>
      <w:r w:rsidR="0024612D" w:rsidRPr="0024612D">
        <w:t>6</w:t>
      </w:r>
      <w:r w:rsidRPr="0024612D">
        <w:t>, for</w:t>
      </w:r>
      <w:r w:rsidRPr="00165EAE">
        <w:t xml:space="preserve"> the amounts it would have been liable to SCE for had such Resold Product not been s</w:t>
      </w:r>
      <w:r>
        <w:t xml:space="preserve">old to a subsequent purchaser. </w:t>
      </w:r>
    </w:p>
    <w:p w14:paraId="7D218205" w14:textId="6A139488" w:rsidR="000C1651" w:rsidRDefault="006A274A" w:rsidP="000C1651">
      <w:pPr>
        <w:pStyle w:val="Heading1"/>
        <w:keepNext w:val="0"/>
        <w:keepLines w:val="0"/>
      </w:pPr>
      <w:bookmarkStart w:id="44" w:name="_Toc473105212"/>
      <w:bookmarkStart w:id="45" w:name="_Toc473223909"/>
      <w:bookmarkStart w:id="46" w:name="_Toc510788221"/>
      <w:bookmarkStart w:id="47" w:name="_Toc467577470"/>
      <w:bookmarkStart w:id="48" w:name="_Toc470014730"/>
      <w:bookmarkStart w:id="49" w:name="_Toc470855923"/>
      <w:bookmarkStart w:id="50" w:name="_Toc467577523"/>
      <w:bookmarkStart w:id="51" w:name="_Toc470014783"/>
      <w:bookmarkStart w:id="52" w:name="_Toc470855974"/>
      <w:bookmarkStart w:id="53" w:name="_Toc467577485"/>
      <w:bookmarkStart w:id="54" w:name="_Toc470014745"/>
      <w:bookmarkEnd w:id="44"/>
      <w:bookmarkEnd w:id="45"/>
      <w:r>
        <w:t>TERM AND DELIVERY PERIOD</w:t>
      </w:r>
      <w:bookmarkEnd w:id="46"/>
    </w:p>
    <w:p w14:paraId="06A204E2" w14:textId="77777777" w:rsidR="000C1651" w:rsidRPr="00477BAF" w:rsidRDefault="000C1651" w:rsidP="000C1651">
      <w:pPr>
        <w:pStyle w:val="Heading2"/>
        <w:keepNext w:val="0"/>
        <w:keepLines w:val="0"/>
        <w:rPr>
          <w:u w:val="none"/>
        </w:rPr>
      </w:pPr>
      <w:bookmarkStart w:id="55" w:name="_Toc467577469"/>
      <w:bookmarkStart w:id="56" w:name="_Toc470014729"/>
      <w:bookmarkStart w:id="57" w:name="_Toc470855922"/>
      <w:bookmarkStart w:id="58" w:name="_Toc510788222"/>
      <w:r w:rsidRPr="0027789B">
        <w:t>Term</w:t>
      </w:r>
      <w:r w:rsidRPr="00477BAF">
        <w:rPr>
          <w:u w:val="none"/>
        </w:rPr>
        <w:t>.</w:t>
      </w:r>
      <w:bookmarkEnd w:id="55"/>
      <w:bookmarkEnd w:id="56"/>
      <w:bookmarkEnd w:id="57"/>
      <w:bookmarkEnd w:id="58"/>
    </w:p>
    <w:p w14:paraId="10A21491" w14:textId="77777777" w:rsidR="000C1651" w:rsidRPr="0027789B" w:rsidRDefault="000C1651" w:rsidP="000C1651">
      <w:pPr>
        <w:pStyle w:val="Heading2Text"/>
      </w:pPr>
      <w:r w:rsidRPr="0027789B">
        <w:t>The “</w:t>
      </w:r>
      <w:r w:rsidRPr="0027789B">
        <w:rPr>
          <w:u w:val="single"/>
        </w:rPr>
        <w:t>Term</w:t>
      </w:r>
      <w:r w:rsidRPr="0027789B">
        <w:t>” of this Agreement shall commence upon the Effective Date, and shall continue until the expiration of the Delivery Period</w:t>
      </w:r>
      <w:r>
        <w:t xml:space="preserve">. </w:t>
      </w:r>
    </w:p>
    <w:p w14:paraId="34FBB693" w14:textId="77777777" w:rsidR="000C1651" w:rsidRPr="00FF157D" w:rsidRDefault="000C1651" w:rsidP="000C1651">
      <w:pPr>
        <w:pStyle w:val="Heading2"/>
        <w:keepNext w:val="0"/>
        <w:keepLines w:val="0"/>
        <w:rPr>
          <w:u w:val="none"/>
        </w:rPr>
      </w:pPr>
      <w:bookmarkStart w:id="59" w:name="_Toc467577472"/>
      <w:bookmarkStart w:id="60" w:name="_Toc470014732"/>
      <w:bookmarkStart w:id="61" w:name="_Toc470855925"/>
      <w:bookmarkStart w:id="62" w:name="_Toc510788223"/>
      <w:r w:rsidRPr="0027789B">
        <w:t>Delivery Period</w:t>
      </w:r>
      <w:r w:rsidRPr="00FF157D">
        <w:rPr>
          <w:u w:val="none"/>
        </w:rPr>
        <w:t>.</w:t>
      </w:r>
      <w:bookmarkEnd w:id="59"/>
      <w:bookmarkEnd w:id="60"/>
      <w:bookmarkEnd w:id="61"/>
      <w:bookmarkEnd w:id="62"/>
    </w:p>
    <w:p w14:paraId="3797EC36" w14:textId="409A942D" w:rsidR="000C1651" w:rsidRPr="0027789B" w:rsidRDefault="000C1651" w:rsidP="000C1651">
      <w:pPr>
        <w:pStyle w:val="Heading2Text"/>
      </w:pPr>
      <w:r w:rsidRPr="0027789B">
        <w:t>The “</w:t>
      </w:r>
      <w:r w:rsidRPr="0027789B">
        <w:rPr>
          <w:u w:val="single"/>
        </w:rPr>
        <w:t>Delivery Period</w:t>
      </w:r>
      <w:r w:rsidRPr="0027789B">
        <w:t xml:space="preserve">” shall commence at 12:01 a.m. on the Initial Delivery Date, and shall continue until the earlier of: midnight on </w:t>
      </w:r>
      <w:r w:rsidRPr="00546E7F">
        <w:t xml:space="preserve">the date that is </w:t>
      </w:r>
      <w:r w:rsidRPr="00DB7FE0">
        <w:rPr>
          <w:i/>
          <w:color w:val="0000FF"/>
        </w:rPr>
        <w:t>[number of years]</w:t>
      </w:r>
      <w:r w:rsidRPr="0027789B">
        <w:t xml:space="preserve"> years after the Expected Initial Delivery Date</w:t>
      </w:r>
      <w:r w:rsidR="00C2528E">
        <w:t xml:space="preserve"> </w:t>
      </w:r>
      <w:r w:rsidRPr="00541852">
        <w:t xml:space="preserve">or </w:t>
      </w:r>
      <w:r w:rsidRPr="0027789B">
        <w:t>the date this Agreement is otherwise terminated in accordance with its terms.</w:t>
      </w:r>
    </w:p>
    <w:p w14:paraId="66F16962" w14:textId="1E9B0CA8" w:rsidR="00732F22" w:rsidRPr="0004721A" w:rsidRDefault="000C1651" w:rsidP="00732F22">
      <w:pPr>
        <w:pStyle w:val="Heading3"/>
      </w:pPr>
      <w:bookmarkStart w:id="63" w:name="_Toc467577473"/>
      <w:bookmarkStart w:id="64" w:name="_Toc470014733"/>
      <w:bookmarkStart w:id="65" w:name="_Toc470855926"/>
      <w:r w:rsidRPr="0004721A">
        <w:rPr>
          <w:u w:val="single"/>
        </w:rPr>
        <w:t>Put Period</w:t>
      </w:r>
      <w:r>
        <w:rPr>
          <w:rStyle w:val="Heading3Char"/>
        </w:rPr>
        <w:t xml:space="preserve">. </w:t>
      </w:r>
      <w:r w:rsidRPr="0027789B">
        <w:t xml:space="preserve">Any portion of the Delivery Period for which Seller has </w:t>
      </w:r>
      <w:bookmarkEnd w:id="63"/>
      <w:bookmarkEnd w:id="64"/>
      <w:bookmarkEnd w:id="65"/>
      <w:r w:rsidR="00732F22" w:rsidRPr="0027789B">
        <w:t>exercised its Energy Put Option shall be a “</w:t>
      </w:r>
      <w:r w:rsidR="00732F22" w:rsidRPr="0004721A">
        <w:rPr>
          <w:u w:val="single"/>
        </w:rPr>
        <w:t>Put Period</w:t>
      </w:r>
      <w:r w:rsidR="00732F22">
        <w:t>.</w:t>
      </w:r>
      <w:r w:rsidR="00732F22" w:rsidRPr="0027789B">
        <w:t>”</w:t>
      </w:r>
    </w:p>
    <w:p w14:paraId="6F01AA53" w14:textId="1DD284AB" w:rsidR="000C1651" w:rsidRPr="0027789B" w:rsidRDefault="00732F22" w:rsidP="00732F22">
      <w:pPr>
        <w:pStyle w:val="Heading3"/>
      </w:pPr>
      <w:r w:rsidRPr="0004721A">
        <w:rPr>
          <w:u w:val="single"/>
        </w:rPr>
        <w:t>RA Period</w:t>
      </w:r>
      <w:r w:rsidRPr="00FF157D">
        <w:t>.</w:t>
      </w:r>
      <w:r w:rsidRPr="0027789B">
        <w:t xml:space="preserve"> </w:t>
      </w:r>
      <w:r>
        <w:t>A</w:t>
      </w:r>
      <w:r w:rsidRPr="0027789B">
        <w:t>ny portion of the Delivery Period for which Seller has not exercised its Energy Put Option shall be a</w:t>
      </w:r>
      <w:r w:rsidR="00A17E65">
        <w:t>n</w:t>
      </w:r>
      <w:r w:rsidRPr="0027789B">
        <w:t xml:space="preserve"> “</w:t>
      </w:r>
      <w:r w:rsidRPr="0004721A">
        <w:rPr>
          <w:u w:val="single"/>
        </w:rPr>
        <w:t>RA Period</w:t>
      </w:r>
      <w:r w:rsidRPr="0027789B">
        <w:t xml:space="preserve">.” During any RA Period, Seller shall have the right to dispatch and sell the Capacity, Energy, Ancillary Services Capacity and Associated Ancillary Services Energy </w:t>
      </w:r>
      <w:r w:rsidR="000C1651" w:rsidRPr="0027789B">
        <w:t>from the Project to any third party.</w:t>
      </w:r>
    </w:p>
    <w:p w14:paraId="7E3FE8B2" w14:textId="2E1A8638" w:rsidR="00C369AA" w:rsidRDefault="00C369AA" w:rsidP="000C1651">
      <w:pPr>
        <w:pStyle w:val="Heading2"/>
        <w:rPr>
          <w:u w:val="none"/>
        </w:rPr>
      </w:pPr>
      <w:bookmarkStart w:id="66" w:name="_Toc510788224"/>
      <w:r>
        <w:t>Expected Initial Delivery Date</w:t>
      </w:r>
      <w:r w:rsidRPr="00C369AA">
        <w:rPr>
          <w:u w:val="none"/>
        </w:rPr>
        <w:t>.</w:t>
      </w:r>
      <w:bookmarkEnd w:id="66"/>
    </w:p>
    <w:p w14:paraId="5FCE9469" w14:textId="77777777" w:rsidR="00C369AA" w:rsidRDefault="00C369AA" w:rsidP="00C369AA">
      <w:pPr>
        <w:pStyle w:val="Heading2Text"/>
      </w:pPr>
      <w:r w:rsidRPr="0027789B">
        <w:t xml:space="preserve">The Expected </w:t>
      </w:r>
      <w:r w:rsidRPr="00546E7F">
        <w:t xml:space="preserve">Initial Delivery Date is </w:t>
      </w:r>
      <w:r w:rsidRPr="00DB7FE0">
        <w:rPr>
          <w:i/>
          <w:color w:val="0000FF"/>
        </w:rPr>
        <w:t>[Date; the first day of a calendar month]</w:t>
      </w:r>
      <w:r w:rsidRPr="00546E7F">
        <w:t>.</w:t>
      </w:r>
    </w:p>
    <w:p w14:paraId="13CCEB97" w14:textId="79B1978C" w:rsidR="00C30DF6" w:rsidRDefault="00C30DF6" w:rsidP="00561154">
      <w:pPr>
        <w:pStyle w:val="Heading2Text"/>
        <w:widowControl w:val="0"/>
      </w:pPr>
      <w:r w:rsidRPr="00B1700B">
        <w:t>If the Project (or any portion thereof) reaches Commercial Operation prior to its Expected Initial Delivery Date, Seller may dispatch and sell the output of such Storage Unit(s) to third parties prior to its Expected Initial Delivery Date</w:t>
      </w:r>
      <w:r w:rsidR="00FB2F26">
        <w:t xml:space="preserve"> (a “Third Party Sale”).  Any Third Party Sale shall be limited to a delivery period that occurs before the Expected Initial Delivery Date. Seller shall ensure that such Third Party Sale does not interfere with or otherwise complicate any scheduling, confidentiality or general administrative or operational issues associated with Seller’s exercise of the Energy Put Option for the first Contract Yea</w:t>
      </w:r>
      <w:r w:rsidR="00F14F81">
        <w:t>r</w:t>
      </w:r>
      <w:r w:rsidR="008B3C43">
        <w:t>.</w:t>
      </w:r>
      <w:r w:rsidR="00FB2F26">
        <w:t xml:space="preserve"> </w:t>
      </w:r>
      <w:r w:rsidRPr="00B1700B">
        <w:t xml:space="preserve">Seller shall have the right to all revenues generated from such sale, and will be responsible for any costs, charges, fees, fines, or penalties </w:t>
      </w:r>
      <w:r w:rsidRPr="00B1700B">
        <w:lastRenderedPageBreak/>
        <w:t xml:space="preserve">associated with such sale. Once the Project reaches its Initial Delivery Date, then Seller shall not provide, convey or market the Product or any Resource Adequacy Benefits associated with the Project, in each case with </w:t>
      </w:r>
      <w:r w:rsidR="00D95D52">
        <w:t xml:space="preserve">respect to </w:t>
      </w:r>
      <w:r w:rsidRPr="00B1700B">
        <w:t>the Delivery Period, to any third</w:t>
      </w:r>
      <w:r w:rsidRPr="0001148F">
        <w:t xml:space="preserve"> party. </w:t>
      </w:r>
    </w:p>
    <w:p w14:paraId="2DF0144F" w14:textId="77777777" w:rsidR="000C1651" w:rsidRDefault="000C1651" w:rsidP="000C1651">
      <w:pPr>
        <w:pStyle w:val="Heading2"/>
      </w:pPr>
      <w:bookmarkStart w:id="67" w:name="_Toc510788225"/>
      <w:r>
        <w:t>Initial Delivery Date</w:t>
      </w:r>
      <w:r>
        <w:rPr>
          <w:u w:val="none"/>
        </w:rPr>
        <w:t>.</w:t>
      </w:r>
      <w:bookmarkEnd w:id="67"/>
    </w:p>
    <w:p w14:paraId="593826E8" w14:textId="5C7FC684" w:rsidR="000C1651" w:rsidRPr="0027789B" w:rsidRDefault="008F7412" w:rsidP="000C1651">
      <w:pPr>
        <w:pStyle w:val="Heading2Text"/>
      </w:pPr>
      <w:r>
        <w:t xml:space="preserve">The </w:t>
      </w:r>
      <w:r w:rsidR="000C1651" w:rsidRPr="0004721A">
        <w:t>“</w:t>
      </w:r>
      <w:r w:rsidR="000C1651" w:rsidRPr="0004721A">
        <w:rPr>
          <w:u w:val="single"/>
        </w:rPr>
        <w:t>Initial Delivery</w:t>
      </w:r>
      <w:r>
        <w:rPr>
          <w:u w:val="single"/>
        </w:rPr>
        <w:t xml:space="preserve"> Date</w:t>
      </w:r>
      <w:r w:rsidR="000C1651" w:rsidRPr="0004721A">
        <w:t xml:space="preserve">” shall </w:t>
      </w:r>
      <w:r>
        <w:t xml:space="preserve">be no earlier than the Expected Initial Delivery Date and shall be </w:t>
      </w:r>
      <w:r w:rsidRPr="0004721A">
        <w:t>the first day of the first full month after Initial Delivery has occurred</w:t>
      </w:r>
      <w:r>
        <w:t>.  “</w:t>
      </w:r>
      <w:r w:rsidRPr="008B3C43">
        <w:rPr>
          <w:u w:val="single"/>
        </w:rPr>
        <w:t>Initial Delivery</w:t>
      </w:r>
      <w:r>
        <w:t>” shall</w:t>
      </w:r>
      <w:r w:rsidRPr="0004721A">
        <w:t xml:space="preserve"> </w:t>
      </w:r>
      <w:r w:rsidR="000C1651" w:rsidRPr="0004721A">
        <w:t>occur when all the following conditions have been satisfied for the Project</w:t>
      </w:r>
      <w:r>
        <w:t xml:space="preserve">: </w:t>
      </w:r>
    </w:p>
    <w:p w14:paraId="5A398200" w14:textId="7AC362E1" w:rsidR="000C1651" w:rsidRPr="0027789B" w:rsidRDefault="000C1651" w:rsidP="000C1651">
      <w:pPr>
        <w:pStyle w:val="Heading3"/>
      </w:pPr>
      <w:r w:rsidRPr="00165EAE">
        <w:t xml:space="preserve">Seller </w:t>
      </w:r>
      <w:r w:rsidRPr="00504642">
        <w:t xml:space="preserve">has completed, to SCE’s satisfaction, Seller’s obligations set forth in Sections </w:t>
      </w:r>
      <w:r w:rsidR="00504642" w:rsidRPr="00504642">
        <w:t>4</w:t>
      </w:r>
      <w:r w:rsidRPr="00504642">
        <w:t xml:space="preserve">.01(a) through </w:t>
      </w:r>
      <w:r w:rsidR="00504642" w:rsidRPr="00504642">
        <w:t>4</w:t>
      </w:r>
      <w:r w:rsidRPr="00504642">
        <w:t xml:space="preserve">.01(f) (and Section </w:t>
      </w:r>
      <w:r w:rsidR="00504642" w:rsidRPr="00504642">
        <w:t>4</w:t>
      </w:r>
      <w:r w:rsidRPr="00504642">
        <w:t>.01(g</w:t>
      </w:r>
      <w:r w:rsidRPr="00165EAE">
        <w:t>), if Seller has exercised its Energy Put Option for the first Contract Year)</w:t>
      </w:r>
      <w:r w:rsidRPr="0027789B">
        <w:t>;</w:t>
      </w:r>
    </w:p>
    <w:p w14:paraId="6B3D0D2B" w14:textId="097BE5A4" w:rsidR="000C1651" w:rsidRPr="0027789B" w:rsidRDefault="000C1651" w:rsidP="000C1651">
      <w:pPr>
        <w:pStyle w:val="Heading3"/>
      </w:pPr>
      <w:r w:rsidRPr="0027789B">
        <w:t>Each Storage Unit has achieved Commercial Operation</w:t>
      </w:r>
      <w:r w:rsidR="00884170">
        <w:t xml:space="preserve"> in accordance with the protocols set forth in </w:t>
      </w:r>
      <w:r w:rsidR="00884170">
        <w:rPr>
          <w:u w:val="single"/>
        </w:rPr>
        <w:t>Exhibit C</w:t>
      </w:r>
      <w:r w:rsidRPr="0027789B">
        <w:t>;</w:t>
      </w:r>
    </w:p>
    <w:p w14:paraId="3889028E" w14:textId="0D1105E2" w:rsidR="000D31AC" w:rsidRDefault="000C1651" w:rsidP="000C1651">
      <w:pPr>
        <w:pStyle w:val="Heading3"/>
      </w:pPr>
      <w:r w:rsidRPr="0027789B">
        <w:t>Seller has received</w:t>
      </w:r>
      <w:r w:rsidR="00303C6B">
        <w:t>:</w:t>
      </w:r>
    </w:p>
    <w:p w14:paraId="310E77B5" w14:textId="3DE57350" w:rsidR="000D31AC" w:rsidRDefault="000D31AC" w:rsidP="00DB7FE0">
      <w:pPr>
        <w:pStyle w:val="Heading4"/>
      </w:pPr>
      <w:r w:rsidRPr="002F5C7B">
        <w:t xml:space="preserve">authority </w:t>
      </w:r>
      <w:r>
        <w:t>from</w:t>
      </w:r>
      <w:r w:rsidRPr="002F5C7B">
        <w:t xml:space="preserve"> FERC</w:t>
      </w:r>
      <w:r>
        <w:t>,</w:t>
      </w:r>
      <w:r w:rsidRPr="000D31AC">
        <w:t xml:space="preserve"> </w:t>
      </w:r>
      <w:r w:rsidRPr="002F5C7B">
        <w:t xml:space="preserve">pursuant to Section 205 of the Federal Power Act, 16 U.S.C. § 824d </w:t>
      </w:r>
      <w:r>
        <w:t>(“</w:t>
      </w:r>
      <w:r w:rsidR="000C1651" w:rsidRPr="00DB7FE0">
        <w:rPr>
          <w:u w:val="single"/>
        </w:rPr>
        <w:t>Market-Based Rate Authority</w:t>
      </w:r>
      <w:r>
        <w:t>”)</w:t>
      </w:r>
      <w:r w:rsidR="000C1651" w:rsidRPr="0027789B">
        <w:t xml:space="preserve"> </w:t>
      </w:r>
      <w:r w:rsidR="0084475D">
        <w:t>for wholesale sales of electric energy, capacity and ancillary services at market-based rates</w:t>
      </w:r>
      <w:r w:rsidR="000C1651" w:rsidRPr="0027789B">
        <w:t xml:space="preserve">, and </w:t>
      </w:r>
    </w:p>
    <w:p w14:paraId="202F1C4A" w14:textId="268593F0" w:rsidR="000C1651" w:rsidRPr="0027789B" w:rsidRDefault="000C1651" w:rsidP="00DB7FE0">
      <w:pPr>
        <w:pStyle w:val="Heading4"/>
      </w:pPr>
      <w:r w:rsidRPr="0027789B">
        <w:t>all other approvals and authorizations required for Seller to perform its obligations under this Agreement;</w:t>
      </w:r>
    </w:p>
    <w:p w14:paraId="4A5D0B7D" w14:textId="41AF5688" w:rsidR="000C1651" w:rsidRPr="0027789B" w:rsidRDefault="000C1651" w:rsidP="000C1651">
      <w:pPr>
        <w:pStyle w:val="Heading3"/>
      </w:pPr>
      <w:r w:rsidRPr="0027789B">
        <w:t xml:space="preserve">Seller has executed a </w:t>
      </w:r>
      <w:r w:rsidR="004826DF">
        <w:t>“</w:t>
      </w:r>
      <w:r w:rsidRPr="0084475D">
        <w:t>Participating Generator Agreement</w:t>
      </w:r>
      <w:r w:rsidR="004826DF">
        <w:t>”</w:t>
      </w:r>
      <w:r w:rsidRPr="0027789B">
        <w:t xml:space="preserve"> and/or </w:t>
      </w:r>
      <w:r w:rsidR="004826DF">
        <w:t>“</w:t>
      </w:r>
      <w:r w:rsidRPr="0084475D">
        <w:t>Participating Load Agreement</w:t>
      </w:r>
      <w:r w:rsidRPr="0027789B">
        <w:t>,</w:t>
      </w:r>
      <w:r w:rsidR="004826DF">
        <w:t>”</w:t>
      </w:r>
      <w:r w:rsidRPr="0027789B">
        <w:t xml:space="preserve"> as applicable, </w:t>
      </w:r>
      <w:r w:rsidR="004826DF">
        <w:t>“</w:t>
      </w:r>
      <w:r w:rsidRPr="0084475D">
        <w:t xml:space="preserve">Meter Service Agreement </w:t>
      </w:r>
      <w:r w:rsidRPr="0084475D">
        <w:rPr>
          <w:rStyle w:val="DeltaViewInsertion"/>
          <w:rFonts w:eastAsia="MS Mincho"/>
          <w:b w:val="0"/>
          <w:u w:val="none"/>
        </w:rPr>
        <w:t>For CAISO Metered Entities</w:t>
      </w:r>
      <w:r w:rsidR="004826DF">
        <w:rPr>
          <w:rStyle w:val="DeltaViewInsertion"/>
          <w:rFonts w:eastAsia="MS Mincho"/>
          <w:b w:val="0"/>
          <w:u w:val="none"/>
        </w:rPr>
        <w:t>,” as those terms are defined in the CAISO Tariff</w:t>
      </w:r>
      <w:r w:rsidRPr="0027789B">
        <w:t>, and any other forms or agreements required by the CAISO with respect to the Project, and delivered true and complete copies of all such forms and agreements to SCE;</w:t>
      </w:r>
    </w:p>
    <w:p w14:paraId="6E8E949F" w14:textId="77777777" w:rsidR="000C1651" w:rsidRPr="0027789B" w:rsidRDefault="000C1651" w:rsidP="000C1651">
      <w:pPr>
        <w:pStyle w:val="Heading3"/>
      </w:pPr>
      <w:r w:rsidRPr="0027789B">
        <w:t>If Seller has exercised its Energy Put Option for the first Contract Year, Seller has taken all actions and executed all documents and instruments, required to authorize SCE to act as Scheduling Coordinator under this Agreement, and SCE is authorized to act as Scheduling Coordinator;</w:t>
      </w:r>
    </w:p>
    <w:p w14:paraId="6EE88C46" w14:textId="77777777" w:rsidR="000C1651" w:rsidRPr="0027789B" w:rsidRDefault="000C1651" w:rsidP="000C1651">
      <w:pPr>
        <w:pStyle w:val="Heading3"/>
      </w:pPr>
      <w:r w:rsidRPr="0027789B">
        <w:t xml:space="preserve">Seller has entered into and complied in all material respects with all obligations under all interconnection agreements required to enable parallel </w:t>
      </w:r>
      <w:r w:rsidRPr="0027789B">
        <w:lastRenderedPageBreak/>
        <w:t>operation of the Project with the Transmission Provider’s electric system and the CAISO Controlled Grid;</w:t>
      </w:r>
    </w:p>
    <w:p w14:paraId="6A5A44A6" w14:textId="15C926B7" w:rsidR="000C1651" w:rsidRPr="008923FE" w:rsidRDefault="000C1651" w:rsidP="000C1651">
      <w:pPr>
        <w:pStyle w:val="Heading3"/>
      </w:pPr>
      <w:r w:rsidRPr="00165EAE">
        <w:t>Selle</w:t>
      </w:r>
      <w:r w:rsidRPr="008923FE">
        <w:t xml:space="preserve">r has deposited with SCE the applicable Performance Assurance pursuant to Section </w:t>
      </w:r>
      <w:r w:rsidR="009B2ACF">
        <w:t>7</w:t>
      </w:r>
      <w:r w:rsidRPr="008923FE">
        <w:t>.02(a);</w:t>
      </w:r>
    </w:p>
    <w:p w14:paraId="240891D0" w14:textId="4509FC80" w:rsidR="000C1651" w:rsidRPr="00165EAE" w:rsidRDefault="000C1651" w:rsidP="000C1651">
      <w:pPr>
        <w:pStyle w:val="Heading3"/>
      </w:pPr>
      <w:r w:rsidRPr="008923FE">
        <w:t xml:space="preserve">Seller has executed and delivered to SCE all other documents or instruments required under Article </w:t>
      </w:r>
      <w:r w:rsidR="009B2ACF">
        <w:t>7</w:t>
      </w:r>
      <w:r w:rsidR="008923FE">
        <w:t xml:space="preserve"> (Credit and Collateral)</w:t>
      </w:r>
      <w:r w:rsidRPr="00165EAE">
        <w:t>;</w:t>
      </w:r>
    </w:p>
    <w:p w14:paraId="77CE958D" w14:textId="77777777" w:rsidR="000C1651" w:rsidRPr="0027789B" w:rsidRDefault="000C1651" w:rsidP="000C1651">
      <w:pPr>
        <w:pStyle w:val="Heading3"/>
      </w:pPr>
      <w:r w:rsidRPr="0027789B">
        <w:t>SCE shall have obtained or waived CPUC Approval;</w:t>
      </w:r>
    </w:p>
    <w:p w14:paraId="4B4C3CE1" w14:textId="7A26928F" w:rsidR="000C1651" w:rsidRPr="0027789B" w:rsidRDefault="000C1651" w:rsidP="000C1651">
      <w:pPr>
        <w:pStyle w:val="Heading3"/>
      </w:pPr>
      <w:r w:rsidRPr="0027789B">
        <w:t xml:space="preserve">Seller has delivered to SCE all insurance documents required </w:t>
      </w:r>
      <w:r w:rsidRPr="000B3399">
        <w:t>under Section</w:t>
      </w:r>
      <w:r w:rsidRPr="0027789B">
        <w:t xml:space="preserve"> </w:t>
      </w:r>
      <w:r w:rsidR="001B1A90">
        <w:t>14.07</w:t>
      </w:r>
      <w:r w:rsidR="000B3399">
        <w:t xml:space="preserve"> (Insurance)</w:t>
      </w:r>
      <w:r w:rsidRPr="0027789B">
        <w:t>;</w:t>
      </w:r>
    </w:p>
    <w:p w14:paraId="46C86AEA" w14:textId="77777777" w:rsidR="000C1651" w:rsidRPr="0027789B" w:rsidRDefault="000C1651" w:rsidP="000C1651">
      <w:pPr>
        <w:pStyle w:val="Heading3"/>
      </w:pPr>
      <w:r w:rsidRPr="0027789B">
        <w:t>Seller has obtained CAISO Certification for each Storage Unit;</w:t>
      </w:r>
    </w:p>
    <w:p w14:paraId="11BA716C" w14:textId="3CE51E25" w:rsidR="000C1651" w:rsidRPr="0027789B" w:rsidRDefault="0093313C" w:rsidP="000C1651">
      <w:pPr>
        <w:pStyle w:val="Heading3"/>
      </w:pPr>
      <w:r>
        <w:t>Seller has obtained and delivered to SCE a certification that the Project is fully deliverable, as determined by the CAISO, for the purposes of counting an amount equal to the Contract Capacity towards RA Compliance Obligations</w:t>
      </w:r>
      <w:r w:rsidR="000C1651" w:rsidRPr="0027789B">
        <w:t xml:space="preserve">; </w:t>
      </w:r>
    </w:p>
    <w:p w14:paraId="389DEA9E" w14:textId="77777777" w:rsidR="000C1651" w:rsidRPr="0027789B" w:rsidRDefault="000C1651" w:rsidP="000C1651">
      <w:pPr>
        <w:pStyle w:val="Heading3"/>
      </w:pPr>
      <w:r w:rsidRPr="0027789B">
        <w:t>Seller has paid to SCE the full amount of the Excess Network Upgrade Costs, if applicable;</w:t>
      </w:r>
    </w:p>
    <w:p w14:paraId="1D3E7396" w14:textId="77777777" w:rsidR="000C1651" w:rsidRDefault="000C1651" w:rsidP="000C1651">
      <w:pPr>
        <w:pStyle w:val="Heading3"/>
      </w:pPr>
      <w:r w:rsidRPr="0027789B">
        <w:t>Seller has taken all actions and executed all agreements, documents and instruments required for the delivery of Charging Energy Requirements to the Storage Unit(s), including the ability to charge the Storage Unit(s) with electric energy without restrictions or limitations at any time and at a rate equal to at least the Charging Capacity,</w:t>
      </w:r>
      <w:r w:rsidRPr="0027789B">
        <w:rPr>
          <w:i/>
        </w:rPr>
        <w:t xml:space="preserve"> </w:t>
      </w:r>
      <w:r w:rsidRPr="0027789B">
        <w:t xml:space="preserve">and is in compliance in all material respects with all obligations under such agreements, documents and instruments; </w:t>
      </w:r>
    </w:p>
    <w:p w14:paraId="6E22B4E3" w14:textId="611B632D" w:rsidR="000B29F3" w:rsidRPr="0027789B" w:rsidRDefault="000B29F3" w:rsidP="00DB7FE0">
      <w:pPr>
        <w:pStyle w:val="Heading3"/>
      </w:pPr>
      <w:r>
        <w:t xml:space="preserve">If Seller has exercised its Energy Put Option for the first Contract Year, </w:t>
      </w:r>
      <w:r w:rsidRPr="0027789B">
        <w:t>Seller shall</w:t>
      </w:r>
      <w:r>
        <w:t>, a</w:t>
      </w:r>
      <w:r w:rsidRPr="0027789B">
        <w:t xml:space="preserve">t least thirty (30) days prior to the Expected Initial Delivery Date,  provide SCE with all facility and metering information necessary to communicate with SCE as may be requested by SCE including the information set </w:t>
      </w:r>
      <w:r w:rsidRPr="009676F1">
        <w:t xml:space="preserve">forth </w:t>
      </w:r>
      <w:r w:rsidRPr="00D01883">
        <w:t xml:space="preserve">in </w:t>
      </w:r>
      <w:r w:rsidRPr="000B29F3">
        <w:rPr>
          <w:u w:val="single"/>
        </w:rPr>
        <w:t xml:space="preserve">Exhibit </w:t>
      </w:r>
      <w:r w:rsidR="00CF10CD">
        <w:rPr>
          <w:u w:val="single"/>
        </w:rPr>
        <w:t>F</w:t>
      </w:r>
      <w:r w:rsidR="00C2528E">
        <w:t>;</w:t>
      </w:r>
    </w:p>
    <w:p w14:paraId="7FE50034" w14:textId="0A0C2F05" w:rsidR="000C1651" w:rsidRPr="0027789B" w:rsidRDefault="000C1651" w:rsidP="000C1651">
      <w:pPr>
        <w:pStyle w:val="Heading3"/>
      </w:pPr>
      <w:r w:rsidRPr="0027789B">
        <w:t xml:space="preserve">Seller has obtained a Unit NQC for each Storage Unit and the Unit NQC for each such Storage Unit is not less than </w:t>
      </w:r>
      <w:r>
        <w:t>seventy</w:t>
      </w:r>
      <w:r w:rsidRPr="0027789B">
        <w:t>-five percent (</w:t>
      </w:r>
      <w:r>
        <w:t>7</w:t>
      </w:r>
      <w:r w:rsidRPr="0027789B">
        <w:t>5%) of the Predicted SU Capacity</w:t>
      </w:r>
      <w:r w:rsidR="00244EFE">
        <w:t xml:space="preserve">, as set forth in </w:t>
      </w:r>
      <w:r w:rsidR="00244EFE" w:rsidRPr="00561154">
        <w:rPr>
          <w:u w:val="single"/>
        </w:rPr>
        <w:t>Exhibit B</w:t>
      </w:r>
      <w:r w:rsidR="00244EFE">
        <w:t>,</w:t>
      </w:r>
      <w:r w:rsidRPr="0027789B">
        <w:t xml:space="preserve"> for such Storage Unit; and</w:t>
      </w:r>
    </w:p>
    <w:p w14:paraId="0F45CC5F" w14:textId="0A8FA3B6" w:rsidR="000C1651" w:rsidRPr="0027789B" w:rsidRDefault="000C1651" w:rsidP="000C1651">
      <w:pPr>
        <w:pStyle w:val="Heading3"/>
      </w:pPr>
      <w:r w:rsidRPr="0027789B">
        <w:t xml:space="preserve">Seller has obtained a Unit EFC for each Storage Unit and the Unit EFC for each such Storage Unit is not less than </w:t>
      </w:r>
      <w:r>
        <w:t>seventy</w:t>
      </w:r>
      <w:r w:rsidRPr="0027789B">
        <w:t>-five percent (</w:t>
      </w:r>
      <w:r>
        <w:t>7</w:t>
      </w:r>
      <w:r w:rsidRPr="0027789B">
        <w:t>5%) of the Predicted SU Flexible Capacity</w:t>
      </w:r>
      <w:r w:rsidR="00535922">
        <w:t xml:space="preserve">, as set forth in </w:t>
      </w:r>
      <w:r w:rsidR="00535922" w:rsidRPr="00561154">
        <w:rPr>
          <w:u w:val="single"/>
        </w:rPr>
        <w:t>Exhibit B</w:t>
      </w:r>
      <w:r w:rsidR="00535922">
        <w:t>,</w:t>
      </w:r>
      <w:r w:rsidRPr="0027789B">
        <w:t xml:space="preserve"> for such Storage Unit.</w:t>
      </w:r>
    </w:p>
    <w:p w14:paraId="2C26C2DC" w14:textId="2A664F43" w:rsidR="000C1651" w:rsidRPr="0027789B" w:rsidRDefault="000C1651" w:rsidP="000C1651">
      <w:pPr>
        <w:pStyle w:val="Heading2Text"/>
      </w:pPr>
      <w:r w:rsidRPr="0027789B">
        <w:lastRenderedPageBreak/>
        <w:t>The Parties agree that, in order for Seller to obtain the Initial Delivery Date, the Parties may have to perform certain of their Delivery Period obligations in advance of the Initial Delivery Date, including providing Outage Schedules and Supply Plans and, if Seller has exercised its Energy Put Option for the first Contract Year, Seller delivering an Availability Notice for the Initial Delivery Date, and SCE delivering a Dispatch Notice and scheduling the Project’s energy requirements for the Initial Delivery Date</w:t>
      </w:r>
      <w:r>
        <w:t xml:space="preserve">. </w:t>
      </w:r>
      <w:r w:rsidRPr="0027789B">
        <w:t>The Parties shall cooperate with each other in order for SCE to be able to utilize the Project beginning on the Initial Delivery Date and, if Seller has not exercised its Energy Put Option for the first Contract Year, Seller agrees to cause each Storage Unit’s SC to cooperate in order to achieve the same</w:t>
      </w:r>
      <w:r>
        <w:t xml:space="preserve">. </w:t>
      </w:r>
    </w:p>
    <w:p w14:paraId="660E4684" w14:textId="1B599798" w:rsidR="000C1651" w:rsidRPr="0027789B" w:rsidRDefault="000C1651" w:rsidP="000C1651">
      <w:pPr>
        <w:pStyle w:val="Heading2Text"/>
      </w:pPr>
      <w:r w:rsidRPr="0027789B">
        <w:t>The Parties further agree that, in order for the Parties to transition between RA Periods and Put Periods, the Parties may have to perform certain of their obligations in advance of such transition, including providing Supply Plans and delivering Availability Notices, Charging Notices and Dispatch Notices</w:t>
      </w:r>
      <w:r>
        <w:t xml:space="preserve">. </w:t>
      </w:r>
      <w:r w:rsidRPr="0027789B">
        <w:t>The Parties shall cooperate with each other in order for SCE to be able to utilize the Product between such transitions, and, if applicable, Seller agrees to cause each Storage Unit’s SC to cooperate in order to achieve the same</w:t>
      </w:r>
      <w:r>
        <w:t xml:space="preserve">. </w:t>
      </w:r>
    </w:p>
    <w:p w14:paraId="51A6304A" w14:textId="716E651F" w:rsidR="00633AAC" w:rsidRDefault="00633AAC" w:rsidP="00DB7FE0">
      <w:pPr>
        <w:pStyle w:val="Heading2"/>
      </w:pPr>
      <w:bookmarkStart w:id="68" w:name="_Toc510788226"/>
      <w:r>
        <w:t>Initial Delivery Deadline</w:t>
      </w:r>
      <w:r w:rsidRPr="00633AAC">
        <w:rPr>
          <w:u w:val="none"/>
        </w:rPr>
        <w:t>.</w:t>
      </w:r>
      <w:bookmarkEnd w:id="68"/>
    </w:p>
    <w:p w14:paraId="4CB41290" w14:textId="2EBB8634" w:rsidR="000C1651" w:rsidRPr="0027789B" w:rsidRDefault="000C1651" w:rsidP="000C1651">
      <w:pPr>
        <w:pStyle w:val="Heading2Text"/>
      </w:pPr>
      <w:r w:rsidRPr="0084576D">
        <w:t xml:space="preserve">Subject to Seller’s right to extend the Expected Initial Delivery Date as set forth in </w:t>
      </w:r>
      <w:r w:rsidRPr="002F5C7B">
        <w:t xml:space="preserve">Sections </w:t>
      </w:r>
      <w:r w:rsidR="009B2ACF">
        <w:t>8</w:t>
      </w:r>
      <w:r w:rsidRPr="002F5C7B">
        <w:t>.03(a)</w:t>
      </w:r>
      <w:r w:rsidRPr="0027789B">
        <w:t xml:space="preserve"> </w:t>
      </w:r>
      <w:r w:rsidRPr="00541852">
        <w:t>and 2.0</w:t>
      </w:r>
      <w:r w:rsidR="00633AAC">
        <w:t>6</w:t>
      </w:r>
      <w:r w:rsidRPr="00541852">
        <w:t>, Seller</w:t>
      </w:r>
      <w:r w:rsidRPr="0027789B">
        <w:t xml:space="preserve"> must achieve Initial Delivery by the Expected Initial Delivery Date; provided, notwithstanding anything in this Agreement to the contrary, Seller must achieve Initial Delivery by </w:t>
      </w:r>
      <w:r w:rsidRPr="00DB7FE0">
        <w:rPr>
          <w:i/>
          <w:color w:val="0000FF"/>
        </w:rPr>
        <w:t xml:space="preserve">[Insert date that is </w:t>
      </w:r>
      <w:r w:rsidR="00BF6D3B">
        <w:rPr>
          <w:i/>
          <w:color w:val="0000FF"/>
        </w:rPr>
        <w:t>ninety</w:t>
      </w:r>
      <w:r w:rsidRPr="00DB7FE0">
        <w:rPr>
          <w:i/>
          <w:color w:val="0000FF"/>
        </w:rPr>
        <w:t xml:space="preserve"> (</w:t>
      </w:r>
      <w:r w:rsidR="00BF6D3B">
        <w:rPr>
          <w:i/>
          <w:color w:val="0000FF"/>
        </w:rPr>
        <w:t>9</w:t>
      </w:r>
      <w:r w:rsidRPr="00DB7FE0">
        <w:rPr>
          <w:i/>
          <w:color w:val="0000FF"/>
        </w:rPr>
        <w:t>0) days after the Expected Initial Delivery Date]</w:t>
      </w:r>
      <w:r w:rsidRPr="00546E7F">
        <w:rPr>
          <w:i/>
          <w:color w:val="FF0000"/>
        </w:rPr>
        <w:t xml:space="preserve"> </w:t>
      </w:r>
      <w:r w:rsidRPr="00546E7F">
        <w:t>(the “</w:t>
      </w:r>
      <w:r w:rsidRPr="00546E7F">
        <w:rPr>
          <w:u w:val="single"/>
        </w:rPr>
        <w:t>Initial</w:t>
      </w:r>
      <w:r w:rsidRPr="0027789B">
        <w:rPr>
          <w:u w:val="single"/>
        </w:rPr>
        <w:t xml:space="preserve"> Delivery Deadline</w:t>
      </w:r>
      <w:r w:rsidRPr="0027789B">
        <w:t>”).</w:t>
      </w:r>
    </w:p>
    <w:p w14:paraId="33390BA2" w14:textId="3B72FF09" w:rsidR="000C1651" w:rsidRPr="00FF157D" w:rsidRDefault="000C1651" w:rsidP="000C1651">
      <w:pPr>
        <w:pStyle w:val="Heading2"/>
        <w:keepNext w:val="0"/>
        <w:keepLines w:val="0"/>
        <w:rPr>
          <w:u w:val="none"/>
        </w:rPr>
      </w:pPr>
      <w:bookmarkStart w:id="69" w:name="_Toc510788227"/>
      <w:bookmarkStart w:id="70" w:name="_Toc467577476"/>
      <w:bookmarkStart w:id="71" w:name="_Toc470014736"/>
      <w:bookmarkStart w:id="72" w:name="_Toc470855929"/>
      <w:bookmarkStart w:id="73" w:name="_Toc467577474"/>
      <w:bookmarkStart w:id="74" w:name="_Toc470014734"/>
      <w:bookmarkStart w:id="75" w:name="_Toc470855927"/>
      <w:r w:rsidRPr="0027789B">
        <w:rPr>
          <w:rStyle w:val="Heading2Char"/>
        </w:rPr>
        <w:t>Daily Delay Liquidated Damages to Extend Expected</w:t>
      </w:r>
      <w:r w:rsidRPr="0027789B">
        <w:t xml:space="preserve"> Initial Delivery Date</w:t>
      </w:r>
      <w:r w:rsidRPr="00FF157D">
        <w:rPr>
          <w:u w:val="none"/>
        </w:rPr>
        <w:t>.</w:t>
      </w:r>
      <w:bookmarkEnd w:id="69"/>
    </w:p>
    <w:p w14:paraId="2E802037" w14:textId="262B692A" w:rsidR="000C1651" w:rsidRPr="0027789B" w:rsidRDefault="000C1651" w:rsidP="000C1651">
      <w:pPr>
        <w:pStyle w:val="Heading2Text"/>
      </w:pPr>
      <w:r w:rsidRPr="0027789B">
        <w:t xml:space="preserve">Seller may extend the Expected Initial Delivery Date by paying to SCE liquidated damages in an amount equal to </w:t>
      </w:r>
      <w:r w:rsidR="00A62078">
        <w:t>two</w:t>
      </w:r>
      <w:r w:rsidR="00A62078" w:rsidRPr="0027789B">
        <w:t xml:space="preserve"> </w:t>
      </w:r>
      <w:r w:rsidRPr="0027789B">
        <w:t>percent (</w:t>
      </w:r>
      <w:r w:rsidR="00A62078">
        <w:t>2</w:t>
      </w:r>
      <w:r w:rsidRPr="0027789B">
        <w:t>%) of the Development Security per day for each day (or portion thereof) from and including the original Expected Initial Delivery Date to and excluding the actual date that the Project achieves Initial Delivery (“</w:t>
      </w:r>
      <w:r w:rsidRPr="00FF157D">
        <w:rPr>
          <w:u w:val="single"/>
        </w:rPr>
        <w:t>Daily Delay Liquidated Damages</w:t>
      </w:r>
      <w:r w:rsidRPr="0027789B">
        <w:t>”)</w:t>
      </w:r>
      <w:r>
        <w:t xml:space="preserve">. </w:t>
      </w:r>
    </w:p>
    <w:p w14:paraId="0460BA12" w14:textId="77777777" w:rsidR="000C1651" w:rsidRPr="0027789B" w:rsidRDefault="000C1651" w:rsidP="000C1651">
      <w:pPr>
        <w:pStyle w:val="Heading2Text"/>
      </w:pPr>
      <w:r w:rsidRPr="0027789B">
        <w:t>To extend the Expected Initial Delivery Date, Seller must, at the earliest possible time, but no later than 6</w:t>
      </w:r>
      <w:r>
        <w:t>:00</w:t>
      </w:r>
      <w:r w:rsidRPr="0027789B">
        <w:t xml:space="preserve"> a.m. on the first day of the proposed Expected Initial Delivery Date extension, provide SCE with Notice of its election to extend the Expected Initial Delivery Date along with Seller’s estimate of the duration of the extension and its payment of Daily Delay Liquidated Damages for the full estimated Expected Initial Delivery Date extension period.</w:t>
      </w:r>
    </w:p>
    <w:p w14:paraId="0DCF0116" w14:textId="77777777" w:rsidR="000C1651" w:rsidRPr="0027789B" w:rsidRDefault="000C1651" w:rsidP="000C1651">
      <w:pPr>
        <w:pStyle w:val="Heading2Text"/>
      </w:pPr>
      <w:r w:rsidRPr="0027789B">
        <w:lastRenderedPageBreak/>
        <w:t>Seller may further extend the Expected Initial Delivery Date beyond the original Expected Initial Delivery Date extension period subject to the same terms applicable to the original Expected Initial Delivery Date extension.</w:t>
      </w:r>
    </w:p>
    <w:p w14:paraId="5969537A" w14:textId="77777777" w:rsidR="000C1651" w:rsidRPr="0027789B" w:rsidRDefault="000C1651" w:rsidP="000C1651">
      <w:pPr>
        <w:pStyle w:val="Heading2Text"/>
      </w:pPr>
      <w:r w:rsidRPr="0027789B">
        <w:t>The Daily Delay Liquidated Damages payments applicable to days included in any Expected Initial Delivery Date extension are nonrefundable and are in addition to, and not a part of, the Development Security.</w:t>
      </w:r>
    </w:p>
    <w:p w14:paraId="38B448C9" w14:textId="77777777" w:rsidR="000C1651" w:rsidRPr="0027789B" w:rsidRDefault="000C1651" w:rsidP="000C1651">
      <w:pPr>
        <w:pStyle w:val="Heading2Text"/>
      </w:pPr>
      <w:r w:rsidRPr="0027789B">
        <w:t>Seller will be entitled to a refund (without interest) of any estimated Daily Delay Liquidated Damages payments paid by Seller which exceed the amount required to cover the number of days by which the Expected Initial Delivery Date was actually extended.</w:t>
      </w:r>
    </w:p>
    <w:p w14:paraId="7D98A16A" w14:textId="21B92E4D" w:rsidR="000C1651" w:rsidRDefault="000C1651" w:rsidP="000C1651">
      <w:pPr>
        <w:pStyle w:val="Heading2Text"/>
      </w:pPr>
      <w:r w:rsidRPr="0027789B">
        <w:t xml:space="preserve">In no event may Seller extend the Expected Initial Delivery Date for more than a total of </w:t>
      </w:r>
      <w:r w:rsidR="00A62078">
        <w:t>ninety</w:t>
      </w:r>
      <w:r w:rsidRPr="0027789B">
        <w:t xml:space="preserve"> (</w:t>
      </w:r>
      <w:r w:rsidR="00A62078">
        <w:t>9</w:t>
      </w:r>
      <w:r w:rsidRPr="0027789B">
        <w:t>0) days by the payment of Daily Delay Liquidated Damages.</w:t>
      </w:r>
      <w:bookmarkEnd w:id="70"/>
      <w:bookmarkEnd w:id="71"/>
      <w:bookmarkEnd w:id="72"/>
      <w:bookmarkEnd w:id="73"/>
      <w:bookmarkEnd w:id="74"/>
      <w:bookmarkEnd w:id="75"/>
    </w:p>
    <w:p w14:paraId="3AF0F0B2" w14:textId="77777777" w:rsidR="00546E7F" w:rsidRPr="00477BAF" w:rsidRDefault="00546E7F" w:rsidP="00546E7F">
      <w:pPr>
        <w:pStyle w:val="Heading2"/>
        <w:keepNext w:val="0"/>
        <w:keepLines w:val="0"/>
        <w:rPr>
          <w:u w:val="none"/>
        </w:rPr>
      </w:pPr>
      <w:bookmarkStart w:id="76" w:name="_Toc510788228"/>
      <w:r>
        <w:t>CPUC</w:t>
      </w:r>
      <w:r w:rsidRPr="0027789B">
        <w:t xml:space="preserve"> Approval</w:t>
      </w:r>
      <w:r w:rsidRPr="00477BAF">
        <w:rPr>
          <w:u w:val="none"/>
        </w:rPr>
        <w:t>.</w:t>
      </w:r>
      <w:bookmarkEnd w:id="76"/>
    </w:p>
    <w:p w14:paraId="484E9F46" w14:textId="77777777" w:rsidR="00546E7F" w:rsidRDefault="00546E7F" w:rsidP="00546E7F">
      <w:pPr>
        <w:pStyle w:val="Heading2Text"/>
      </w:pPr>
      <w:bookmarkStart w:id="77" w:name="_Ref91761425"/>
      <w:r w:rsidRPr="00867921">
        <w:t>Within ninety (90) days after the Effective Date, SCE shall file with the CPUC the appropriate request for CPUC Approval</w:t>
      </w:r>
      <w:r>
        <w:t xml:space="preserve">. </w:t>
      </w:r>
      <w:r w:rsidRPr="00867921">
        <w:t>SCE shall expeditiously seek CPUC Approval, including promptly responding to any requests for information related to the request for CPUC Approval</w:t>
      </w:r>
      <w:r>
        <w:t xml:space="preserve">. </w:t>
      </w:r>
      <w:r w:rsidRPr="00867921">
        <w:t>As requested by SCE, Seller shall use commercially reasonable efforts to support SCE in obtaining CPUC Approval</w:t>
      </w:r>
      <w:r>
        <w:t xml:space="preserve">. </w:t>
      </w:r>
      <w:r w:rsidRPr="00867921">
        <w:t>SCE has no obligation to seek rehearing or to appeal a CPUC decision which fails to approve this Agreement or which contains findings required for CPUC Approval with conditions or modifications unacceptable to SCE.</w:t>
      </w:r>
    </w:p>
    <w:p w14:paraId="0B412CA1" w14:textId="784666AC" w:rsidR="00546E7F" w:rsidRPr="0027789B" w:rsidRDefault="00546E7F" w:rsidP="00546E7F">
      <w:pPr>
        <w:pStyle w:val="Heading2Text"/>
      </w:pPr>
      <w:r w:rsidRPr="0027789B">
        <w:t xml:space="preserve">Either Party has the right to terminate this Agreement on Notice, which will be effective five (5) Business Days after such Notice is given, if </w:t>
      </w:r>
      <w:bookmarkEnd w:id="77"/>
      <w:r>
        <w:t xml:space="preserve">(i) </w:t>
      </w:r>
      <w:r w:rsidRPr="0027789B">
        <w:t xml:space="preserve">CPUC Approval has not been obtained or waived by SCE in its sole discretion </w:t>
      </w:r>
      <w:r>
        <w:t>within three hundred sixty-five (365) days after SCE files its request for CPUC Approval</w:t>
      </w:r>
      <w:r w:rsidRPr="0027789B">
        <w:t xml:space="preserve"> and </w:t>
      </w:r>
      <w:r>
        <w:t xml:space="preserve">(ii) </w:t>
      </w:r>
      <w:r w:rsidRPr="0027789B">
        <w:t xml:space="preserve">a Notice of termination is given on or before </w:t>
      </w:r>
      <w:r>
        <w:t xml:space="preserve">the </w:t>
      </w:r>
      <w:r w:rsidR="0078334A">
        <w:t xml:space="preserve">date CPUC Approval is obtained. </w:t>
      </w:r>
    </w:p>
    <w:p w14:paraId="5E59DB0D" w14:textId="3725DB8B" w:rsidR="00546E7F" w:rsidRPr="0027789B" w:rsidRDefault="00546E7F" w:rsidP="00546E7F">
      <w:pPr>
        <w:pStyle w:val="Heading2Text"/>
      </w:pPr>
      <w:r w:rsidRPr="009676F1">
        <w:t>Failure to obtain CPUC Approval in accordance wit</w:t>
      </w:r>
      <w:r w:rsidRPr="00B06EAD">
        <w:t>h this Section</w:t>
      </w:r>
      <w:r w:rsidR="00B06EAD" w:rsidRPr="00B06EAD">
        <w:t xml:space="preserve"> 2.0</w:t>
      </w:r>
      <w:r w:rsidR="00633AAC">
        <w:t>7</w:t>
      </w:r>
      <w:r w:rsidRPr="00B06EAD">
        <w:t xml:space="preserve"> will not</w:t>
      </w:r>
      <w:r>
        <w:t xml:space="preserve"> be deemed to be a failure of Seller to install the Project or a failure of SCE to purchase or receive the Product, and will not be or cause an Event of Default by either Party. No Forward Settlement Amount with respect to this Agreement </w:t>
      </w:r>
      <w:r w:rsidRPr="0027789B">
        <w:t xml:space="preserve">will be due or owing by either Party </w:t>
      </w:r>
      <w:r>
        <w:t>upon termination of this Agreement due solely to failure to obtain CPUC Approval</w:t>
      </w:r>
      <w:r w:rsidRPr="0027789B">
        <w:t>.</w:t>
      </w:r>
    </w:p>
    <w:p w14:paraId="3E918B81" w14:textId="42642715" w:rsidR="00807376" w:rsidRPr="0027789B" w:rsidRDefault="00807376" w:rsidP="00807376">
      <w:pPr>
        <w:pStyle w:val="Heading1"/>
        <w:keepNext w:val="0"/>
        <w:keepLines w:val="0"/>
      </w:pPr>
      <w:bookmarkStart w:id="78" w:name="_Toc510788229"/>
      <w:bookmarkEnd w:id="47"/>
      <w:bookmarkEnd w:id="48"/>
      <w:bookmarkEnd w:id="49"/>
      <w:r w:rsidRPr="0027789B">
        <w:t>BILLING</w:t>
      </w:r>
      <w:bookmarkEnd w:id="50"/>
      <w:bookmarkEnd w:id="51"/>
      <w:bookmarkEnd w:id="52"/>
      <w:r w:rsidR="00546E7F">
        <w:t xml:space="preserve"> </w:t>
      </w:r>
      <w:r w:rsidR="006A274A">
        <w:t>AND PAYMENTS</w:t>
      </w:r>
      <w:bookmarkEnd w:id="78"/>
    </w:p>
    <w:p w14:paraId="70A1A72E" w14:textId="77777777" w:rsidR="00807376" w:rsidRPr="00FF157D" w:rsidRDefault="00807376" w:rsidP="00807376">
      <w:pPr>
        <w:pStyle w:val="Heading2"/>
        <w:keepNext w:val="0"/>
        <w:keepLines w:val="0"/>
        <w:rPr>
          <w:u w:val="none"/>
        </w:rPr>
      </w:pPr>
      <w:bookmarkStart w:id="79" w:name="_Toc467577524"/>
      <w:bookmarkStart w:id="80" w:name="_Toc470014784"/>
      <w:bookmarkStart w:id="81" w:name="_Toc470855975"/>
      <w:bookmarkStart w:id="82" w:name="_Toc510788230"/>
      <w:r w:rsidRPr="0027789B">
        <w:t>Billing Period</w:t>
      </w:r>
      <w:r w:rsidRPr="00FF157D">
        <w:rPr>
          <w:u w:val="none"/>
        </w:rPr>
        <w:t>.</w:t>
      </w:r>
      <w:bookmarkEnd w:id="79"/>
      <w:bookmarkEnd w:id="80"/>
      <w:bookmarkEnd w:id="81"/>
      <w:bookmarkEnd w:id="82"/>
    </w:p>
    <w:p w14:paraId="31B8ED67" w14:textId="7CBCD22A" w:rsidR="00633AAC" w:rsidRDefault="00807376" w:rsidP="00807376">
      <w:pPr>
        <w:pStyle w:val="Heading2Text"/>
      </w:pPr>
      <w:r w:rsidRPr="0027789B">
        <w:lastRenderedPageBreak/>
        <w:t>The calendar month shall be the standard period for all payments under this Agreement (other than Termination Payments)</w:t>
      </w:r>
      <w:r>
        <w:t xml:space="preserve">. </w:t>
      </w:r>
      <w:r w:rsidRPr="0027789B">
        <w:t>On or before the last Business Day of the month following the applicable month for which payment obligations are calculated, SCE shall issue an invoice for the payment obligations, if any, incurred hereunder during such month</w:t>
      </w:r>
      <w:r w:rsidR="0099469E">
        <w:t xml:space="preserve"> </w:t>
      </w:r>
      <w:r w:rsidR="0099469E" w:rsidRPr="0027789B">
        <w:t>together with all supporting documentation and calculations reasonably necessary to evidence all amounts charged thereunder</w:t>
      </w:r>
      <w:r w:rsidR="0099469E">
        <w:t xml:space="preserve">, </w:t>
      </w:r>
      <w:r w:rsidRPr="0027789B">
        <w:t>provided that the Monthly Capacity Payment related to a Showing Month will not be deemed to be incurred until such Showing Month has concluded (the “</w:t>
      </w:r>
      <w:r w:rsidRPr="00FF157D">
        <w:rPr>
          <w:u w:val="single"/>
        </w:rPr>
        <w:t>Obligation Month</w:t>
      </w:r>
      <w:r w:rsidRPr="0027789B">
        <w:t>”)</w:t>
      </w:r>
      <w:r>
        <w:t xml:space="preserve">. </w:t>
      </w:r>
    </w:p>
    <w:p w14:paraId="04A25BF6" w14:textId="52824DB7" w:rsidR="00633AAC" w:rsidRDefault="00807376" w:rsidP="00807376">
      <w:pPr>
        <w:pStyle w:val="Heading2Text"/>
      </w:pPr>
      <w:r w:rsidRPr="0027789B">
        <w:t xml:space="preserve">An invoice can only </w:t>
      </w:r>
      <w:r w:rsidRPr="00362F4D">
        <w:t xml:space="preserve">be adjusted or amended after it was originally rendered within the time frames set forth in </w:t>
      </w:r>
      <w:r w:rsidRPr="0024612D">
        <w:t>Section</w:t>
      </w:r>
      <w:r w:rsidR="0024612D" w:rsidRPr="0024612D">
        <w:t xml:space="preserve"> 3</w:t>
      </w:r>
      <w:r w:rsidRPr="0024612D">
        <w:t>.03</w:t>
      </w:r>
      <w:r w:rsidRPr="00362F4D">
        <w:t xml:space="preserve">. </w:t>
      </w:r>
    </w:p>
    <w:p w14:paraId="04978F51" w14:textId="63AE8F0F" w:rsidR="00807376" w:rsidRPr="0027789B" w:rsidRDefault="00807376" w:rsidP="00807376">
      <w:pPr>
        <w:pStyle w:val="Heading2Text"/>
      </w:pPr>
      <w:r w:rsidRPr="00362F4D">
        <w:t>If an invoice is not rendered within twenty-four (24) months after the</w:t>
      </w:r>
      <w:r w:rsidRPr="0027789B">
        <w:t xml:space="preserve"> close of an Obligation Month, the right to any payment for that Obligation Month under this Agreement is waived.</w:t>
      </w:r>
    </w:p>
    <w:p w14:paraId="4561D6CA" w14:textId="77777777" w:rsidR="00807376" w:rsidRPr="00FF157D" w:rsidRDefault="00807376" w:rsidP="00807376">
      <w:pPr>
        <w:pStyle w:val="Heading2"/>
        <w:keepNext w:val="0"/>
        <w:keepLines w:val="0"/>
        <w:rPr>
          <w:u w:val="none"/>
        </w:rPr>
      </w:pPr>
      <w:bookmarkStart w:id="83" w:name="_Toc467577525"/>
      <w:bookmarkStart w:id="84" w:name="_Toc470014785"/>
      <w:bookmarkStart w:id="85" w:name="_Toc470855976"/>
      <w:bookmarkStart w:id="86" w:name="_Toc510788231"/>
      <w:r w:rsidRPr="0027789B">
        <w:t>Timeliness of Payment</w:t>
      </w:r>
      <w:r w:rsidRPr="00FF157D">
        <w:rPr>
          <w:u w:val="none"/>
        </w:rPr>
        <w:t>.</w:t>
      </w:r>
      <w:bookmarkEnd w:id="83"/>
      <w:bookmarkEnd w:id="84"/>
      <w:bookmarkEnd w:id="85"/>
      <w:bookmarkEnd w:id="86"/>
    </w:p>
    <w:p w14:paraId="5579DE58" w14:textId="2D8AFEDC" w:rsidR="00807376" w:rsidRPr="0027789B" w:rsidRDefault="00807376" w:rsidP="008B3C43">
      <w:pPr>
        <w:pStyle w:val="Heading2Text"/>
      </w:pPr>
      <w:r w:rsidRPr="0027789B">
        <w:t xml:space="preserve">SCE will make payments within ten (10) Business Days </w:t>
      </w:r>
      <w:r w:rsidR="00C40C7B">
        <w:t>after</w:t>
      </w:r>
      <w:r w:rsidR="00C40C7B" w:rsidRPr="0027789B">
        <w:t xml:space="preserve"> </w:t>
      </w:r>
      <w:r w:rsidRPr="0027789B">
        <w:t xml:space="preserve">issuing its invoice by ACH or similar method, or by other mutually agreeable methods, to the account designated by Seller. </w:t>
      </w:r>
      <w:r>
        <w:t xml:space="preserve">Any payment made after such ten (10) Business Day period shall include </w:t>
      </w:r>
      <w:r w:rsidR="003C33C2">
        <w:t xml:space="preserve">an Interest Payment. </w:t>
      </w:r>
    </w:p>
    <w:p w14:paraId="3F53C370" w14:textId="126F157D" w:rsidR="00807376" w:rsidRPr="0027789B" w:rsidRDefault="00807376" w:rsidP="00807376">
      <w:pPr>
        <w:pStyle w:val="Heading2Text"/>
      </w:pPr>
      <w:r w:rsidRPr="0027789B">
        <w:t>The Parties acknowledge that data necessary to calculate certain payment obligations of SCE and Seller under this Agreement may not be available at the time SCE issues the payment invoice with respect to a particular month</w:t>
      </w:r>
      <w:r>
        <w:t xml:space="preserve">. </w:t>
      </w:r>
      <w:r w:rsidRPr="0027789B">
        <w:t>Any such payment obligations, including related documentation supporting such obligations, shall be included in a subsequent payment invoice issued to Seller on or before the last Business Day of the month following the month that is the later of (</w:t>
      </w:r>
      <w:r w:rsidR="005A37EB">
        <w:t>x</w:t>
      </w:r>
      <w:r w:rsidRPr="0027789B">
        <w:t>) one hundred and twenty (120) days following the last day of the calendar month to which the data relates or (</w:t>
      </w:r>
      <w:r w:rsidR="005A37EB">
        <w:t>y</w:t>
      </w:r>
      <w:r w:rsidRPr="0027789B">
        <w:t>) thirty (30) days after the relevant CAISO final settlement data is available to SCE</w:t>
      </w:r>
      <w:r>
        <w:t xml:space="preserve">. </w:t>
      </w:r>
    </w:p>
    <w:p w14:paraId="0B7D87FE" w14:textId="77777777" w:rsidR="00807376" w:rsidRPr="00FF157D" w:rsidRDefault="00807376" w:rsidP="00807376">
      <w:pPr>
        <w:pStyle w:val="Heading2"/>
        <w:keepNext w:val="0"/>
        <w:keepLines w:val="0"/>
        <w:rPr>
          <w:u w:val="none"/>
        </w:rPr>
      </w:pPr>
      <w:bookmarkStart w:id="87" w:name="_Toc467577526"/>
      <w:bookmarkStart w:id="88" w:name="_Toc470014786"/>
      <w:bookmarkStart w:id="89" w:name="_Toc470855977"/>
      <w:bookmarkStart w:id="90" w:name="_Toc510788232"/>
      <w:r w:rsidRPr="0027789B">
        <w:t>Disputes and Adjustments of Invoices</w:t>
      </w:r>
      <w:r w:rsidRPr="00FF157D">
        <w:rPr>
          <w:u w:val="none"/>
        </w:rPr>
        <w:t>.</w:t>
      </w:r>
      <w:bookmarkEnd w:id="87"/>
      <w:bookmarkEnd w:id="88"/>
      <w:bookmarkEnd w:id="89"/>
      <w:bookmarkEnd w:id="90"/>
    </w:p>
    <w:p w14:paraId="69D6C8C1" w14:textId="77777777" w:rsidR="00807376" w:rsidRPr="0027789B" w:rsidRDefault="00807376" w:rsidP="00807376">
      <w:pPr>
        <w:pStyle w:val="Heading2Text"/>
      </w:pPr>
      <w:r w:rsidRPr="0027789B">
        <w:t xml:space="preserve">If Seller or SCE determines that a calculation is incorrect Seller or SCE, as the case may be, shall promptly recompute the amounts for the period of the inaccuracy based upon a correction of data and any payment affected by the adjustment or correction. </w:t>
      </w:r>
    </w:p>
    <w:p w14:paraId="6FE077C4" w14:textId="77777777" w:rsidR="00807376" w:rsidRPr="0027789B" w:rsidRDefault="00807376" w:rsidP="00807376">
      <w:pPr>
        <w:pStyle w:val="Heading2Text"/>
      </w:pPr>
      <w:r w:rsidRPr="0027789B">
        <w:t>Any amount due from SCE to Seller, or Seller to SCE, as the case may be, will be made as an adjustment to the next monthly payment invoice that is calculated after Seller’s or SCE’s recomputation using corrected measurements.</w:t>
      </w:r>
    </w:p>
    <w:p w14:paraId="115F8A60" w14:textId="77777777" w:rsidR="00807376" w:rsidRPr="0027789B" w:rsidRDefault="00807376" w:rsidP="00807376">
      <w:pPr>
        <w:pStyle w:val="Heading2Text"/>
      </w:pPr>
      <w:r w:rsidRPr="0027789B">
        <w:t xml:space="preserve">If the recomputation results in a net amount owed to SCE after applying any amounts owing to Seller as shown on the next monthly payment invoice, any such amount owing </w:t>
      </w:r>
      <w:r w:rsidRPr="0027789B">
        <w:lastRenderedPageBreak/>
        <w:t xml:space="preserve">to SCE will at SCE’s discretion be netted against amounts owed to Seller in any subsequent monthly payment invoice or separately invoiced to Seller, in which case Seller must pay the amount owing to SCE within </w:t>
      </w:r>
      <w:r>
        <w:t>thirty</w:t>
      </w:r>
      <w:r w:rsidRPr="0027789B">
        <w:t xml:space="preserve"> (</w:t>
      </w:r>
      <w:r>
        <w:t>3</w:t>
      </w:r>
      <w:r w:rsidRPr="0027789B">
        <w:t>0) days after receipt of that invoice.</w:t>
      </w:r>
    </w:p>
    <w:p w14:paraId="194C3535" w14:textId="77777777" w:rsidR="00807376" w:rsidRPr="0027789B" w:rsidRDefault="00807376" w:rsidP="00807376">
      <w:pPr>
        <w:pStyle w:val="Heading2Text"/>
      </w:pPr>
      <w:r>
        <w:t>A Party</w:t>
      </w:r>
      <w:r w:rsidRPr="0027789B">
        <w:t xml:space="preserve"> will be deemed to have waived any such payment adjustments</w:t>
      </w:r>
      <w:r w:rsidRPr="00183138">
        <w:t xml:space="preserve">, if such Party does not provide Notice of such payment adjustment </w:t>
      </w:r>
      <w:r w:rsidRPr="0027789B">
        <w:t>within twelve (12) months after the end of the month in which the payment invoice was issued containing the error</w:t>
      </w:r>
      <w:r>
        <w:t xml:space="preserve">. </w:t>
      </w:r>
    </w:p>
    <w:p w14:paraId="1BA1EBCD" w14:textId="77777777" w:rsidR="00807376" w:rsidRPr="00FF157D" w:rsidRDefault="00807376" w:rsidP="00807376">
      <w:pPr>
        <w:pStyle w:val="Heading2"/>
        <w:keepNext w:val="0"/>
        <w:keepLines w:val="0"/>
        <w:rPr>
          <w:u w:val="none"/>
        </w:rPr>
      </w:pPr>
      <w:bookmarkStart w:id="91" w:name="_Toc467577527"/>
      <w:bookmarkStart w:id="92" w:name="_Toc470014787"/>
      <w:bookmarkStart w:id="93" w:name="_Toc470855978"/>
      <w:bookmarkStart w:id="94" w:name="_Toc510788233"/>
      <w:r w:rsidRPr="0027789B">
        <w:t>Netting Rights</w:t>
      </w:r>
      <w:r w:rsidRPr="00FF157D">
        <w:rPr>
          <w:u w:val="none"/>
        </w:rPr>
        <w:t>.</w:t>
      </w:r>
      <w:bookmarkEnd w:id="91"/>
      <w:bookmarkEnd w:id="92"/>
      <w:bookmarkEnd w:id="93"/>
      <w:bookmarkEnd w:id="94"/>
    </w:p>
    <w:p w14:paraId="2DDFDE22" w14:textId="77777777" w:rsidR="00807376" w:rsidRDefault="00807376" w:rsidP="00807376">
      <w:pPr>
        <w:pStyle w:val="Heading2Text"/>
      </w:pPr>
      <w:r w:rsidRPr="0027789B">
        <w:t xml:space="preserve">SCE reserves the right to net amounts that would otherwise be due to Seller under this Agreement </w:t>
      </w:r>
      <w:r>
        <w:t>in</w:t>
      </w:r>
      <w:r w:rsidRPr="0027789B">
        <w:t xml:space="preserve"> payment of any amounts</w:t>
      </w:r>
      <w:r>
        <w:t>:</w:t>
      </w:r>
    </w:p>
    <w:p w14:paraId="00597CD9" w14:textId="499A4720" w:rsidR="00807376" w:rsidRDefault="00807376" w:rsidP="00807376">
      <w:pPr>
        <w:pStyle w:val="Heading3"/>
      </w:pPr>
      <w:r>
        <w:t xml:space="preserve">Owing </w:t>
      </w:r>
      <w:r w:rsidRPr="0027789B">
        <w:t>to SCE by Seller arising out of, or related to, this Agreement</w:t>
      </w:r>
      <w:r>
        <w:t>; or</w:t>
      </w:r>
    </w:p>
    <w:p w14:paraId="041730AE" w14:textId="3EA76659" w:rsidR="00807376" w:rsidRPr="009676F1" w:rsidRDefault="00E44F02" w:rsidP="00807376">
      <w:pPr>
        <w:pStyle w:val="Heading3"/>
      </w:pPr>
      <w:r>
        <w:t xml:space="preserve">Owed </w:t>
      </w:r>
      <w:r w:rsidR="00807376">
        <w:t xml:space="preserve">to </w:t>
      </w:r>
      <w:r w:rsidR="00807376" w:rsidRPr="009676F1">
        <w:t xml:space="preserve">SCE by Seller arising out of, or related to, any other SCE agreement, tariff, obligation or liability. </w:t>
      </w:r>
    </w:p>
    <w:p w14:paraId="08B33E42" w14:textId="261D155F" w:rsidR="00807376" w:rsidRDefault="00807376" w:rsidP="00807376">
      <w:pPr>
        <w:pStyle w:val="Heading2Text"/>
      </w:pPr>
      <w:r w:rsidRPr="009676F1">
        <w:t xml:space="preserve">Nothing in </w:t>
      </w:r>
      <w:r w:rsidRPr="0024612D">
        <w:t>this Section </w:t>
      </w:r>
      <w:r w:rsidR="0024612D" w:rsidRPr="0024612D">
        <w:t>3</w:t>
      </w:r>
      <w:r w:rsidRPr="0024612D">
        <w:t>.04 shall limit SCE’s</w:t>
      </w:r>
      <w:r w:rsidRPr="009676F1">
        <w:t xml:space="preserve"> rights under applicable tariffs, other agreements or Applicable Laws.</w:t>
      </w:r>
    </w:p>
    <w:p w14:paraId="29C46A23" w14:textId="77777777" w:rsidR="00461C7B" w:rsidRPr="0027789B" w:rsidRDefault="00461C7B" w:rsidP="00461C7B">
      <w:pPr>
        <w:pStyle w:val="Heading2"/>
        <w:keepNext w:val="0"/>
        <w:keepLines w:val="0"/>
      </w:pPr>
      <w:bookmarkStart w:id="95" w:name="_Toc510788234"/>
      <w:r w:rsidRPr="0027789B">
        <w:t>Compensation</w:t>
      </w:r>
      <w:r w:rsidRPr="00FF157D">
        <w:rPr>
          <w:u w:val="none"/>
        </w:rPr>
        <w:t>.</w:t>
      </w:r>
      <w:bookmarkEnd w:id="95"/>
    </w:p>
    <w:p w14:paraId="6F2878AF" w14:textId="18D56E0A" w:rsidR="00461C7B" w:rsidRPr="001E217F" w:rsidRDefault="00461C7B" w:rsidP="00461C7B">
      <w:pPr>
        <w:pStyle w:val="Heading3"/>
      </w:pPr>
      <w:r w:rsidRPr="0027789B">
        <w:rPr>
          <w:u w:val="single"/>
        </w:rPr>
        <w:t>RA Period</w:t>
      </w:r>
      <w:r>
        <w:t xml:space="preserve">. </w:t>
      </w:r>
      <w:r w:rsidRPr="001E217F">
        <w:t xml:space="preserve">Compensation to Seller for the Product for any RA Period shall consist of a Monthly RA Capacity Payment calculated in accordance with </w:t>
      </w:r>
      <w:r w:rsidRPr="00B022A3">
        <w:t>Section</w:t>
      </w:r>
      <w:r w:rsidR="00B022A3" w:rsidRPr="00B022A3">
        <w:t xml:space="preserve"> 3</w:t>
      </w:r>
      <w:r w:rsidRPr="00B022A3">
        <w:t>.0</w:t>
      </w:r>
      <w:r w:rsidR="00B022A3" w:rsidRPr="00B022A3">
        <w:t>6</w:t>
      </w:r>
      <w:r w:rsidRPr="00B022A3">
        <w:t>(a), and</w:t>
      </w:r>
      <w:r w:rsidRPr="001E217F">
        <w:t xml:space="preserve"> subject to </w:t>
      </w:r>
      <w:r w:rsidRPr="00B022A3">
        <w:t>Section</w:t>
      </w:r>
      <w:r w:rsidR="00B022A3" w:rsidRPr="00B022A3">
        <w:t xml:space="preserve"> 3</w:t>
      </w:r>
      <w:r w:rsidRPr="001E217F">
        <w:t>.0</w:t>
      </w:r>
      <w:r w:rsidR="00B022A3">
        <w:t>5</w:t>
      </w:r>
      <w:r w:rsidRPr="0027789B">
        <w:t>(d)</w:t>
      </w:r>
      <w:r>
        <w:t xml:space="preserve">. </w:t>
      </w:r>
      <w:r w:rsidRPr="0027789B">
        <w:t xml:space="preserve">Payments will be paid monthly, in arrears, in accordance with </w:t>
      </w:r>
      <w:r w:rsidR="0024612D">
        <w:t>Sections 3.01, 3.02, 3.03, and 3.04,</w:t>
      </w:r>
      <w:r w:rsidRPr="001E217F">
        <w:t xml:space="preserve"> for each month of the RA Period. Other payments and costs will be allocated during the RA Period in accordance with </w:t>
      </w:r>
      <w:r w:rsidRPr="00B022A3">
        <w:t>Section</w:t>
      </w:r>
      <w:r w:rsidR="00B022A3" w:rsidRPr="00B022A3">
        <w:t xml:space="preserve"> 3.</w:t>
      </w:r>
      <w:r w:rsidR="00B022A3">
        <w:t>07</w:t>
      </w:r>
      <w:r w:rsidRPr="001E217F">
        <w:t xml:space="preserve">. </w:t>
      </w:r>
    </w:p>
    <w:p w14:paraId="7EAAC5B6" w14:textId="5E9CEF8C" w:rsidR="00461C7B" w:rsidRPr="0027789B" w:rsidRDefault="00461C7B" w:rsidP="00461C7B">
      <w:pPr>
        <w:pStyle w:val="Heading3"/>
      </w:pPr>
      <w:r w:rsidRPr="001E217F">
        <w:rPr>
          <w:u w:val="single"/>
        </w:rPr>
        <w:t>Put Period</w:t>
      </w:r>
      <w:r w:rsidRPr="001E217F">
        <w:t xml:space="preserve">. Compensation to Seller for the Product for any Put </w:t>
      </w:r>
      <w:r w:rsidRPr="000678FD">
        <w:t>Period shall consist of (a) a Monthly Energy Capacity Payment or Reduced Monthly Energy Capacity Payment calculated in accordance with Section</w:t>
      </w:r>
      <w:r w:rsidR="00DD6D8B">
        <w:t>s</w:t>
      </w:r>
      <w:r w:rsidR="00B022A3" w:rsidRPr="000678FD">
        <w:t xml:space="preserve"> 3.06</w:t>
      </w:r>
      <w:r w:rsidR="00DD6D8B">
        <w:t>, 3.11</w:t>
      </w:r>
      <w:r w:rsidRPr="000678FD">
        <w:t xml:space="preserve"> and </w:t>
      </w:r>
      <w:r w:rsidR="00DD6D8B">
        <w:t>3.12</w:t>
      </w:r>
      <w:r w:rsidRPr="000678FD">
        <w:t>,</w:t>
      </w:r>
      <w:r w:rsidRPr="001E217F">
        <w:t xml:space="preserve"> and subject to </w:t>
      </w:r>
      <w:r w:rsidRPr="00B022A3">
        <w:t>Section</w:t>
      </w:r>
      <w:r w:rsidR="00B022A3" w:rsidRPr="00B022A3">
        <w:t xml:space="preserve"> 3</w:t>
      </w:r>
      <w:r w:rsidRPr="00B022A3">
        <w:t>.0</w:t>
      </w:r>
      <w:r w:rsidR="00B022A3" w:rsidRPr="00B022A3">
        <w:t>5</w:t>
      </w:r>
      <w:r w:rsidRPr="00B022A3">
        <w:t>(</w:t>
      </w:r>
      <w:r w:rsidRPr="001E217F">
        <w:t xml:space="preserve">d); (b) a Variable O&amp;M Payment calculated in accordance with </w:t>
      </w:r>
      <w:r w:rsidRPr="00B022A3">
        <w:t xml:space="preserve">Section </w:t>
      </w:r>
      <w:r w:rsidR="00B022A3" w:rsidRPr="00B022A3">
        <w:t>3</w:t>
      </w:r>
      <w:r w:rsidRPr="00B022A3">
        <w:t>.0</w:t>
      </w:r>
      <w:r w:rsidR="00B022A3" w:rsidRPr="00B022A3">
        <w:t>8</w:t>
      </w:r>
      <w:r w:rsidRPr="00B022A3">
        <w:t>; and (c)</w:t>
      </w:r>
      <w:r w:rsidRPr="001E217F">
        <w:t xml:space="preserve"> a Variable Asset Replacement Payment calculated in accordance with </w:t>
      </w:r>
      <w:r w:rsidRPr="004726AE">
        <w:t>Section</w:t>
      </w:r>
      <w:r w:rsidR="004726AE" w:rsidRPr="004726AE">
        <w:t xml:space="preserve"> 3</w:t>
      </w:r>
      <w:r w:rsidRPr="004726AE">
        <w:t>.</w:t>
      </w:r>
      <w:r w:rsidR="004726AE" w:rsidRPr="004726AE">
        <w:t>14</w:t>
      </w:r>
      <w:r w:rsidRPr="004726AE">
        <w:t>.</w:t>
      </w:r>
      <w:r w:rsidRPr="001E217F">
        <w:t xml:space="preserve"> The Parties may also be liable for an Energy Adjustment Payment in accordance with </w:t>
      </w:r>
      <w:r w:rsidRPr="004726AE">
        <w:t xml:space="preserve">Section </w:t>
      </w:r>
      <w:r w:rsidR="004726AE" w:rsidRPr="004726AE">
        <w:t>3</w:t>
      </w:r>
      <w:r w:rsidRPr="004726AE">
        <w:t>.</w:t>
      </w:r>
      <w:r w:rsidR="004726AE" w:rsidRPr="004726AE">
        <w:t>10</w:t>
      </w:r>
      <w:r w:rsidRPr="004726AE">
        <w:t>. Payments</w:t>
      </w:r>
      <w:r w:rsidRPr="001E217F">
        <w:t xml:space="preserve"> will be paid monthly, in arrears, in accordance with </w:t>
      </w:r>
      <w:r w:rsidR="0024612D">
        <w:t>Sections 3.01, 3.02, 3.03, and 3.04</w:t>
      </w:r>
      <w:r w:rsidRPr="001E217F">
        <w:t>, for each month</w:t>
      </w:r>
      <w:r w:rsidRPr="0027789B">
        <w:t xml:space="preserve"> of the Put Period.</w:t>
      </w:r>
    </w:p>
    <w:p w14:paraId="786FC5EF" w14:textId="583214CA" w:rsidR="00461C7B" w:rsidRPr="0027789B" w:rsidRDefault="00461C7B" w:rsidP="00461C7B">
      <w:pPr>
        <w:pStyle w:val="Heading3"/>
      </w:pPr>
      <w:r w:rsidRPr="0027789B">
        <w:rPr>
          <w:u w:val="single"/>
        </w:rPr>
        <w:t>RA Capacity Price Adjustment</w:t>
      </w:r>
      <w:r w:rsidRPr="0027789B">
        <w:t xml:space="preserve">. SCE, in its sole discretion, has the right to change the Monthly RA Capacity Price, by providing Notice of the new Monthly RA Capacity Price on or before the date that is thirty (30) days after </w:t>
      </w:r>
      <w:r w:rsidRPr="0027789B">
        <w:lastRenderedPageBreak/>
        <w:t xml:space="preserve">CPUC Approval. Upon </w:t>
      </w:r>
      <w:r w:rsidRPr="00C600E0">
        <w:t xml:space="preserve">such Notice, </w:t>
      </w:r>
      <w:r w:rsidRPr="00D01883">
        <w:rPr>
          <w:u w:val="single"/>
        </w:rPr>
        <w:t xml:space="preserve">Exhibit </w:t>
      </w:r>
      <w:r w:rsidR="00CF10CD">
        <w:rPr>
          <w:u w:val="single"/>
        </w:rPr>
        <w:t>E</w:t>
      </w:r>
      <w:r w:rsidRPr="00D01883">
        <w:t xml:space="preserve"> shall</w:t>
      </w:r>
      <w:r w:rsidRPr="00C600E0">
        <w:t xml:space="preserve"> be automatically amended to reflect the new Monthly RA Capacity Price. For the</w:t>
      </w:r>
      <w:r w:rsidRPr="0027789B">
        <w:t xml:space="preserve"> avoidance of doubt, SCE’s right to change the Monthly RA Capacity Price includes the right to establish a new Monthly RA Capacity Price of any amount, and does not limit further reductions </w:t>
      </w:r>
      <w:r w:rsidRPr="00B022A3">
        <w:t>under Section</w:t>
      </w:r>
      <w:r w:rsidR="00B022A3" w:rsidRPr="00B022A3">
        <w:t xml:space="preserve"> 3</w:t>
      </w:r>
      <w:r w:rsidRPr="00B022A3">
        <w:t>.0</w:t>
      </w:r>
      <w:r w:rsidR="00B022A3" w:rsidRPr="00B022A3">
        <w:t>5</w:t>
      </w:r>
      <w:r w:rsidRPr="00B022A3">
        <w:t>(d).</w:t>
      </w:r>
    </w:p>
    <w:p w14:paraId="32677871" w14:textId="5D7C1868" w:rsidR="00C8421F" w:rsidRDefault="00461C7B" w:rsidP="00DB6071">
      <w:pPr>
        <w:pStyle w:val="Heading3"/>
      </w:pPr>
      <w:r w:rsidRPr="0027789B">
        <w:rPr>
          <w:u w:val="single"/>
        </w:rPr>
        <w:t>Federal Tax Incentives Price Reduction</w:t>
      </w:r>
      <w:r>
        <w:t xml:space="preserve">. </w:t>
      </w:r>
    </w:p>
    <w:p w14:paraId="4AD3F2FE" w14:textId="49D66A89" w:rsidR="00C8421F" w:rsidRPr="00204BA7" w:rsidRDefault="00C8421F" w:rsidP="00C8421F">
      <w:pPr>
        <w:pStyle w:val="Heading4"/>
      </w:pPr>
      <w:r w:rsidRPr="00D56529">
        <w:t>If</w:t>
      </w:r>
      <w:r>
        <w:t xml:space="preserve"> at any time prior to the </w:t>
      </w:r>
      <w:r w:rsidRPr="0009425B">
        <w:t>end of the Term</w:t>
      </w:r>
      <w:r>
        <w:t>,</w:t>
      </w:r>
      <w:r w:rsidRPr="00D56529">
        <w:t xml:space="preserve"> </w:t>
      </w:r>
      <w:r>
        <w:t>any person or entity, including Seller</w:t>
      </w:r>
      <w:r w:rsidRPr="009B0887">
        <w:t>, Seller’s Lender, Seller’s upstream parent, or any Affiliate, realizes any economic or monetary benefit from Federal Tax Credit Legislation with respect to the Project (“</w:t>
      </w:r>
      <w:r w:rsidRPr="008B53B9">
        <w:rPr>
          <w:u w:val="single"/>
        </w:rPr>
        <w:t>Economic Benefit</w:t>
      </w:r>
      <w:r w:rsidRPr="009B0887">
        <w:t>”), the Monthly Capacity Price and the Monthly Capacity Payment shall be reduced according to the applicable Tax Credit Percentage available to Seller, as set forth in the table below (the “</w:t>
      </w:r>
      <w:r w:rsidRPr="00F9365E">
        <w:rPr>
          <w:u w:val="single"/>
        </w:rPr>
        <w:t>Reduced Price Percent</w:t>
      </w:r>
      <w:r w:rsidRPr="009B0887">
        <w:t>”)</w:t>
      </w:r>
      <w:r>
        <w:t xml:space="preserve"> and pursuant to the process in Section 3.05(d)(ii).</w:t>
      </w:r>
      <w:r w:rsidRPr="008B53B9">
        <w:rPr>
          <w:szCs w:val="24"/>
        </w:rPr>
        <w:t xml:space="preserve"> The Monthly Capacity Payment shall automatically be amended to reflect the product of the Monthly Capacity Payment multiplied by the applicable Reduced Price Percent</w:t>
      </w:r>
      <w:r w:rsidRPr="00F9365E">
        <w:rPr>
          <w:i/>
          <w:color w:val="auto"/>
        </w:rPr>
        <w:t>.</w:t>
      </w:r>
      <w:r w:rsidRPr="008B53B9">
        <w:rPr>
          <w:i/>
          <w:color w:val="FF0000"/>
        </w:rPr>
        <w:t xml:space="preserve"> {SCE Note:  any such price amendment may need to take escalated prices, price shaping or other variable pricing structures into account.}</w:t>
      </w:r>
    </w:p>
    <w:p w14:paraId="401DDF34" w14:textId="77777777" w:rsidR="00C8421F" w:rsidRDefault="00C8421F" w:rsidP="00C8421F">
      <w:pPr>
        <w:pStyle w:val="Heading4"/>
      </w:pPr>
      <w:r w:rsidRPr="008B53B9">
        <w:t>Seller shall provide Notice to SCE within seven (7) days of realizing any Economic Benefit.  If the Economic Benefit is realized on or before the Initial Delivery Date, then the Monthly Capacity Price shall automatically be amended with immediate effect.  If the Economic Benefit is realized after the Initial Delivery Date, then the applicable Monthly Capacity Price shall automatically be amended effective as of the first day of the first full month after realization</w:t>
      </w:r>
      <w:r>
        <w:t>.</w:t>
      </w:r>
    </w:p>
    <w:p w14:paraId="55089B11" w14:textId="52D5D1CC" w:rsidR="00C8421F" w:rsidRPr="008B53B9" w:rsidRDefault="00C8421F" w:rsidP="00C8421F">
      <w:pPr>
        <w:pStyle w:val="Heading4"/>
      </w:pPr>
      <w:r w:rsidRPr="008B53B9">
        <w:t xml:space="preserve">For purposes of determining when an Economic Benefit is realized under Section </w:t>
      </w:r>
      <w:r>
        <w:t>3.05(d)</w:t>
      </w:r>
      <w:r w:rsidRPr="008B53B9">
        <w:t>(</w:t>
      </w:r>
      <w:r>
        <w:t>ii</w:t>
      </w:r>
      <w:r w:rsidRPr="008B53B9">
        <w:t>), realization will have been deemed to have occurred upon the earliest occurrence of any of the following: (</w:t>
      </w:r>
      <w:r>
        <w:t>A</w:t>
      </w:r>
      <w:r w:rsidRPr="008B53B9">
        <w:t>) the closing of any Tax Equity Financing by Seller, Seller’s upstream parent or any Affiliate, (</w:t>
      </w:r>
      <w:r>
        <w:t>B</w:t>
      </w:r>
      <w:r w:rsidRPr="008B53B9">
        <w:t>) a transfer of any income tax credits generated as a result of the Federal Tax Credit Legislation, (</w:t>
      </w:r>
      <w:r>
        <w:t>C</w:t>
      </w:r>
      <w:r w:rsidRPr="008B53B9">
        <w:t>) the use of any income tax credits on the federal income tax return (on the date such return is filed) of any entity, or (</w:t>
      </w:r>
      <w:r>
        <w:t>D</w:t>
      </w:r>
      <w:r w:rsidRPr="008B53B9">
        <w:t xml:space="preserve">) the date upon which Seller realizes an Economic Benefit not otherwise listed in this Section </w:t>
      </w:r>
      <w:r>
        <w:t>3.05(d)</w:t>
      </w:r>
      <w:r w:rsidRPr="008B53B9">
        <w:t>(</w:t>
      </w:r>
      <w:r>
        <w:t>iii</w:t>
      </w:r>
      <w:r w:rsidRPr="008B53B9">
        <w:t>)</w:t>
      </w:r>
      <w:r>
        <w:t>.</w:t>
      </w:r>
    </w:p>
    <w:tbl>
      <w:tblPr>
        <w:tblStyle w:val="TableGrid"/>
        <w:tblW w:w="0" w:type="auto"/>
        <w:tblInd w:w="2487" w:type="dxa"/>
        <w:tblLook w:val="04A0" w:firstRow="1" w:lastRow="0" w:firstColumn="1" w:lastColumn="0" w:noHBand="0" w:noVBand="1"/>
      </w:tblPr>
      <w:tblGrid>
        <w:gridCol w:w="3150"/>
        <w:gridCol w:w="3150"/>
      </w:tblGrid>
      <w:tr w:rsidR="00C8421F" w:rsidRPr="0027789B" w14:paraId="1822A7FD" w14:textId="77777777" w:rsidTr="007F0C43">
        <w:trPr>
          <w:trHeight w:val="440"/>
        </w:trPr>
        <w:tc>
          <w:tcPr>
            <w:tcW w:w="3150" w:type="dxa"/>
            <w:shd w:val="clear" w:color="auto" w:fill="D9D9D9" w:themeFill="background1" w:themeFillShade="D9"/>
            <w:vAlign w:val="center"/>
          </w:tcPr>
          <w:p w14:paraId="4631B876" w14:textId="77777777" w:rsidR="00C8421F" w:rsidRPr="0027789B" w:rsidRDefault="00C8421F" w:rsidP="007F0C43">
            <w:pPr>
              <w:ind w:left="787"/>
              <w:jc w:val="right"/>
              <w:rPr>
                <w:color w:val="000000"/>
              </w:rPr>
            </w:pPr>
            <w:r w:rsidRPr="0027789B">
              <w:rPr>
                <w:color w:val="000000"/>
              </w:rPr>
              <w:t>Tax Credit Percentage</w:t>
            </w:r>
          </w:p>
        </w:tc>
        <w:tc>
          <w:tcPr>
            <w:tcW w:w="3150" w:type="dxa"/>
            <w:shd w:val="clear" w:color="auto" w:fill="D9D9D9" w:themeFill="background1" w:themeFillShade="D9"/>
            <w:vAlign w:val="center"/>
          </w:tcPr>
          <w:p w14:paraId="7C7E662C" w14:textId="77777777" w:rsidR="00C8421F" w:rsidRPr="0027789B" w:rsidRDefault="00C8421F" w:rsidP="007F0C43">
            <w:pPr>
              <w:jc w:val="right"/>
              <w:rPr>
                <w:color w:val="000000"/>
              </w:rPr>
            </w:pPr>
            <w:r w:rsidRPr="0027789B">
              <w:rPr>
                <w:color w:val="000000"/>
              </w:rPr>
              <w:t>Reduced Price Percent</w:t>
            </w:r>
          </w:p>
        </w:tc>
      </w:tr>
      <w:tr w:rsidR="00C8421F" w:rsidRPr="0027789B" w14:paraId="57ADE94B" w14:textId="77777777" w:rsidTr="007F0C43">
        <w:trPr>
          <w:trHeight w:val="449"/>
        </w:trPr>
        <w:tc>
          <w:tcPr>
            <w:tcW w:w="3150" w:type="dxa"/>
            <w:vAlign w:val="center"/>
          </w:tcPr>
          <w:p w14:paraId="04934E16" w14:textId="77777777" w:rsidR="00C8421F" w:rsidRPr="0027789B" w:rsidRDefault="00C8421F" w:rsidP="007F0C43">
            <w:pPr>
              <w:ind w:left="787"/>
              <w:jc w:val="right"/>
              <w:rPr>
                <w:color w:val="000000"/>
              </w:rPr>
            </w:pPr>
            <w:r w:rsidRPr="0027789B">
              <w:rPr>
                <w:color w:val="000000"/>
              </w:rPr>
              <w:lastRenderedPageBreak/>
              <w:t>30% or greater</w:t>
            </w:r>
          </w:p>
        </w:tc>
        <w:tc>
          <w:tcPr>
            <w:tcW w:w="3150" w:type="dxa"/>
            <w:vAlign w:val="center"/>
          </w:tcPr>
          <w:p w14:paraId="222745CF" w14:textId="77777777" w:rsidR="00C8421F" w:rsidRPr="0027789B" w:rsidRDefault="00C8421F" w:rsidP="007F0C43">
            <w:pPr>
              <w:jc w:val="right"/>
              <w:rPr>
                <w:color w:val="000000"/>
              </w:rPr>
            </w:pPr>
            <w:r w:rsidRPr="0027789B">
              <w:rPr>
                <w:color w:val="000000"/>
              </w:rPr>
              <w:t>90%</w:t>
            </w:r>
          </w:p>
        </w:tc>
      </w:tr>
      <w:tr w:rsidR="00C8421F" w:rsidRPr="0027789B" w14:paraId="1784898D" w14:textId="77777777" w:rsidTr="007F0C43">
        <w:trPr>
          <w:trHeight w:val="440"/>
        </w:trPr>
        <w:tc>
          <w:tcPr>
            <w:tcW w:w="3150" w:type="dxa"/>
            <w:vAlign w:val="center"/>
          </w:tcPr>
          <w:p w14:paraId="45DBCCF2" w14:textId="77777777" w:rsidR="00C8421F" w:rsidRPr="0027789B" w:rsidRDefault="00C8421F" w:rsidP="007F0C43">
            <w:pPr>
              <w:ind w:left="787"/>
              <w:jc w:val="right"/>
              <w:rPr>
                <w:color w:val="000000"/>
              </w:rPr>
            </w:pPr>
            <w:r w:rsidRPr="0027789B">
              <w:rPr>
                <w:color w:val="000000"/>
              </w:rPr>
              <w:t>25% - 29.99%</w:t>
            </w:r>
          </w:p>
        </w:tc>
        <w:tc>
          <w:tcPr>
            <w:tcW w:w="3150" w:type="dxa"/>
            <w:vAlign w:val="center"/>
          </w:tcPr>
          <w:p w14:paraId="1C522C91" w14:textId="77777777" w:rsidR="00C8421F" w:rsidRPr="0027789B" w:rsidRDefault="00C8421F" w:rsidP="007F0C43">
            <w:pPr>
              <w:jc w:val="right"/>
              <w:rPr>
                <w:color w:val="000000"/>
              </w:rPr>
            </w:pPr>
            <w:r w:rsidRPr="0027789B">
              <w:rPr>
                <w:color w:val="000000"/>
              </w:rPr>
              <w:t>92%</w:t>
            </w:r>
          </w:p>
        </w:tc>
      </w:tr>
      <w:tr w:rsidR="00C8421F" w:rsidRPr="0027789B" w14:paraId="76BE0B51" w14:textId="77777777" w:rsidTr="007F0C43">
        <w:trPr>
          <w:trHeight w:val="431"/>
        </w:trPr>
        <w:tc>
          <w:tcPr>
            <w:tcW w:w="3150" w:type="dxa"/>
            <w:vAlign w:val="center"/>
          </w:tcPr>
          <w:p w14:paraId="529D95A7" w14:textId="77777777" w:rsidR="00C8421F" w:rsidRPr="0027789B" w:rsidRDefault="00C8421F" w:rsidP="007F0C43">
            <w:pPr>
              <w:ind w:left="787"/>
              <w:jc w:val="right"/>
              <w:rPr>
                <w:color w:val="000000"/>
              </w:rPr>
            </w:pPr>
            <w:r w:rsidRPr="0027789B">
              <w:rPr>
                <w:color w:val="000000"/>
              </w:rPr>
              <w:t>20% - 24.99%</w:t>
            </w:r>
          </w:p>
        </w:tc>
        <w:tc>
          <w:tcPr>
            <w:tcW w:w="3150" w:type="dxa"/>
            <w:vAlign w:val="center"/>
          </w:tcPr>
          <w:p w14:paraId="028300B0" w14:textId="77777777" w:rsidR="00C8421F" w:rsidRPr="0027789B" w:rsidRDefault="00C8421F" w:rsidP="007F0C43">
            <w:pPr>
              <w:jc w:val="right"/>
            </w:pPr>
            <w:r w:rsidRPr="0027789B">
              <w:rPr>
                <w:color w:val="000000"/>
              </w:rPr>
              <w:t>93%</w:t>
            </w:r>
          </w:p>
        </w:tc>
      </w:tr>
      <w:tr w:rsidR="00C8421F" w:rsidRPr="0027789B" w14:paraId="3EAFEF04" w14:textId="77777777" w:rsidTr="007F0C43">
        <w:trPr>
          <w:trHeight w:val="440"/>
        </w:trPr>
        <w:tc>
          <w:tcPr>
            <w:tcW w:w="3150" w:type="dxa"/>
            <w:vAlign w:val="center"/>
          </w:tcPr>
          <w:p w14:paraId="73C52925" w14:textId="77777777" w:rsidR="00C8421F" w:rsidRPr="0027789B" w:rsidRDefault="00C8421F" w:rsidP="007F0C43">
            <w:pPr>
              <w:ind w:left="787"/>
              <w:jc w:val="right"/>
              <w:rPr>
                <w:color w:val="000000"/>
              </w:rPr>
            </w:pPr>
            <w:r w:rsidRPr="0027789B">
              <w:rPr>
                <w:color w:val="000000"/>
              </w:rPr>
              <w:t>15% - 19.99%</w:t>
            </w:r>
          </w:p>
        </w:tc>
        <w:tc>
          <w:tcPr>
            <w:tcW w:w="3150" w:type="dxa"/>
            <w:vAlign w:val="center"/>
          </w:tcPr>
          <w:p w14:paraId="6DC877FC" w14:textId="77777777" w:rsidR="00C8421F" w:rsidRPr="0027789B" w:rsidRDefault="00C8421F" w:rsidP="007F0C43">
            <w:pPr>
              <w:jc w:val="right"/>
            </w:pPr>
            <w:r w:rsidRPr="0027789B">
              <w:rPr>
                <w:color w:val="000000"/>
              </w:rPr>
              <w:t>95%</w:t>
            </w:r>
          </w:p>
        </w:tc>
      </w:tr>
      <w:tr w:rsidR="00C8421F" w:rsidRPr="0027789B" w14:paraId="408FD4A9" w14:textId="77777777" w:rsidTr="007F0C43">
        <w:trPr>
          <w:trHeight w:val="359"/>
        </w:trPr>
        <w:tc>
          <w:tcPr>
            <w:tcW w:w="3150" w:type="dxa"/>
            <w:vAlign w:val="center"/>
          </w:tcPr>
          <w:p w14:paraId="7E7138A7" w14:textId="77777777" w:rsidR="00C8421F" w:rsidRPr="0027789B" w:rsidRDefault="00C8421F" w:rsidP="007F0C43">
            <w:pPr>
              <w:jc w:val="right"/>
              <w:rPr>
                <w:color w:val="000000"/>
              </w:rPr>
            </w:pPr>
            <w:r w:rsidRPr="0027789B">
              <w:rPr>
                <w:color w:val="000000"/>
              </w:rPr>
              <w:t>10% - 14.99%</w:t>
            </w:r>
          </w:p>
        </w:tc>
        <w:tc>
          <w:tcPr>
            <w:tcW w:w="3150" w:type="dxa"/>
            <w:vAlign w:val="center"/>
          </w:tcPr>
          <w:p w14:paraId="58975474" w14:textId="77777777" w:rsidR="00C8421F" w:rsidRPr="0027789B" w:rsidRDefault="00C8421F" w:rsidP="007F0C43">
            <w:pPr>
              <w:jc w:val="right"/>
              <w:rPr>
                <w:color w:val="000000"/>
              </w:rPr>
            </w:pPr>
            <w:r w:rsidRPr="0027789B">
              <w:rPr>
                <w:color w:val="000000"/>
              </w:rPr>
              <w:t>97%</w:t>
            </w:r>
          </w:p>
        </w:tc>
      </w:tr>
      <w:tr w:rsidR="00C8421F" w:rsidRPr="0027789B" w14:paraId="751F8B77" w14:textId="77777777" w:rsidTr="007F0C43">
        <w:trPr>
          <w:trHeight w:val="341"/>
        </w:trPr>
        <w:tc>
          <w:tcPr>
            <w:tcW w:w="3150" w:type="dxa"/>
            <w:vAlign w:val="center"/>
          </w:tcPr>
          <w:p w14:paraId="68DE2E29" w14:textId="77777777" w:rsidR="00C8421F" w:rsidRPr="0027789B" w:rsidRDefault="00C8421F" w:rsidP="007F0C43">
            <w:pPr>
              <w:jc w:val="right"/>
              <w:rPr>
                <w:color w:val="000000"/>
              </w:rPr>
            </w:pPr>
            <w:r w:rsidRPr="0027789B">
              <w:rPr>
                <w:color w:val="000000"/>
              </w:rPr>
              <w:t>5% - 9.99%</w:t>
            </w:r>
          </w:p>
        </w:tc>
        <w:tc>
          <w:tcPr>
            <w:tcW w:w="3150" w:type="dxa"/>
            <w:vAlign w:val="center"/>
          </w:tcPr>
          <w:p w14:paraId="2E9DC1C6" w14:textId="77777777" w:rsidR="00C8421F" w:rsidRPr="0027789B" w:rsidRDefault="00C8421F" w:rsidP="007F0C43">
            <w:pPr>
              <w:jc w:val="right"/>
            </w:pPr>
            <w:r w:rsidRPr="0027789B">
              <w:rPr>
                <w:color w:val="000000"/>
              </w:rPr>
              <w:t>98%</w:t>
            </w:r>
          </w:p>
        </w:tc>
      </w:tr>
    </w:tbl>
    <w:p w14:paraId="62468EEC" w14:textId="77777777" w:rsidR="00461C7B" w:rsidRPr="00FF157D" w:rsidRDefault="00461C7B" w:rsidP="00461C7B">
      <w:pPr>
        <w:pStyle w:val="Heading2"/>
        <w:keepNext w:val="0"/>
        <w:keepLines w:val="0"/>
        <w:rPr>
          <w:u w:val="none"/>
        </w:rPr>
      </w:pPr>
      <w:bookmarkStart w:id="96" w:name="_Toc507582112"/>
      <w:bookmarkStart w:id="97" w:name="_Toc510788235"/>
      <w:bookmarkEnd w:id="96"/>
      <w:r w:rsidRPr="0027789B">
        <w:t>Monthly Capacity Payment</w:t>
      </w:r>
      <w:r w:rsidRPr="00FF157D">
        <w:rPr>
          <w:u w:val="none"/>
        </w:rPr>
        <w:t>.</w:t>
      </w:r>
      <w:bookmarkEnd w:id="97"/>
    </w:p>
    <w:p w14:paraId="47E5CF12" w14:textId="322F367E" w:rsidR="00461C7B" w:rsidRPr="0027789B" w:rsidRDefault="00461C7B" w:rsidP="00461C7B">
      <w:pPr>
        <w:pStyle w:val="Heading3"/>
      </w:pPr>
      <w:r w:rsidRPr="0027789B">
        <w:rPr>
          <w:u w:val="single"/>
        </w:rPr>
        <w:t>RA Period</w:t>
      </w:r>
      <w:r>
        <w:t xml:space="preserve">. </w:t>
      </w:r>
      <w:r w:rsidRPr="0027789B">
        <w:t xml:space="preserve">SCE shall make a </w:t>
      </w:r>
      <w:r>
        <w:t>“</w:t>
      </w:r>
      <w:r w:rsidRPr="00FF157D">
        <w:rPr>
          <w:u w:val="single"/>
        </w:rPr>
        <w:t>Monthly RA Capacity Payment</w:t>
      </w:r>
      <w:r w:rsidRPr="0027789B">
        <w:t>,</w:t>
      </w:r>
      <w:r>
        <w:t>”</w:t>
      </w:r>
      <w:r w:rsidRPr="0027789B">
        <w:t xml:space="preserve"> payable monthly after the applicable Showing Month, in arrears, to Seller for each Showing Month of the RA Period, provided that such Monthly RA Capacity Payment is subject to reduction in accordance with this Agreement. The Monthly RA Capacity Payment for each Showing Month of the RA Period is calculated as set forth below,</w:t>
      </w:r>
    </w:p>
    <w:p w14:paraId="5645CF7D" w14:textId="77777777" w:rsidR="00461C7B" w:rsidRPr="0027789B" w:rsidRDefault="00461C7B" w:rsidP="00461C7B">
      <w:pPr>
        <w:ind w:left="1440" w:firstLine="720"/>
      </w:pPr>
      <w:r w:rsidRPr="0027789B">
        <w:t xml:space="preserve">“Monthly RA Capacity Payment” = (A x B x 1,000) </w:t>
      </w:r>
    </w:p>
    <w:p w14:paraId="4F35C21B" w14:textId="77777777" w:rsidR="00461C7B" w:rsidRPr="0027789B" w:rsidRDefault="00461C7B" w:rsidP="00461C7B">
      <w:pPr>
        <w:overflowPunct w:val="0"/>
        <w:autoSpaceDE w:val="0"/>
        <w:autoSpaceDN w:val="0"/>
        <w:adjustRightInd w:val="0"/>
        <w:spacing w:after="0"/>
        <w:ind w:left="2880" w:hanging="720"/>
        <w:jc w:val="both"/>
        <w:textAlignment w:val="baseline"/>
      </w:pPr>
      <w:r w:rsidRPr="0027789B">
        <w:t>where:</w:t>
      </w:r>
    </w:p>
    <w:p w14:paraId="5C645B86" w14:textId="77777777" w:rsidR="00461C7B" w:rsidRPr="0027789B" w:rsidRDefault="00461C7B" w:rsidP="00461C7B">
      <w:pPr>
        <w:overflowPunct w:val="0"/>
        <w:autoSpaceDE w:val="0"/>
        <w:autoSpaceDN w:val="0"/>
        <w:adjustRightInd w:val="0"/>
        <w:spacing w:after="0"/>
        <w:ind w:left="2160" w:hanging="720"/>
        <w:jc w:val="both"/>
        <w:textAlignment w:val="baseline"/>
      </w:pPr>
    </w:p>
    <w:p w14:paraId="11181C18" w14:textId="77777777" w:rsidR="00461C7B" w:rsidRPr="0027789B" w:rsidRDefault="00461C7B" w:rsidP="00461C7B">
      <w:pPr>
        <w:overflowPunct w:val="0"/>
        <w:autoSpaceDE w:val="0"/>
        <w:autoSpaceDN w:val="0"/>
        <w:adjustRightInd w:val="0"/>
        <w:ind w:left="2880" w:hanging="720"/>
        <w:textAlignment w:val="baseline"/>
      </w:pPr>
      <w:r w:rsidRPr="0027789B">
        <w:rPr>
          <w:i/>
          <w:iCs/>
        </w:rPr>
        <w:t>A</w:t>
      </w:r>
      <w:r w:rsidRPr="0027789B">
        <w:t xml:space="preserve"> = applicable Monthly RA Capacity Price for that Showing Month </w:t>
      </w:r>
    </w:p>
    <w:p w14:paraId="64FA7439" w14:textId="77777777" w:rsidR="00461C7B" w:rsidRPr="0027789B" w:rsidRDefault="00461C7B" w:rsidP="00461C7B">
      <w:pPr>
        <w:spacing w:after="0"/>
        <w:ind w:left="2160"/>
        <w:rPr>
          <w:bCs/>
          <w:iCs/>
        </w:rPr>
      </w:pPr>
      <w:r w:rsidRPr="0027789B">
        <w:rPr>
          <w:bCs/>
          <w:i/>
          <w:iCs/>
        </w:rPr>
        <w:t xml:space="preserve">B = </w:t>
      </w:r>
      <m:oMath>
        <m:nary>
          <m:naryPr>
            <m:chr m:val="∑"/>
            <m:limLoc m:val="undOvr"/>
            <m:ctrlPr>
              <w:rPr>
                <w:rFonts w:ascii="Cambria Math" w:hAnsi="Cambria Math" w:cs="Arial"/>
                <w:bCs/>
                <w:i/>
                <w:iCs/>
              </w:rPr>
            </m:ctrlPr>
          </m:naryPr>
          <m:sub>
            <m:r>
              <w:rPr>
                <w:rFonts w:ascii="Cambria Math" w:hAnsi="Cambria Math"/>
              </w:rPr>
              <m:t>i</m:t>
            </m:r>
          </m:sub>
          <m:sup>
            <m:r>
              <w:rPr>
                <w:rFonts w:ascii="Cambria Math" w:hAnsi="Cambria Math"/>
              </w:rPr>
              <m:t>n</m:t>
            </m:r>
          </m:sup>
          <m:e>
            <m:sSub>
              <m:sSubPr>
                <m:ctrlPr>
                  <w:rPr>
                    <w:rFonts w:ascii="Cambria Math" w:hAnsi="Cambria Math" w:cs="Arial"/>
                    <w:bCs/>
                    <w:i/>
                    <w:iCs/>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 ×(</m:t>
            </m:r>
            <m:f>
              <m:fPr>
                <m:ctrlPr>
                  <w:rPr>
                    <w:rFonts w:ascii="Cambria Math" w:hAnsi="Cambria Math" w:cs="Arial"/>
                    <w:bCs/>
                    <w:i/>
                    <w:iCs/>
                  </w:rPr>
                </m:ctrlPr>
              </m:fPr>
              <m:num>
                <m:r>
                  <w:rPr>
                    <w:rFonts w:ascii="Cambria Math" w:hAnsi="Cambria Math"/>
                  </w:rPr>
                  <m:t>1</m:t>
                </m:r>
              </m:num>
              <m:den>
                <m:r>
                  <w:rPr>
                    <w:rFonts w:ascii="Cambria Math" w:hAnsi="Cambria Math"/>
                  </w:rPr>
                  <m:t>n</m:t>
                </m:r>
              </m:den>
            </m:f>
            <m:r>
              <w:rPr>
                <w:rFonts w:ascii="Cambria Math" w:hAnsi="Cambria Math"/>
              </w:rPr>
              <m:t>)]</m:t>
            </m:r>
          </m:e>
        </m:nary>
      </m:oMath>
    </w:p>
    <w:p w14:paraId="77498EB0" w14:textId="77777777" w:rsidR="00461C7B" w:rsidRPr="0027789B" w:rsidRDefault="00461C7B" w:rsidP="00461C7B">
      <w:pPr>
        <w:spacing w:after="0"/>
        <w:ind w:left="2160"/>
      </w:pPr>
    </w:p>
    <w:p w14:paraId="5BF3E9ED" w14:textId="34D89875" w:rsidR="00461C7B" w:rsidRPr="0027789B" w:rsidRDefault="00461C7B" w:rsidP="00461C7B">
      <w:pPr>
        <w:overflowPunct w:val="0"/>
        <w:autoSpaceDE w:val="0"/>
        <w:autoSpaceDN w:val="0"/>
        <w:adjustRightInd w:val="0"/>
        <w:ind w:left="2610" w:hanging="450"/>
        <w:textAlignment w:val="baseline"/>
      </w:pPr>
      <w:r w:rsidRPr="0027789B">
        <w:rPr>
          <w:i/>
          <w:iCs/>
        </w:rPr>
        <w:t>C</w:t>
      </w:r>
      <w:r w:rsidRPr="0027789B">
        <w:t xml:space="preserve"> = Expected </w:t>
      </w:r>
      <w:r w:rsidRPr="001E217F">
        <w:t xml:space="preserve">Contract </w:t>
      </w:r>
      <w:r w:rsidRPr="000678FD">
        <w:t>Quantity provided by Seller to SCE pursuant to and consistent with Section</w:t>
      </w:r>
      <w:r w:rsidR="00C40E6C">
        <w:t xml:space="preserve"> 6</w:t>
      </w:r>
      <w:r w:rsidRPr="000678FD">
        <w:t>.03 for</w:t>
      </w:r>
      <w:r w:rsidRPr="001E217F">
        <w:t xml:space="preserve"> the applicable day of the Showing Month, provided that, solely for purposes of calculating this item “C”, the amount of Product</w:t>
      </w:r>
      <w:r w:rsidRPr="0027789B">
        <w:t xml:space="preserve"> (in MWs) provided on any particular day of any Showing Month may not exceed the Contract Capacity during such day  </w:t>
      </w:r>
    </w:p>
    <w:p w14:paraId="376209D5" w14:textId="77777777" w:rsidR="00461C7B" w:rsidRPr="0027789B" w:rsidRDefault="00461C7B" w:rsidP="00461C7B">
      <w:pPr>
        <w:overflowPunct w:val="0"/>
        <w:autoSpaceDE w:val="0"/>
        <w:autoSpaceDN w:val="0"/>
        <w:adjustRightInd w:val="0"/>
        <w:ind w:left="2610" w:hanging="450"/>
        <w:textAlignment w:val="baseline"/>
      </w:pPr>
      <w:r w:rsidRPr="0027789B">
        <w:rPr>
          <w:i/>
        </w:rPr>
        <w:t>D</w:t>
      </w:r>
      <w:r w:rsidRPr="0027789B">
        <w:t xml:space="preserve"> = Aggregate megawatts of Shortfall Capacity associated with the applicable day of the Showing Month; </w:t>
      </w:r>
      <w:r w:rsidRPr="00DB7FE0">
        <w:t>provided</w:t>
      </w:r>
      <w:r w:rsidRPr="0027789B">
        <w:t>, Shortfall Capacity may not exceed Contract Capacity</w:t>
      </w:r>
    </w:p>
    <w:p w14:paraId="471FF6F6" w14:textId="77777777" w:rsidR="00461C7B" w:rsidRPr="0027789B" w:rsidRDefault="00461C7B" w:rsidP="00461C7B">
      <w:pPr>
        <w:overflowPunct w:val="0"/>
        <w:autoSpaceDE w:val="0"/>
        <w:autoSpaceDN w:val="0"/>
        <w:adjustRightInd w:val="0"/>
        <w:ind w:left="2880" w:hanging="720"/>
        <w:textAlignment w:val="baseline"/>
      </w:pPr>
      <w:r w:rsidRPr="0027789B">
        <w:rPr>
          <w:i/>
        </w:rPr>
        <w:t>i</w:t>
      </w:r>
      <w:r w:rsidRPr="0027789B">
        <w:t xml:space="preserve"> = Each day of Showing Month</w:t>
      </w:r>
    </w:p>
    <w:p w14:paraId="30521941" w14:textId="77777777" w:rsidR="00461C7B" w:rsidRPr="0027789B" w:rsidRDefault="00461C7B" w:rsidP="00461C7B">
      <w:pPr>
        <w:overflowPunct w:val="0"/>
        <w:autoSpaceDE w:val="0"/>
        <w:autoSpaceDN w:val="0"/>
        <w:adjustRightInd w:val="0"/>
        <w:ind w:left="2880" w:hanging="720"/>
        <w:textAlignment w:val="baseline"/>
      </w:pPr>
      <w:r w:rsidRPr="0027789B">
        <w:rPr>
          <w:i/>
        </w:rPr>
        <w:lastRenderedPageBreak/>
        <w:t>n</w:t>
      </w:r>
      <w:r w:rsidRPr="0027789B">
        <w:t xml:space="preserve"> = number of days in the Showing Month</w:t>
      </w:r>
      <w:r w:rsidRPr="0027789B">
        <w:rPr>
          <w:bCs/>
          <w:noProof/>
          <w:color w:val="FF0000"/>
        </w:rPr>
        <w:t xml:space="preserve">  </w:t>
      </w:r>
    </w:p>
    <w:p w14:paraId="589F9CF1" w14:textId="77777777" w:rsidR="00461C7B" w:rsidRPr="0027789B" w:rsidRDefault="00461C7B" w:rsidP="00461C7B">
      <w:pPr>
        <w:pStyle w:val="Heading3Text"/>
      </w:pPr>
      <w:r w:rsidRPr="0027789B">
        <w:t>The Monthly RA Capacity Payment calculation shall be rounded to two decimal places.</w:t>
      </w:r>
    </w:p>
    <w:p w14:paraId="7E54AA94" w14:textId="14547AE7" w:rsidR="00461C7B" w:rsidRPr="0027789B" w:rsidRDefault="00461C7B" w:rsidP="00461C7B">
      <w:pPr>
        <w:pStyle w:val="Heading3"/>
      </w:pPr>
      <w:r w:rsidRPr="0027789B">
        <w:rPr>
          <w:u w:val="single"/>
        </w:rPr>
        <w:t>Put Period</w:t>
      </w:r>
      <w:r>
        <w:t xml:space="preserve">. </w:t>
      </w:r>
      <w:r w:rsidRPr="0027789B">
        <w:t>For each Storage Unit, SCE shall make a “</w:t>
      </w:r>
      <w:r w:rsidRPr="00FF157D">
        <w:rPr>
          <w:u w:val="single"/>
        </w:rPr>
        <w:t>Monthly Energy Capacity Payment</w:t>
      </w:r>
      <w:r w:rsidRPr="0027789B">
        <w:t>”, payable in arrears, to Seller for each month of the Put Period</w:t>
      </w:r>
      <w:bookmarkStart w:id="98" w:name="_Ref143999319"/>
      <w:r>
        <w:t xml:space="preserve">. </w:t>
      </w:r>
      <w:r w:rsidRPr="0027789B">
        <w:t xml:space="preserve">The Monthly </w:t>
      </w:r>
      <w:r w:rsidRPr="00C600E0">
        <w:t xml:space="preserve">Energy Capacity Price for each month of a Put Period is set forth in </w:t>
      </w:r>
      <w:r w:rsidRPr="00D01883">
        <w:rPr>
          <w:u w:val="single"/>
        </w:rPr>
        <w:t xml:space="preserve">Exhibit </w:t>
      </w:r>
      <w:r w:rsidR="00CF10CD">
        <w:rPr>
          <w:u w:val="single"/>
        </w:rPr>
        <w:t>E</w:t>
      </w:r>
      <w:r w:rsidRPr="00D01883">
        <w:t xml:space="preserve"> and</w:t>
      </w:r>
      <w:r w:rsidRPr="00C600E0">
        <w:t xml:space="preserve"> is</w:t>
      </w:r>
      <w:r w:rsidRPr="0027789B">
        <w:t xml:space="preserve"> subject to reduction in accordance with this Agreement</w:t>
      </w:r>
      <w:r>
        <w:t xml:space="preserve">. </w:t>
      </w:r>
      <w:r w:rsidRPr="0027789B">
        <w:t>If the Monthly Energy Capacity Payment is reduced in accordance with this Agreement, SCE shall make the Reduced Monthly Energy Capacity Payment in lieu of the Monthly Energy Capacity Payment.</w:t>
      </w:r>
      <w:bookmarkEnd w:id="98"/>
      <w:r w:rsidRPr="0027789B">
        <w:t xml:space="preserve"> The Monthly Energy Capacity Payment is as calculated below:</w:t>
      </w:r>
    </w:p>
    <w:p w14:paraId="1120F896" w14:textId="77777777" w:rsidR="00461C7B" w:rsidRPr="0027789B" w:rsidRDefault="00461C7B" w:rsidP="00461C7B">
      <w:pPr>
        <w:pStyle w:val="Heading2Text"/>
        <w:ind w:left="2160"/>
        <w:rPr>
          <w:szCs w:val="24"/>
        </w:rPr>
      </w:pPr>
      <w:r w:rsidRPr="0027789B">
        <w:rPr>
          <w:szCs w:val="24"/>
        </w:rPr>
        <w:t>“Monthly Energy Capacity Payment” = (A x B x 1,000)</w:t>
      </w:r>
    </w:p>
    <w:p w14:paraId="38ED600B" w14:textId="77777777" w:rsidR="00461C7B" w:rsidRPr="0027789B" w:rsidRDefault="00461C7B" w:rsidP="00461C7B">
      <w:pPr>
        <w:pStyle w:val="Heading2Text"/>
        <w:ind w:left="2160"/>
        <w:rPr>
          <w:szCs w:val="24"/>
        </w:rPr>
      </w:pPr>
      <w:r w:rsidRPr="0027789B">
        <w:rPr>
          <w:szCs w:val="24"/>
        </w:rPr>
        <w:t>where:</w:t>
      </w:r>
    </w:p>
    <w:p w14:paraId="058A5FC4" w14:textId="77777777" w:rsidR="00461C7B" w:rsidRPr="0027789B" w:rsidRDefault="00461C7B" w:rsidP="00461C7B">
      <w:pPr>
        <w:pStyle w:val="Heading2Text"/>
        <w:ind w:left="2160"/>
        <w:rPr>
          <w:szCs w:val="24"/>
        </w:rPr>
      </w:pPr>
      <w:r w:rsidRPr="0027789B">
        <w:rPr>
          <w:i/>
          <w:iCs/>
          <w:szCs w:val="24"/>
        </w:rPr>
        <w:t>A</w:t>
      </w:r>
      <w:r w:rsidRPr="0027789B">
        <w:rPr>
          <w:szCs w:val="24"/>
        </w:rPr>
        <w:t xml:space="preserve"> = applicable Monthly Energy Capacity Price, and</w:t>
      </w:r>
    </w:p>
    <w:p w14:paraId="2888868C" w14:textId="77777777" w:rsidR="00461C7B" w:rsidRDefault="00461C7B" w:rsidP="00461C7B">
      <w:pPr>
        <w:pStyle w:val="Heading2Text"/>
        <w:ind w:left="2160"/>
        <w:rPr>
          <w:bCs/>
          <w:iCs/>
          <w:szCs w:val="24"/>
        </w:rPr>
      </w:pPr>
      <w:r w:rsidRPr="0027789B">
        <w:rPr>
          <w:bCs/>
          <w:i/>
          <w:iCs/>
          <w:szCs w:val="24"/>
        </w:rPr>
        <w:t xml:space="preserve">B = </w:t>
      </w:r>
      <w:r w:rsidRPr="0027789B">
        <w:rPr>
          <w:bCs/>
          <w:iCs/>
          <w:szCs w:val="24"/>
        </w:rPr>
        <w:t>Contract Capacity.</w:t>
      </w:r>
    </w:p>
    <w:p w14:paraId="28CE294D" w14:textId="15F0CB50" w:rsidR="00550F51" w:rsidRPr="0027789B" w:rsidRDefault="00550F51" w:rsidP="00550F51">
      <w:pPr>
        <w:pStyle w:val="Heading3"/>
      </w:pPr>
      <w:r w:rsidRPr="00550F51">
        <w:rPr>
          <w:u w:val="single"/>
        </w:rPr>
        <w:t>Reduced Monthly Energy Capacity Payment</w:t>
      </w:r>
      <w:r w:rsidRPr="00FF157D">
        <w:t>.</w:t>
      </w:r>
      <w:bookmarkStart w:id="99" w:name="_Toc362610064"/>
      <w:r>
        <w:t xml:space="preserve"> </w:t>
      </w:r>
      <w:r w:rsidRPr="0027789B">
        <w:t>The “</w:t>
      </w:r>
      <w:r w:rsidRPr="00DB7FE0">
        <w:rPr>
          <w:u w:val="single"/>
        </w:rPr>
        <w:t>Reduced Monthly Energy Capacity Payment</w:t>
      </w:r>
      <w:r w:rsidRPr="0027789B">
        <w:t>” for each Storage Unit shall be calculated as follows:</w:t>
      </w:r>
    </w:p>
    <w:p w14:paraId="08133E2D" w14:textId="77777777" w:rsidR="00550F51" w:rsidRPr="0027789B" w:rsidRDefault="00550F51" w:rsidP="00550F51">
      <w:pPr>
        <w:pStyle w:val="Heading3Text"/>
      </w:pPr>
      <w:r w:rsidRPr="0027789B">
        <w:t xml:space="preserve">Reduced Monthly Energy Capacity Payment = (the applicable Monthly Energy Capacity Payment - (the applicable Rated Power Capacity Payment Reduction + the applicable A/S Capacity Payment Reduction + the applicable Energy Efficiency Capacity Payment Reduction)) * the applicable RA Adjustment. </w:t>
      </w:r>
      <w:bookmarkEnd w:id="99"/>
    </w:p>
    <w:p w14:paraId="189E6002" w14:textId="5CF56C83" w:rsidR="00461C7B" w:rsidRPr="0027789B" w:rsidRDefault="00461C7B" w:rsidP="00461C7B">
      <w:pPr>
        <w:pStyle w:val="Heading2"/>
        <w:keepNext w:val="0"/>
        <w:keepLines w:val="0"/>
      </w:pPr>
      <w:bookmarkStart w:id="100" w:name="_Toc510788236"/>
      <w:r w:rsidRPr="0027789B">
        <w:t xml:space="preserve">Allocation of Other Payments and Costs </w:t>
      </w:r>
      <w:r w:rsidR="0061201A">
        <w:t>(RA Period</w:t>
      </w:r>
      <w:r w:rsidR="00550F51">
        <w:t>s</w:t>
      </w:r>
      <w:r w:rsidR="0061201A">
        <w:t>)</w:t>
      </w:r>
      <w:r w:rsidRPr="00FF157D">
        <w:rPr>
          <w:u w:val="none"/>
        </w:rPr>
        <w:t>.</w:t>
      </w:r>
      <w:bookmarkEnd w:id="100"/>
    </w:p>
    <w:p w14:paraId="0ED5FA95" w14:textId="4E50CE82" w:rsidR="00461C7B" w:rsidRPr="0027789B" w:rsidRDefault="00461C7B" w:rsidP="00461C7B">
      <w:pPr>
        <w:pStyle w:val="Heading2Text"/>
      </w:pPr>
      <w:r w:rsidRPr="0027789B">
        <w:t>With respect to any RA Period:</w:t>
      </w:r>
    </w:p>
    <w:p w14:paraId="41FACF0A" w14:textId="48601656" w:rsidR="00461C7B" w:rsidRPr="0027789B" w:rsidRDefault="00461C7B" w:rsidP="00461C7B">
      <w:pPr>
        <w:pStyle w:val="Heading3"/>
      </w:pPr>
      <w:r w:rsidRPr="0027789B">
        <w:t xml:space="preserve">Seller shall retain any revenues it may receive from and pay all costs, charges charged by the CAISO or any other third party with respect to the Storage Units for (i) </w:t>
      </w:r>
      <w:r>
        <w:t xml:space="preserve">start-up, shutdown, </w:t>
      </w:r>
      <w:r w:rsidRPr="0027789B">
        <w:t>charging, discharging</w:t>
      </w:r>
      <w:r>
        <w:t>,</w:t>
      </w:r>
      <w:r w:rsidRPr="0027789B">
        <w:t xml:space="preserve"> minimum load</w:t>
      </w:r>
      <w:r>
        <w:t>, and any other</w:t>
      </w:r>
      <w:r w:rsidRPr="0027789B">
        <w:t xml:space="preserve"> </w:t>
      </w:r>
      <w:r>
        <w:t xml:space="preserve">operational </w:t>
      </w:r>
      <w:r w:rsidRPr="0027789B">
        <w:t>costs, (ii) ancillary services, (iii) Energy sales, and (iv) any revenues for black start or reactive power services.</w:t>
      </w:r>
    </w:p>
    <w:p w14:paraId="7B2D292F" w14:textId="07FBAA84" w:rsidR="00595CE9" w:rsidRDefault="00461C7B" w:rsidP="00461C7B">
      <w:pPr>
        <w:pStyle w:val="Heading3"/>
      </w:pPr>
      <w:r w:rsidRPr="0027789B">
        <w:t>SCE shall be entitled to receive and retain all revenues associated with the Product (including any capacity revenues from</w:t>
      </w:r>
      <w:r w:rsidR="009C679E">
        <w:t>:</w:t>
      </w:r>
    </w:p>
    <w:p w14:paraId="51924361" w14:textId="4E1EFAEB" w:rsidR="00595CE9" w:rsidRDefault="00461C7B" w:rsidP="00DB7FE0">
      <w:pPr>
        <w:pStyle w:val="Heading4"/>
      </w:pPr>
      <w:r w:rsidRPr="0027789B">
        <w:t>RMR Contracts</w:t>
      </w:r>
      <w:r w:rsidR="00410B6C">
        <w:t>, or its successor,</w:t>
      </w:r>
      <w:r w:rsidRPr="0027789B">
        <w:t xml:space="preserve"> for the Storage Units, </w:t>
      </w:r>
    </w:p>
    <w:p w14:paraId="29837D4C" w14:textId="3C893F33" w:rsidR="00595CE9" w:rsidRDefault="00461C7B" w:rsidP="00DB7FE0">
      <w:pPr>
        <w:pStyle w:val="Heading4"/>
      </w:pPr>
      <w:r w:rsidRPr="0027789B">
        <w:lastRenderedPageBreak/>
        <w:t xml:space="preserve">the </w:t>
      </w:r>
      <w:r w:rsidR="00595CE9">
        <w:t>“</w:t>
      </w:r>
      <w:r w:rsidRPr="001E7D5A">
        <w:t>Capacity Procurement Mechanism</w:t>
      </w:r>
      <w:r w:rsidR="00595CE9">
        <w:t xml:space="preserve">” </w:t>
      </w:r>
      <w:r w:rsidR="00F14887">
        <w:t>(</w:t>
      </w:r>
      <w:r w:rsidR="00595CE9">
        <w:t>as defined by the CAISO Tariff</w:t>
      </w:r>
      <w:r w:rsidR="00F14887">
        <w:t>)</w:t>
      </w:r>
      <w:r w:rsidRPr="0027789B">
        <w:t xml:space="preserve">, or its successor, associated with the Storage Units, </w:t>
      </w:r>
    </w:p>
    <w:p w14:paraId="0FADC397" w14:textId="0F31BC0B" w:rsidR="00595CE9" w:rsidRDefault="00131EEE" w:rsidP="00DB7FE0">
      <w:pPr>
        <w:pStyle w:val="Heading4"/>
      </w:pPr>
      <w:r>
        <w:t>“</w:t>
      </w:r>
      <w:r w:rsidR="00461C7B" w:rsidRPr="001E7D5A">
        <w:t>RUC Availability Payments</w:t>
      </w:r>
      <w:r>
        <w:t xml:space="preserve">” </w:t>
      </w:r>
      <w:r w:rsidR="00F14887">
        <w:t>(</w:t>
      </w:r>
      <w:r>
        <w:t>as defined by the CAISO Tariff</w:t>
      </w:r>
      <w:r w:rsidR="00F14887">
        <w:t>)</w:t>
      </w:r>
      <w:r w:rsidRPr="0027789B">
        <w:t>,</w:t>
      </w:r>
      <w:r w:rsidR="00461C7B" w:rsidRPr="0027789B">
        <w:t xml:space="preserve"> or its successor, but excluding payments described in </w:t>
      </w:r>
      <w:r w:rsidR="00461C7B" w:rsidRPr="00B022A3">
        <w:t>Section</w:t>
      </w:r>
      <w:r w:rsidR="00B022A3" w:rsidRPr="00B022A3">
        <w:t xml:space="preserve"> 3.07</w:t>
      </w:r>
      <w:r w:rsidR="00461C7B" w:rsidRPr="001E217F">
        <w:t>(a)(i)-(iv</w:t>
      </w:r>
      <w:r w:rsidR="00461C7B" w:rsidRPr="0027789B">
        <w:t xml:space="preserve">), and </w:t>
      </w:r>
    </w:p>
    <w:p w14:paraId="4DE59337" w14:textId="18354137" w:rsidR="00461C7B" w:rsidRPr="0027789B" w:rsidRDefault="00461C7B" w:rsidP="00DB7FE0">
      <w:pPr>
        <w:pStyle w:val="Heading4"/>
      </w:pPr>
      <w:r w:rsidRPr="0027789B">
        <w:t xml:space="preserve">any Bids or revisions to any market-cleared Bids made by Seller pursuant </w:t>
      </w:r>
      <w:r w:rsidRPr="0024612D">
        <w:t>to Section</w:t>
      </w:r>
      <w:r w:rsidR="0024612D" w:rsidRPr="0024612D">
        <w:t xml:space="preserve"> 6</w:t>
      </w:r>
      <w:r w:rsidRPr="0024612D">
        <w:t>.0</w:t>
      </w:r>
      <w:r w:rsidR="0024612D" w:rsidRPr="0024612D">
        <w:t>4</w:t>
      </w:r>
      <w:r w:rsidRPr="0024612D">
        <w:t>(b).</w:t>
      </w:r>
    </w:p>
    <w:p w14:paraId="7B4D83FC" w14:textId="43AC6887" w:rsidR="00461C7B" w:rsidRPr="0027789B" w:rsidRDefault="00461C7B" w:rsidP="00461C7B">
      <w:pPr>
        <w:pStyle w:val="Heading3"/>
      </w:pPr>
      <w:r w:rsidRPr="0027789B">
        <w:t xml:space="preserve">In accordance with </w:t>
      </w:r>
      <w:r w:rsidRPr="00B022A3">
        <w:t>Section</w:t>
      </w:r>
      <w:r w:rsidR="00B022A3" w:rsidRPr="00B022A3">
        <w:t xml:space="preserve"> 3.06</w:t>
      </w:r>
      <w:r w:rsidRPr="00B022A3">
        <w:t>(a)</w:t>
      </w:r>
      <w:r w:rsidRPr="001E217F">
        <w:t xml:space="preserve"> and </w:t>
      </w:r>
      <w:r w:rsidR="0024612D">
        <w:t>Sections 3.01, 3.02, 3.03, and 3.04</w:t>
      </w:r>
      <w:r w:rsidRPr="001E217F">
        <w:t>,</w:t>
      </w:r>
    </w:p>
    <w:p w14:paraId="67CD6709" w14:textId="38C1895E" w:rsidR="00461C7B" w:rsidRPr="0027789B" w:rsidRDefault="00461C7B" w:rsidP="00461C7B">
      <w:pPr>
        <w:pStyle w:val="Heading4"/>
      </w:pPr>
      <w:r w:rsidRPr="0027789B">
        <w:t xml:space="preserve">all such SCE revenues </w:t>
      </w:r>
      <w:r w:rsidRPr="00B022A3">
        <w:t xml:space="preserve">described in this Section </w:t>
      </w:r>
      <w:r w:rsidR="00B022A3" w:rsidRPr="00B022A3">
        <w:t>3.07</w:t>
      </w:r>
      <w:r w:rsidRPr="00B022A3">
        <w:t>,</w:t>
      </w:r>
      <w:r w:rsidRPr="0027789B">
        <w:t xml:space="preserve"> but received by Seller, or a Storage Unit’s SC, owner, or operator shall be remitted to SCE, and Seller shall pay such revenues to SCE if the Storage Unit’s SC, owner, or operator fails to remit those revenues to SCE</w:t>
      </w:r>
      <w:r>
        <w:t xml:space="preserve">. </w:t>
      </w:r>
      <w:r w:rsidRPr="0027789B">
        <w:t xml:space="preserve">If Seller fails to pay such revenues to SCE, SCE may offset any amounts owing to it for such revenues pursuant </w:t>
      </w:r>
      <w:r w:rsidRPr="001E217F">
        <w:t xml:space="preserve">to </w:t>
      </w:r>
      <w:r w:rsidR="0024612D">
        <w:t>Sections 3.01, 3.02, 3.03, and 3.04</w:t>
      </w:r>
      <w:r w:rsidRPr="001E217F">
        <w:t xml:space="preserve"> against</w:t>
      </w:r>
      <w:r w:rsidRPr="0027789B">
        <w:t xml:space="preserve"> any future amounts SCE may owe to Seller under this Agreement; and </w:t>
      </w:r>
    </w:p>
    <w:p w14:paraId="4DF6B449" w14:textId="51B42C3A" w:rsidR="00461C7B" w:rsidRPr="0027789B" w:rsidRDefault="00461C7B" w:rsidP="00461C7B">
      <w:pPr>
        <w:pStyle w:val="Heading4"/>
      </w:pPr>
      <w:r w:rsidRPr="0027789B">
        <w:t xml:space="preserve">all such Seller, or a </w:t>
      </w:r>
      <w:r w:rsidRPr="009676F1">
        <w:t xml:space="preserve">Storage Unit’s SC, owner, or operator revenues described </w:t>
      </w:r>
      <w:r w:rsidRPr="00B022A3">
        <w:t xml:space="preserve">in this Section </w:t>
      </w:r>
      <w:r w:rsidR="00B022A3" w:rsidRPr="00B022A3">
        <w:t>3.07</w:t>
      </w:r>
      <w:r w:rsidRPr="00B022A3">
        <w:t>, but</w:t>
      </w:r>
      <w:r w:rsidRPr="0027789B">
        <w:t xml:space="preserve"> received by SCE shall be remitted to Seller.</w:t>
      </w:r>
    </w:p>
    <w:p w14:paraId="0C6F4391" w14:textId="77777777" w:rsidR="00461C7B" w:rsidRPr="0027789B" w:rsidRDefault="00461C7B" w:rsidP="00461C7B">
      <w:pPr>
        <w:pStyle w:val="Heading3"/>
      </w:pPr>
      <w:r w:rsidRPr="0027789B">
        <w:t>If a centralized capacity market develops within the CAISO region, SCE will have exclusive rights to offer, bid, or otherwise submit the Product for each day of each Showing Month provided to SCE pursuant to this Agreement for re-sale in such market, and retain and receive any and all related revenues.</w:t>
      </w:r>
    </w:p>
    <w:p w14:paraId="237FCC7F" w14:textId="18DA8A43" w:rsidR="00461C7B" w:rsidRPr="0027789B" w:rsidRDefault="00461C7B" w:rsidP="00461C7B">
      <w:pPr>
        <w:pStyle w:val="Heading3"/>
      </w:pPr>
      <w:r w:rsidRPr="0027789B">
        <w:t>Seller bears sole responsibility for establishing and compensating its SC</w:t>
      </w:r>
      <w:r>
        <w:t xml:space="preserve">. </w:t>
      </w:r>
      <w:r w:rsidRPr="0027789B">
        <w:t>Seller shall be responsible for (i) managing, purchasing, scheduling, and transporting all Charging Energy Requirements, (ii) all costs for the Storage Units’ Charging Energy Requirements, (iii) any Governmental Charges associated with the Charging Energy Requirements, and (iv) if applicable, returning the Storage Units at the start of any Put Period to the same Stored Energy Level the Storage Units were at as of the end of the previous Put Period</w:t>
      </w:r>
      <w:r>
        <w:t xml:space="preserve">. </w:t>
      </w:r>
    </w:p>
    <w:p w14:paraId="78D4EE2A" w14:textId="12F6F09A" w:rsidR="00461C7B" w:rsidRPr="00FF157D" w:rsidRDefault="00461C7B" w:rsidP="00461C7B">
      <w:pPr>
        <w:pStyle w:val="Heading2"/>
        <w:keepNext w:val="0"/>
        <w:keepLines w:val="0"/>
        <w:rPr>
          <w:u w:val="none"/>
        </w:rPr>
      </w:pPr>
      <w:bookmarkStart w:id="101" w:name="_Toc510788237"/>
      <w:r w:rsidRPr="0027789B">
        <w:t xml:space="preserve">Variable O&amp;M Payment </w:t>
      </w:r>
      <w:r w:rsidR="0061201A">
        <w:t>(</w:t>
      </w:r>
      <w:r w:rsidRPr="0027789B">
        <w:t>Put Periods</w:t>
      </w:r>
      <w:r w:rsidR="0061201A">
        <w:t>)</w:t>
      </w:r>
      <w:r w:rsidRPr="00FF157D">
        <w:rPr>
          <w:u w:val="none"/>
        </w:rPr>
        <w:t>.</w:t>
      </w:r>
      <w:bookmarkEnd w:id="101"/>
    </w:p>
    <w:p w14:paraId="1BC1ACC8" w14:textId="267909A1" w:rsidR="00461C7B" w:rsidRPr="0027789B" w:rsidRDefault="00461C7B" w:rsidP="00461C7B">
      <w:pPr>
        <w:pStyle w:val="Heading2Text"/>
        <w:rPr>
          <w:iCs/>
          <w:kern w:val="32"/>
          <w:szCs w:val="24"/>
        </w:rPr>
      </w:pPr>
      <w:r w:rsidRPr="0027789B">
        <w:t>For any Put Period, SCE shall pay Seller a “</w:t>
      </w:r>
      <w:r w:rsidRPr="00575626">
        <w:rPr>
          <w:u w:val="single"/>
        </w:rPr>
        <w:t>Variable O&amp;M Payment</w:t>
      </w:r>
      <w:r w:rsidRPr="0027789B">
        <w:t>” for each Storage Unit, calculated as follows:</w:t>
      </w:r>
    </w:p>
    <w:p w14:paraId="700E414E" w14:textId="77777777" w:rsidR="00461C7B" w:rsidRPr="0027789B" w:rsidRDefault="00461C7B" w:rsidP="00461C7B">
      <w:pPr>
        <w:pStyle w:val="Heading2Text"/>
        <w:spacing w:after="120"/>
        <w:ind w:left="1440"/>
        <w:rPr>
          <w:vertAlign w:val="subscript"/>
        </w:rPr>
      </w:pPr>
      <w:r w:rsidRPr="0027789B">
        <w:lastRenderedPageBreak/>
        <w:t>Variable O&amp;M Payment</w:t>
      </w:r>
      <w:r w:rsidRPr="0027789B">
        <w:rPr>
          <w:vertAlign w:val="subscript"/>
        </w:rPr>
        <w:t>m</w:t>
      </w:r>
      <w:r w:rsidRPr="0027789B">
        <w:t xml:space="preserve"> = </w:t>
      </w:r>
      <w:r w:rsidRPr="0027789B">
        <w:br/>
        <w:t>Variable O&amp;M Charge</w:t>
      </w:r>
      <w:r w:rsidRPr="0027789B">
        <w:rPr>
          <w:vertAlign w:val="subscript"/>
        </w:rPr>
        <w:t>y</w:t>
      </w:r>
      <w:r w:rsidRPr="0027789B">
        <w:t xml:space="preserve"> * </w:t>
      </w:r>
      <w:r w:rsidRPr="0027789B">
        <w:rPr>
          <w:noProof/>
          <w:position w:val="-28"/>
        </w:rPr>
        <w:drawing>
          <wp:inline distT="0" distB="0" distL="0" distR="0" wp14:anchorId="112795DD" wp14:editId="36ACE965">
            <wp:extent cx="131445" cy="381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 cy="381000"/>
                    </a:xfrm>
                    <a:prstGeom prst="rect">
                      <a:avLst/>
                    </a:prstGeom>
                    <a:noFill/>
                    <a:ln>
                      <a:noFill/>
                    </a:ln>
                  </pic:spPr>
                </pic:pic>
              </a:graphicData>
            </a:graphic>
          </wp:inline>
        </w:drawing>
      </w:r>
      <w:r w:rsidRPr="0027789B">
        <w:t xml:space="preserve"> Qualifying Delivered Energy</w:t>
      </w:r>
      <w:r w:rsidRPr="0027789B">
        <w:rPr>
          <w:vertAlign w:val="subscript"/>
        </w:rPr>
        <w:t>i</w:t>
      </w:r>
    </w:p>
    <w:p w14:paraId="6DEC4691" w14:textId="77777777" w:rsidR="00461C7B" w:rsidRPr="0027789B" w:rsidRDefault="00461C7B" w:rsidP="00461C7B">
      <w:pPr>
        <w:pStyle w:val="Heading2Text"/>
        <w:tabs>
          <w:tab w:val="left" w:pos="1440"/>
        </w:tabs>
        <w:ind w:left="1440"/>
        <w:rPr>
          <w:iCs/>
          <w:kern w:val="32"/>
          <w:szCs w:val="24"/>
        </w:rPr>
      </w:pPr>
      <w:r w:rsidRPr="0027789B">
        <w:rPr>
          <w:iCs/>
          <w:kern w:val="32"/>
          <w:szCs w:val="24"/>
        </w:rPr>
        <w:t>where:</w:t>
      </w:r>
    </w:p>
    <w:p w14:paraId="1C5C24FC" w14:textId="0C733C7C" w:rsidR="00461C7B" w:rsidRPr="0027789B" w:rsidRDefault="00461C7B" w:rsidP="00461C7B">
      <w:pPr>
        <w:pStyle w:val="Heading2Text"/>
        <w:tabs>
          <w:tab w:val="left" w:pos="1800"/>
        </w:tabs>
        <w:ind w:left="1800"/>
      </w:pPr>
      <w:r w:rsidRPr="0027789B">
        <w:t>m = the relevant month within the Put Period being calculated</w:t>
      </w:r>
    </w:p>
    <w:p w14:paraId="16039836" w14:textId="77777777" w:rsidR="00461C7B" w:rsidRPr="0027789B" w:rsidRDefault="00461C7B" w:rsidP="00461C7B">
      <w:pPr>
        <w:pStyle w:val="Heading2Text"/>
        <w:tabs>
          <w:tab w:val="left" w:pos="1800"/>
        </w:tabs>
        <w:ind w:left="1800"/>
      </w:pPr>
      <w:r w:rsidRPr="0027789B">
        <w:t>y = the Contract Year corresponding to month “m”</w:t>
      </w:r>
    </w:p>
    <w:p w14:paraId="22F32018" w14:textId="77777777" w:rsidR="00461C7B" w:rsidRPr="0027789B" w:rsidRDefault="00461C7B" w:rsidP="00461C7B">
      <w:pPr>
        <w:pStyle w:val="Heading2Text"/>
        <w:tabs>
          <w:tab w:val="left" w:pos="1800"/>
        </w:tabs>
        <w:ind w:left="1800"/>
      </w:pPr>
      <w:r w:rsidRPr="0027789B">
        <w:t>n = the number of Settlement Intervals in month “m”</w:t>
      </w:r>
    </w:p>
    <w:p w14:paraId="6422EF57" w14:textId="77777777" w:rsidR="00461C7B" w:rsidRPr="0027789B" w:rsidRDefault="00461C7B" w:rsidP="00461C7B">
      <w:pPr>
        <w:pStyle w:val="Heading2Text"/>
        <w:tabs>
          <w:tab w:val="left" w:pos="1800"/>
        </w:tabs>
        <w:ind w:left="1800"/>
      </w:pPr>
      <w:r w:rsidRPr="0027789B">
        <w:t>i = the Settlement Interval in month “m”</w:t>
      </w:r>
    </w:p>
    <w:p w14:paraId="2B44C668" w14:textId="3BE4101A" w:rsidR="00461C7B" w:rsidRPr="00FF157D" w:rsidRDefault="00461C7B" w:rsidP="00461C7B">
      <w:pPr>
        <w:pStyle w:val="Heading2"/>
        <w:keepNext w:val="0"/>
        <w:keepLines w:val="0"/>
        <w:rPr>
          <w:u w:val="none"/>
        </w:rPr>
      </w:pPr>
      <w:bookmarkStart w:id="102" w:name="_Toc510788238"/>
      <w:r w:rsidRPr="0027789B">
        <w:t xml:space="preserve">Energy from Start-Up </w:t>
      </w:r>
      <w:r w:rsidR="0061201A">
        <w:t>(</w:t>
      </w:r>
      <w:r w:rsidRPr="0027789B">
        <w:t>Put Period</w:t>
      </w:r>
      <w:r w:rsidR="00550F51">
        <w:t>s</w:t>
      </w:r>
      <w:r w:rsidR="0061201A">
        <w:t>)</w:t>
      </w:r>
      <w:r w:rsidRPr="00FF157D">
        <w:rPr>
          <w:u w:val="none"/>
        </w:rPr>
        <w:t>.</w:t>
      </w:r>
      <w:bookmarkEnd w:id="102"/>
    </w:p>
    <w:p w14:paraId="087C498B" w14:textId="374A91FC" w:rsidR="00461C7B" w:rsidRPr="0027789B" w:rsidRDefault="00461C7B" w:rsidP="00461C7B">
      <w:pPr>
        <w:pStyle w:val="Heading2Text"/>
      </w:pPr>
      <w:r w:rsidRPr="0027789B">
        <w:t>In addition to all Energy discharged after a Start-Up, all Energy discharged prior to the Storage Unit achieving a Start-Up during the respective start-up cycle during any Put Period shall be for SCE’s account.</w:t>
      </w:r>
    </w:p>
    <w:p w14:paraId="231E1118" w14:textId="42CF3089" w:rsidR="00461C7B" w:rsidRPr="0027789B" w:rsidRDefault="00461C7B" w:rsidP="00461C7B">
      <w:pPr>
        <w:pStyle w:val="Heading2"/>
        <w:keepNext w:val="0"/>
        <w:keepLines w:val="0"/>
      </w:pPr>
      <w:bookmarkStart w:id="103" w:name="_Toc510788239"/>
      <w:r w:rsidRPr="0027789B">
        <w:t>Energy Adjustment Payment</w:t>
      </w:r>
      <w:r w:rsidR="00EF64EB">
        <w:t xml:space="preserve"> (Put Period</w:t>
      </w:r>
      <w:r w:rsidR="00550F51">
        <w:t>s</w:t>
      </w:r>
      <w:r w:rsidR="00EF64EB">
        <w:t>)</w:t>
      </w:r>
      <w:r w:rsidRPr="00FF157D">
        <w:rPr>
          <w:u w:val="none"/>
        </w:rPr>
        <w:t>.</w:t>
      </w:r>
      <w:bookmarkEnd w:id="103"/>
    </w:p>
    <w:p w14:paraId="53829704" w14:textId="2185D642" w:rsidR="00461C7B" w:rsidRPr="0027789B" w:rsidRDefault="00461C7B" w:rsidP="00461C7B">
      <w:pPr>
        <w:pStyle w:val="Heading2Text"/>
      </w:pPr>
      <w:r w:rsidRPr="0027789B">
        <w:t>If, in a month during a Put Period, a Storage Unit’s Actual Efficiency Factor is less than or greater than the Energy Efficiency Tolerance Band, then an Energy Adjustment Payment for the Storage Unit for that month will be calculated as follows:</w:t>
      </w:r>
    </w:p>
    <w:p w14:paraId="53E8515D" w14:textId="77777777" w:rsidR="00461C7B" w:rsidRPr="0027789B" w:rsidRDefault="00461C7B" w:rsidP="00461C7B">
      <w:pPr>
        <w:pStyle w:val="Heading3"/>
      </w:pPr>
      <w:r w:rsidRPr="0027789B">
        <w:t>The “</w:t>
      </w:r>
      <w:r w:rsidRPr="0027789B">
        <w:rPr>
          <w:u w:val="single"/>
        </w:rPr>
        <w:t>Actual Efficiency Factor</w:t>
      </w:r>
      <w:r w:rsidRPr="0027789B">
        <w:t>” for month “</w:t>
      </w:r>
      <w:r w:rsidRPr="0027789B">
        <w:rPr>
          <w:i/>
        </w:rPr>
        <w:t>m</w:t>
      </w:r>
      <w:r w:rsidRPr="0027789B">
        <w:t>” is given by:</w:t>
      </w:r>
    </w:p>
    <w:p w14:paraId="12863F9E" w14:textId="77777777" w:rsidR="00461C7B" w:rsidRPr="0027789B" w:rsidRDefault="00461C7B" w:rsidP="00461C7B">
      <w:pPr>
        <w:pStyle w:val="Heading4Text"/>
      </w:pPr>
      <m:oMathPara>
        <m:oMath>
          <m:r>
            <w:rPr>
              <w:rFonts w:ascii="Cambria Math" w:hAnsi="Cambria Math"/>
            </w:rPr>
            <m:t>AE</m:t>
          </m:r>
          <m:sSub>
            <m:sSubPr>
              <m:ctrlPr>
                <w:rPr>
                  <w:rFonts w:ascii="Cambria Math" w:hAnsi="Cambria Math"/>
                </w:rPr>
              </m:ctrlPr>
            </m:sSubPr>
            <m:e>
              <m:r>
                <w:rPr>
                  <w:rFonts w:ascii="Cambria Math" w:hAnsi="Cambria Math"/>
                </w:rPr>
                <m:t>F</m:t>
              </m:r>
            </m:e>
            <m:sub>
              <m:r>
                <w:rPr>
                  <w:rFonts w:ascii="Cambria Math" w:hAnsi="Cambria Math"/>
                </w:rPr>
                <m:t>m</m:t>
              </m:r>
            </m:sub>
          </m:sSub>
          <m:r>
            <m:rPr>
              <m:sty m:val="p"/>
            </m:rPr>
            <w:rPr>
              <w:rFonts w:ascii="Cambria Math" w:hAnsi="Cambria Math"/>
            </w:rPr>
            <m:t xml:space="preserve">= </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r>
                    <w:rPr>
                      <w:rFonts w:ascii="Cambria Math" w:hAnsi="Cambria Math"/>
                    </w:rPr>
                    <m:t>Discharg</m:t>
                  </m:r>
                  <m:sSub>
                    <m:sSubPr>
                      <m:ctrlPr>
                        <w:rPr>
                          <w:rFonts w:ascii="Cambria Math" w:hAnsi="Cambria Math"/>
                        </w:rPr>
                      </m:ctrlPr>
                    </m:sSubPr>
                    <m:e>
                      <m:r>
                        <w:rPr>
                          <w:rFonts w:ascii="Cambria Math" w:hAnsi="Cambria Math"/>
                        </w:rPr>
                        <m:t>e</m:t>
                      </m:r>
                    </m:e>
                    <m:sub>
                      <m:r>
                        <w:rPr>
                          <w:rFonts w:ascii="Cambria Math" w:hAnsi="Cambria Math"/>
                        </w:rPr>
                        <m:t>i</m:t>
                      </m:r>
                    </m:sub>
                  </m:sSub>
                </m:e>
              </m:nary>
              <m:r>
                <m:rPr>
                  <m:sty m:val="p"/>
                </m:rPr>
                <w:rPr>
                  <w:rFonts w:ascii="Cambria Math" w:hAnsi="Cambria Math"/>
                </w:rPr>
                <m:t xml:space="preserve"> +</m:t>
              </m:r>
              <m:r>
                <w:rPr>
                  <w:rFonts w:ascii="Cambria Math" w:hAnsi="Cambria Math"/>
                </w:rPr>
                <m:t>Available</m:t>
              </m:r>
              <m:r>
                <m:rPr>
                  <m:sty m:val="p"/>
                </m:rPr>
                <w:rPr>
                  <w:rFonts w:ascii="Cambria Math" w:hAnsi="Cambria Math"/>
                </w:rPr>
                <m:t xml:space="preserve"> </m:t>
              </m:r>
              <m:r>
                <w:rPr>
                  <w:rFonts w:ascii="Cambria Math" w:hAnsi="Cambria Math"/>
                </w:rPr>
                <m:t>Energ</m:t>
              </m:r>
              <m:sSub>
                <m:sSubPr>
                  <m:ctrlPr>
                    <w:rPr>
                      <w:rFonts w:ascii="Cambria Math" w:hAnsi="Cambria Math"/>
                    </w:rPr>
                  </m:ctrlPr>
                </m:sSubPr>
                <m:e>
                  <m:r>
                    <w:rPr>
                      <w:rFonts w:ascii="Cambria Math" w:hAnsi="Cambria Math"/>
                    </w:rPr>
                    <m:t>y</m:t>
                  </m:r>
                </m:e>
                <m:sub>
                  <m:r>
                    <w:rPr>
                      <w:rFonts w:ascii="Cambria Math" w:hAnsi="Cambria Math"/>
                    </w:rPr>
                    <m:t>end</m:t>
                  </m:r>
                </m:sub>
              </m:sSub>
              <m:r>
                <m:rPr>
                  <m:sty m:val="p"/>
                </m:rPr>
                <w:rPr>
                  <w:rFonts w:ascii="Cambria Math" w:hAnsi="Cambria Math"/>
                </w:rPr>
                <m:t>-</m:t>
              </m:r>
              <m:r>
                <w:rPr>
                  <w:rFonts w:ascii="Cambria Math" w:hAnsi="Cambria Math"/>
                </w:rPr>
                <m:t>Available</m:t>
              </m:r>
              <m:r>
                <m:rPr>
                  <m:sty m:val="p"/>
                </m:rPr>
                <w:rPr>
                  <w:rFonts w:ascii="Cambria Math" w:hAnsi="Cambria Math"/>
                </w:rPr>
                <m:t xml:space="preserve"> </m:t>
              </m:r>
              <m:r>
                <w:rPr>
                  <w:rFonts w:ascii="Cambria Math" w:hAnsi="Cambria Math"/>
                </w:rPr>
                <m:t>Energ</m:t>
              </m:r>
              <m:sSub>
                <m:sSubPr>
                  <m:ctrlPr>
                    <w:rPr>
                      <w:rFonts w:ascii="Cambria Math" w:hAnsi="Cambria Math"/>
                    </w:rPr>
                  </m:ctrlPr>
                </m:sSubPr>
                <m:e>
                  <m:r>
                    <w:rPr>
                      <w:rFonts w:ascii="Cambria Math" w:hAnsi="Cambria Math"/>
                    </w:rPr>
                    <m:t>y</m:t>
                  </m:r>
                </m:e>
                <m:sub>
                  <m:r>
                    <w:rPr>
                      <w:rFonts w:ascii="Cambria Math" w:hAnsi="Cambria Math"/>
                    </w:rPr>
                    <m:t>beg</m:t>
                  </m:r>
                </m:sub>
              </m:sSub>
            </m:num>
            <m:den>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rPr>
                      </m:ctrlPr>
                    </m:sSubPr>
                    <m:e>
                      <m:r>
                        <w:rPr>
                          <w:rFonts w:ascii="Cambria Math" w:hAnsi="Cambria Math"/>
                        </w:rPr>
                        <m:t>e</m:t>
                      </m:r>
                    </m:e>
                    <m:sub>
                      <m:r>
                        <w:rPr>
                          <w:rFonts w:ascii="Cambria Math" w:hAnsi="Cambria Math"/>
                        </w:rPr>
                        <m:t>i</m:t>
                      </m:r>
                    </m:sub>
                  </m:sSub>
                </m:e>
              </m:nary>
            </m:den>
          </m:f>
          <m:r>
            <m:rPr>
              <m:sty m:val="p"/>
            </m:rPr>
            <w:rPr>
              <w:rFonts w:ascii="Cambria Math" w:hAnsi="Cambria Math"/>
            </w:rPr>
            <m:t xml:space="preserve"> </m:t>
          </m:r>
        </m:oMath>
      </m:oMathPara>
    </w:p>
    <w:p w14:paraId="43435A47" w14:textId="77777777" w:rsidR="00461C7B" w:rsidRPr="0027789B" w:rsidRDefault="00461C7B" w:rsidP="00461C7B">
      <w:pPr>
        <w:pStyle w:val="Heading2Text"/>
        <w:ind w:left="2520"/>
        <w:rPr>
          <w:szCs w:val="24"/>
        </w:rPr>
      </w:pPr>
      <w:r w:rsidRPr="0027789B">
        <w:rPr>
          <w:szCs w:val="24"/>
        </w:rPr>
        <w:t>where:</w:t>
      </w:r>
    </w:p>
    <w:p w14:paraId="09EB3362" w14:textId="26795754" w:rsidR="00461C7B" w:rsidRPr="0027789B" w:rsidRDefault="00461C7B" w:rsidP="00461C7B">
      <w:pPr>
        <w:pStyle w:val="Heading2Text"/>
        <w:ind w:left="2880"/>
        <w:rPr>
          <w:szCs w:val="24"/>
        </w:rPr>
      </w:pPr>
      <w:r w:rsidRPr="0027789B">
        <w:rPr>
          <w:i/>
          <w:szCs w:val="24"/>
        </w:rPr>
        <w:t>m</w:t>
      </w:r>
      <w:r w:rsidRPr="0027789B">
        <w:rPr>
          <w:szCs w:val="24"/>
        </w:rPr>
        <w:t xml:space="preserve"> = the relevant month within the Put Period being calculated</w:t>
      </w:r>
    </w:p>
    <w:p w14:paraId="1F1EE50F" w14:textId="77777777" w:rsidR="00461C7B" w:rsidRPr="0027789B" w:rsidRDefault="00461C7B" w:rsidP="00461C7B">
      <w:pPr>
        <w:ind w:left="2880"/>
      </w:pPr>
      <w:r w:rsidRPr="0027789B">
        <w:rPr>
          <w:i/>
        </w:rPr>
        <w:t xml:space="preserve">N </w:t>
      </w:r>
      <w:r w:rsidRPr="0027789B">
        <w:t>= the number of Settlement Intervals in month “</w:t>
      </w:r>
      <w:r w:rsidRPr="0027789B">
        <w:rPr>
          <w:i/>
        </w:rPr>
        <w:t>m</w:t>
      </w:r>
      <w:r w:rsidRPr="0027789B">
        <w:t>”</w:t>
      </w:r>
    </w:p>
    <w:p w14:paraId="7F463B99" w14:textId="77777777" w:rsidR="00461C7B" w:rsidRPr="0027789B" w:rsidRDefault="00461C7B" w:rsidP="00461C7B">
      <w:pPr>
        <w:ind w:left="2880"/>
      </w:pPr>
      <w:r w:rsidRPr="0027789B">
        <w:rPr>
          <w:i/>
        </w:rPr>
        <w:t>i =</w:t>
      </w:r>
      <w:r w:rsidRPr="0027789B">
        <w:t xml:space="preserve"> the Settlement Interval in month “</w:t>
      </w:r>
      <w:r w:rsidRPr="0027789B">
        <w:rPr>
          <w:i/>
        </w:rPr>
        <w:t>m</w:t>
      </w:r>
      <w:r w:rsidRPr="0027789B">
        <w:t xml:space="preserve">” </w:t>
      </w:r>
    </w:p>
    <w:p w14:paraId="446963E7" w14:textId="77777777" w:rsidR="00461C7B" w:rsidRPr="0027789B" w:rsidRDefault="00461C7B" w:rsidP="00461C7B">
      <w:pPr>
        <w:ind w:left="2880"/>
      </w:pPr>
      <m:oMath>
        <m:r>
          <w:rPr>
            <w:rFonts w:ascii="Cambria Math" w:hAnsi="Cambria Math"/>
          </w:rPr>
          <m:t>Discharg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27789B">
        <w:t xml:space="preserve"> = the amount of energy (in MWh) discharged by the Storage Unit for the Settlement Interval “</w:t>
      </w:r>
      <w:r w:rsidRPr="0027789B">
        <w:rPr>
          <w:i/>
        </w:rPr>
        <w:t>i</w:t>
      </w:r>
      <w:r w:rsidRPr="0027789B">
        <w:t>” in month “</w:t>
      </w:r>
      <w:r w:rsidRPr="0027789B">
        <w:rPr>
          <w:i/>
        </w:rPr>
        <w:t>m</w:t>
      </w:r>
      <w:r w:rsidRPr="0027789B">
        <w:t>”</w:t>
      </w:r>
    </w:p>
    <w:p w14:paraId="1A2A708F" w14:textId="77777777" w:rsidR="00461C7B" w:rsidRPr="0027789B" w:rsidRDefault="00461C7B" w:rsidP="00461C7B">
      <w:pPr>
        <w:ind w:left="2880"/>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27789B">
        <w:t xml:space="preserve"> = the amount of energy (in MWh) used to charge the Storage Unit for the Settlement Interval “</w:t>
      </w:r>
      <w:r w:rsidRPr="0027789B">
        <w:rPr>
          <w:i/>
        </w:rPr>
        <w:t>i</w:t>
      </w:r>
      <w:r w:rsidRPr="0027789B">
        <w:t>” in month “</w:t>
      </w:r>
      <w:r w:rsidRPr="0027789B">
        <w:rPr>
          <w:i/>
        </w:rPr>
        <w:t>m</w:t>
      </w:r>
      <w:r w:rsidRPr="0027789B">
        <w:t>”</w:t>
      </w:r>
    </w:p>
    <w:p w14:paraId="692CD70B" w14:textId="1817F195" w:rsidR="00461C7B" w:rsidRPr="0027789B" w:rsidRDefault="00461C7B" w:rsidP="00461C7B">
      <w:pPr>
        <w:pStyle w:val="Heading2Text"/>
        <w:ind w:left="2880"/>
        <w:rPr>
          <w:color w:val="000000"/>
        </w:rPr>
      </w:pPr>
      <w:r w:rsidRPr="0027789B">
        <w:rPr>
          <w:i/>
          <w:iCs/>
          <w:color w:val="000000"/>
        </w:rPr>
        <w:lastRenderedPageBreak/>
        <w:t>Available Energy</w:t>
      </w:r>
      <w:r w:rsidRPr="0027789B">
        <w:rPr>
          <w:i/>
          <w:iCs/>
          <w:color w:val="000000"/>
          <w:vertAlign w:val="subscript"/>
        </w:rPr>
        <w:t xml:space="preserve">beg </w:t>
      </w:r>
      <w:r w:rsidRPr="0027789B">
        <w:rPr>
          <w:i/>
          <w:iCs/>
          <w:color w:val="000000"/>
        </w:rPr>
        <w:t xml:space="preserve">= </w:t>
      </w:r>
      <w:r w:rsidRPr="0027789B">
        <w:rPr>
          <w:iCs/>
          <w:color w:val="000000"/>
        </w:rPr>
        <w:t xml:space="preserve">the Stored Energy Level of the Storage Unit </w:t>
      </w:r>
      <w:r w:rsidRPr="0027789B">
        <w:rPr>
          <w:color w:val="000000"/>
        </w:rPr>
        <w:t>at the end of the last Settlement Interval in the month preceding month “</w:t>
      </w:r>
      <w:r w:rsidRPr="0027789B">
        <w:rPr>
          <w:i/>
          <w:iCs/>
          <w:color w:val="000000"/>
        </w:rPr>
        <w:t>m,</w:t>
      </w:r>
      <w:r w:rsidRPr="0027789B">
        <w:rPr>
          <w:color w:val="000000"/>
        </w:rPr>
        <w:t>” but excluding all months during any RA Period; provided that if such Settlement Interval is during a Seller Initiated Test, the end of the last Settlement Interval immediately preceding such Seller Initiated Test shall be used for such measurement</w:t>
      </w:r>
    </w:p>
    <w:p w14:paraId="7842AA91" w14:textId="77777777" w:rsidR="00461C7B" w:rsidRPr="0027789B" w:rsidRDefault="00461C7B" w:rsidP="00461C7B">
      <w:pPr>
        <w:pStyle w:val="Heading2Text"/>
        <w:ind w:left="2880"/>
        <w:rPr>
          <w:color w:val="000000"/>
        </w:rPr>
      </w:pPr>
      <w:r w:rsidRPr="0027789B">
        <w:rPr>
          <w:i/>
          <w:iCs/>
          <w:color w:val="000000"/>
        </w:rPr>
        <w:t>Available Energy</w:t>
      </w:r>
      <w:r w:rsidRPr="0027789B">
        <w:rPr>
          <w:i/>
          <w:iCs/>
          <w:color w:val="000000"/>
          <w:vertAlign w:val="subscript"/>
        </w:rPr>
        <w:t xml:space="preserve">end </w:t>
      </w:r>
      <w:r w:rsidRPr="0027789B">
        <w:rPr>
          <w:i/>
          <w:iCs/>
          <w:color w:val="000000"/>
        </w:rPr>
        <w:t xml:space="preserve">= </w:t>
      </w:r>
      <w:r w:rsidRPr="0027789B">
        <w:rPr>
          <w:iCs/>
          <w:color w:val="000000"/>
        </w:rPr>
        <w:t xml:space="preserve">the Stored Energy Level  of the Storage Unit </w:t>
      </w:r>
      <w:r w:rsidRPr="0027789B">
        <w:rPr>
          <w:color w:val="000000"/>
        </w:rPr>
        <w:t>at the end of the last Settlement Interval in month “</w:t>
      </w:r>
      <w:r w:rsidRPr="0027789B">
        <w:rPr>
          <w:i/>
          <w:iCs/>
          <w:color w:val="000000"/>
        </w:rPr>
        <w:t>m</w:t>
      </w:r>
      <w:r w:rsidRPr="0027789B">
        <w:rPr>
          <w:color w:val="000000"/>
        </w:rPr>
        <w:t>”; provided that if such Settlement Interval is during a Seller Initiated Test, the end of the last Settlement Interval immediately preceding such Seller Initiated Test shall be used for such measurement</w:t>
      </w:r>
    </w:p>
    <w:p w14:paraId="30967A42" w14:textId="77777777" w:rsidR="00461C7B" w:rsidRPr="0027789B" w:rsidRDefault="00461C7B" w:rsidP="00461C7B">
      <w:pPr>
        <w:pStyle w:val="Heading2Text"/>
        <w:ind w:left="2880"/>
        <w:rPr>
          <w:color w:val="000000"/>
        </w:rPr>
      </w:pPr>
      <w:r w:rsidRPr="0027789B">
        <w:t>“</w:t>
      </w:r>
      <w:r w:rsidRPr="0027789B">
        <w:rPr>
          <w:u w:val="single"/>
        </w:rPr>
        <w:t>Calculable Month</w:t>
      </w:r>
      <w:r w:rsidRPr="0027789B">
        <w:t xml:space="preserve">” shall mean a month where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oMath>
      <w:r w:rsidRPr="0027789B">
        <w:rPr>
          <w:i/>
        </w:rPr>
        <w:t xml:space="preserve">&gt; </w:t>
      </w:r>
      <w:r w:rsidRPr="0027789B">
        <w:t xml:space="preserve">0 and 0 ≤ </w:t>
      </w:r>
      <w:r w:rsidRPr="0027789B">
        <w:rPr>
          <w:i/>
        </w:rPr>
        <w:t>AEF</w:t>
      </w:r>
      <w:r w:rsidRPr="0027789B">
        <w:rPr>
          <w:i/>
          <w:vertAlign w:val="subscript"/>
        </w:rPr>
        <w:t>m</w:t>
      </w:r>
      <w:r w:rsidRPr="0027789B">
        <w:t xml:space="preserve"> ≤ 1</w:t>
      </w:r>
      <w:r>
        <w:t>;</w:t>
      </w:r>
    </w:p>
    <w:p w14:paraId="17DCF9F0" w14:textId="77777777" w:rsidR="00461C7B" w:rsidRPr="0027789B" w:rsidRDefault="00461C7B" w:rsidP="00461C7B">
      <w:pPr>
        <w:pStyle w:val="Heading2Text"/>
        <w:ind w:left="2880"/>
        <w:rPr>
          <w:iCs/>
          <w:color w:val="000000"/>
        </w:rPr>
      </w:pPr>
      <w:r w:rsidRPr="00FF157D">
        <w:rPr>
          <w:color w:val="000000"/>
        </w:rPr>
        <w:t>provided</w:t>
      </w:r>
      <w:r w:rsidRPr="0027789B">
        <w:rPr>
          <w:iCs/>
          <w:color w:val="000000"/>
        </w:rPr>
        <w:t xml:space="preserve">, if for month “m” </w:t>
      </w:r>
    </w:p>
    <w:p w14:paraId="136D3C5D" w14:textId="77777777" w:rsidR="00461C7B" w:rsidRPr="0027789B" w:rsidRDefault="00461C7B" w:rsidP="00461C7B">
      <w:pPr>
        <w:pStyle w:val="Heading2Text"/>
        <w:ind w:left="3240"/>
      </w:pPr>
      <w:r w:rsidRPr="0027789B">
        <w:rPr>
          <w:iCs/>
          <w:color w:val="000000"/>
        </w:rPr>
        <w:t xml:space="preserve">(i) </w:t>
      </w: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oMath>
      <w:r w:rsidRPr="0027789B">
        <w:rPr>
          <w:i/>
        </w:rPr>
        <w:t xml:space="preserve">= </w:t>
      </w:r>
      <w:r w:rsidRPr="0027789B">
        <w:t xml:space="preserve">0, </w:t>
      </w:r>
    </w:p>
    <w:p w14:paraId="60B17CE5" w14:textId="77777777" w:rsidR="00461C7B" w:rsidRPr="0027789B" w:rsidRDefault="00461C7B" w:rsidP="00461C7B">
      <w:pPr>
        <w:pStyle w:val="Heading2Text"/>
        <w:ind w:left="3240"/>
      </w:pPr>
      <w:r w:rsidRPr="0027789B">
        <w:t xml:space="preserve">(ii) </w:t>
      </w:r>
      <w:r w:rsidRPr="0027789B">
        <w:rPr>
          <w:i/>
        </w:rPr>
        <w:t>AEF</w:t>
      </w:r>
      <w:r w:rsidRPr="0027789B">
        <w:rPr>
          <w:i/>
          <w:vertAlign w:val="subscript"/>
        </w:rPr>
        <w:t>m</w:t>
      </w:r>
      <w:r w:rsidRPr="0027789B">
        <w:t xml:space="preserve"> &gt; 1, or </w:t>
      </w:r>
    </w:p>
    <w:p w14:paraId="1411577A" w14:textId="77777777" w:rsidR="00461C7B" w:rsidRPr="0027789B" w:rsidRDefault="00461C7B" w:rsidP="00461C7B">
      <w:pPr>
        <w:pStyle w:val="Heading2Text"/>
        <w:ind w:left="3240"/>
      </w:pPr>
      <w:r w:rsidRPr="0027789B">
        <w:t xml:space="preserve">(iii) </w:t>
      </w:r>
      <w:r w:rsidRPr="0027789B">
        <w:rPr>
          <w:i/>
        </w:rPr>
        <w:t>AEF</w:t>
      </w:r>
      <w:r w:rsidRPr="0027789B">
        <w:rPr>
          <w:i/>
          <w:vertAlign w:val="subscript"/>
        </w:rPr>
        <w:t>m</w:t>
      </w:r>
      <w:r w:rsidRPr="0027789B">
        <w:t xml:space="preserve"> &lt; 0, </w:t>
      </w:r>
    </w:p>
    <w:p w14:paraId="7855A794" w14:textId="77777777" w:rsidR="00461C7B" w:rsidRPr="0027789B" w:rsidRDefault="00461C7B" w:rsidP="00461C7B">
      <w:pPr>
        <w:pStyle w:val="Heading2Text"/>
        <w:ind w:left="3240"/>
      </w:pPr>
      <w:r w:rsidRPr="0027789B">
        <w:t xml:space="preserve">then </w:t>
      </w:r>
    </w:p>
    <w:p w14:paraId="090AC4D1" w14:textId="77777777" w:rsidR="00461C7B" w:rsidRPr="0027789B" w:rsidRDefault="00461C7B" w:rsidP="00461C7B">
      <w:pPr>
        <w:pStyle w:val="Heading2Text"/>
        <w:ind w:left="3240"/>
      </w:pPr>
      <w:r w:rsidRPr="0027789B">
        <w:t xml:space="preserve">(x) there shall be no Energy Adjustment Payment for such month, </w:t>
      </w:r>
    </w:p>
    <w:p w14:paraId="7D2D36B3" w14:textId="125E5BF0" w:rsidR="00461C7B" w:rsidRPr="0027789B" w:rsidRDefault="00461C7B" w:rsidP="00461C7B">
      <w:pPr>
        <w:pStyle w:val="Heading2Text"/>
        <w:ind w:left="3240"/>
      </w:pPr>
      <w:r w:rsidRPr="0027789B">
        <w:t>(y) the Actual Efficiency Factor and the Energy Adjustment Payment calculated for the next month that is a Calculable Month (the “</w:t>
      </w:r>
      <w:r w:rsidRPr="0027789B">
        <w:rPr>
          <w:u w:val="single"/>
        </w:rPr>
        <w:t>Calculated Month</w:t>
      </w:r>
      <w:r w:rsidRPr="0027789B">
        <w:t xml:space="preserve">”) shall be based on all of the </w:t>
      </w:r>
      <w:r w:rsidRPr="0027789B">
        <w:rPr>
          <w:i/>
        </w:rPr>
        <w:t>Discharge</w:t>
      </w:r>
      <w:r w:rsidRPr="0027789B">
        <w:rPr>
          <w:i/>
          <w:vertAlign w:val="subscript"/>
        </w:rPr>
        <w:t>i</w:t>
      </w:r>
      <w:r w:rsidRPr="0027789B">
        <w:t xml:space="preserve"> and </w:t>
      </w:r>
      <w:r w:rsidRPr="0027789B">
        <w:rPr>
          <w:i/>
        </w:rPr>
        <w:t>Charge</w:t>
      </w:r>
      <w:r w:rsidRPr="0027789B">
        <w:rPr>
          <w:i/>
          <w:vertAlign w:val="subscript"/>
        </w:rPr>
        <w:t>i</w:t>
      </w:r>
      <w:r w:rsidRPr="0027789B">
        <w:t xml:space="preserve"> Settlement Interval data for the period after the most recent Calculable Month that is not the Calculated Month until the end of the Calculated Month, but excluding all months during any RA Period, (the “</w:t>
      </w:r>
      <w:r w:rsidRPr="0027789B">
        <w:rPr>
          <w:u w:val="single"/>
        </w:rPr>
        <w:t>Energy Adjustment Period</w:t>
      </w:r>
      <w:r w:rsidRPr="0027789B">
        <w:t xml:space="preserve">”) and the </w:t>
      </w:r>
      <w:r w:rsidRPr="0027789B">
        <w:rPr>
          <w:i/>
          <w:iCs/>
          <w:color w:val="000000"/>
        </w:rPr>
        <w:t>Available Energy</w:t>
      </w:r>
      <w:r w:rsidRPr="0027789B">
        <w:rPr>
          <w:i/>
          <w:iCs/>
          <w:color w:val="000000"/>
          <w:vertAlign w:val="subscript"/>
        </w:rPr>
        <w:t xml:space="preserve">beg </w:t>
      </w:r>
      <w:r w:rsidRPr="0027789B">
        <w:rPr>
          <w:iCs/>
          <w:color w:val="000000"/>
        </w:rPr>
        <w:t xml:space="preserve">shall be the amount of energy (in MWh) stored in the Storage Unit available for discharge </w:t>
      </w:r>
      <w:r w:rsidRPr="0027789B">
        <w:rPr>
          <w:color w:val="000000"/>
        </w:rPr>
        <w:t>at the end of the last Settlement Interval in the month preceding the first month of the Energy Adjustment Period</w:t>
      </w:r>
      <w:r w:rsidRPr="0027789B">
        <w:t>, but excluding all months during any RA Period,</w:t>
      </w:r>
      <w:r w:rsidRPr="0027789B">
        <w:rPr>
          <w:color w:val="000000"/>
        </w:rPr>
        <w:t xml:space="preserve"> and </w:t>
      </w:r>
      <w:r w:rsidRPr="0027789B">
        <w:rPr>
          <w:i/>
          <w:iCs/>
          <w:color w:val="000000"/>
        </w:rPr>
        <w:t>Available Energy</w:t>
      </w:r>
      <w:r w:rsidRPr="0027789B">
        <w:rPr>
          <w:i/>
          <w:iCs/>
          <w:color w:val="000000"/>
          <w:vertAlign w:val="subscript"/>
        </w:rPr>
        <w:t xml:space="preserve">end </w:t>
      </w:r>
      <w:r w:rsidRPr="0027789B">
        <w:rPr>
          <w:iCs/>
          <w:color w:val="000000"/>
        </w:rPr>
        <w:t>shall be the amount of energy (in MWh) stored in the Storage Unit available for discharge</w:t>
      </w:r>
      <w:r w:rsidRPr="0027789B">
        <w:rPr>
          <w:color w:val="000000"/>
        </w:rPr>
        <w:t xml:space="preserve"> at </w:t>
      </w:r>
      <w:r w:rsidRPr="0027789B">
        <w:rPr>
          <w:color w:val="000000"/>
        </w:rPr>
        <w:lastRenderedPageBreak/>
        <w:t>the end of the last Settlement Interval of the Calculated Month,</w:t>
      </w:r>
      <w:r w:rsidRPr="0027789B">
        <w:t xml:space="preserve"> and </w:t>
      </w:r>
    </w:p>
    <w:p w14:paraId="4A987ABF" w14:textId="23CF1085" w:rsidR="00461C7B" w:rsidRPr="0027789B" w:rsidRDefault="00461C7B" w:rsidP="00461C7B">
      <w:pPr>
        <w:pStyle w:val="Heading2Text"/>
        <w:ind w:left="3240"/>
      </w:pPr>
      <w:r w:rsidRPr="0027789B">
        <w:t>(z) no Energy Efficiency Capacity Payment Reduction shall be applied to the Reduced Monthly Energy Capacity Payment for such month until an Actual Efficiency Factor can be calculated pursuant to subsection (y), and such Actual Efficiency Factor shall be used to calculate the Energy Efficiency Capacity Payment Reduction, if any, for each month in the Energy Adjustment Period and shall be applied to the Reduced Monthly Energy Capacity Payment for each month in the Energy Adjustment Period</w:t>
      </w:r>
      <w:r>
        <w:t xml:space="preserve">. </w:t>
      </w:r>
      <w:r w:rsidRPr="0027789B">
        <w:t xml:space="preserve">Any adjustment made </w:t>
      </w:r>
      <w:r w:rsidRPr="001E217F">
        <w:t xml:space="preserve">under this subsection (z) shall be made retroactively </w:t>
      </w:r>
      <w:r w:rsidRPr="0024612D">
        <w:t>pursuant to Section</w:t>
      </w:r>
      <w:r w:rsidRPr="001E217F">
        <w:t xml:space="preserve"> </w:t>
      </w:r>
      <w:r w:rsidR="0024612D">
        <w:t>3</w:t>
      </w:r>
      <w:r w:rsidRPr="001E217F">
        <w:t>.03.</w:t>
      </w:r>
    </w:p>
    <w:p w14:paraId="56A9C5D4" w14:textId="77777777" w:rsidR="00461C7B" w:rsidRPr="0027789B" w:rsidRDefault="00461C7B" w:rsidP="00461C7B">
      <w:pPr>
        <w:pStyle w:val="Heading3"/>
        <w:rPr>
          <w:iCs/>
          <w:kern w:val="32"/>
          <w:szCs w:val="24"/>
        </w:rPr>
      </w:pPr>
      <w:r w:rsidRPr="0027789B">
        <w:t>The deviation from the Guaranteed Efficiency Factor Min for month “</w:t>
      </w:r>
      <w:r w:rsidRPr="0027789B">
        <w:rPr>
          <w:i/>
        </w:rPr>
        <w:t>m”</w:t>
      </w:r>
      <w:r w:rsidRPr="0027789B">
        <w:t xml:space="preserve"> is:</w:t>
      </w:r>
    </w:p>
    <w:p w14:paraId="4A174B0E" w14:textId="77777777" w:rsidR="00461C7B" w:rsidRPr="0027789B" w:rsidRDefault="00D700F7" w:rsidP="00461C7B">
      <w:pPr>
        <w:pStyle w:val="Heading2Text"/>
        <w:tabs>
          <w:tab w:val="left" w:pos="540"/>
        </w:tabs>
        <w:spacing w:before="0"/>
        <w:ind w:left="2880" w:firstLine="90"/>
        <w:rPr>
          <w:rFonts w:ascii="Cambria Math" w:eastAsia="Times New Roman" w:hAnsi="Cambria Math" w:cs="Times New Roman"/>
          <w:color w:val="auto"/>
          <w:szCs w:val="24"/>
        </w:rPr>
      </w:pPr>
      <m:oMathPara>
        <m:oMathParaPr>
          <m:jc m:val="left"/>
        </m:oMathParaPr>
        <m:oMath>
          <m:sSub>
            <m:sSubPr>
              <m:ctrlPr>
                <w:rPr>
                  <w:rFonts w:ascii="Cambria Math" w:eastAsia="Times New Roman" w:hAnsi="Cambria Math" w:cs="Times New Roman"/>
                  <w:color w:val="auto"/>
                  <w:szCs w:val="24"/>
                </w:rPr>
              </m:ctrlPr>
            </m:sSubPr>
            <m:e>
              <m:r>
                <m:rPr>
                  <m:sty m:val="p"/>
                </m:rPr>
                <w:rPr>
                  <w:rFonts w:ascii="Cambria Math" w:eastAsia="Times New Roman" w:hAnsi="Cambria Math" w:cs="Times New Roman"/>
                  <w:color w:val="auto"/>
                  <w:szCs w:val="24"/>
                </w:rPr>
                <m:t>δ</m:t>
              </m:r>
            </m:e>
            <m:sub>
              <m:r>
                <m:rPr>
                  <m:sty m:val="p"/>
                </m:rPr>
                <w:rPr>
                  <w:rFonts w:ascii="Cambria Math" w:eastAsia="Times New Roman" w:hAnsi="Cambria Math" w:cs="Times New Roman"/>
                  <w:color w:val="auto"/>
                  <w:szCs w:val="24"/>
                </w:rPr>
                <m:t>Min</m:t>
              </m:r>
            </m:sub>
          </m:sSub>
          <m:r>
            <m:rPr>
              <m:sty m:val="p"/>
            </m:rPr>
            <w:rPr>
              <w:rFonts w:ascii="Cambria Math" w:eastAsia="Times New Roman" w:hAnsi="Cambria Math" w:cs="Times New Roman"/>
              <w:color w:val="auto"/>
              <w:szCs w:val="24"/>
            </w:rPr>
            <m:t xml:space="preserve">= </m:t>
          </m:r>
          <m:f>
            <m:fPr>
              <m:ctrlPr>
                <w:rPr>
                  <w:rFonts w:ascii="Cambria Math" w:eastAsia="Times New Roman" w:hAnsi="Cambria Math" w:cs="Times New Roman"/>
                  <w:color w:val="auto"/>
                  <w:szCs w:val="24"/>
                </w:rPr>
              </m:ctrlPr>
            </m:fPr>
            <m:num>
              <m:r>
                <w:rPr>
                  <w:rFonts w:ascii="Cambria Math" w:eastAsia="Times New Roman" w:hAnsi="Cambria Math" w:cs="Times New Roman"/>
                  <w:color w:val="auto"/>
                  <w:szCs w:val="24"/>
                </w:rPr>
                <m:t>AE</m:t>
              </m:r>
              <m:sSub>
                <m:sSubPr>
                  <m:ctrlPr>
                    <w:rPr>
                      <w:rFonts w:ascii="Cambria Math" w:eastAsia="Times New Roman" w:hAnsi="Cambria Math" w:cs="Times New Roman"/>
                      <w:color w:val="auto"/>
                      <w:szCs w:val="24"/>
                    </w:rPr>
                  </m:ctrlPr>
                </m:sSubPr>
                <m:e>
                  <m:r>
                    <w:rPr>
                      <w:rFonts w:ascii="Cambria Math" w:eastAsia="Times New Roman" w:hAnsi="Cambria Math" w:cs="Times New Roman"/>
                      <w:color w:val="auto"/>
                      <w:szCs w:val="24"/>
                    </w:rPr>
                    <m:t>F</m:t>
                  </m:r>
                </m:e>
                <m:sub>
                  <m:r>
                    <w:rPr>
                      <w:rFonts w:ascii="Cambria Math" w:eastAsia="Times New Roman" w:hAnsi="Cambria Math" w:cs="Times New Roman"/>
                      <w:color w:val="auto"/>
                      <w:szCs w:val="24"/>
                    </w:rPr>
                    <m:t>m</m:t>
                  </m:r>
                </m:sub>
              </m:sSub>
              <m:r>
                <m:rPr>
                  <m:sty m:val="p"/>
                </m:rPr>
                <w:rPr>
                  <w:rFonts w:ascii="Cambria Math" w:eastAsia="Times New Roman" w:hAnsi="Cambria Math" w:cs="Times New Roman"/>
                  <w:color w:val="auto"/>
                  <w:szCs w:val="24"/>
                </w:rPr>
                <m:t>-</m:t>
              </m:r>
              <m:r>
                <w:rPr>
                  <w:rFonts w:ascii="Cambria Math" w:eastAsia="Times New Roman" w:hAnsi="Cambria Math" w:cs="Times New Roman"/>
                  <w:color w:val="auto"/>
                  <w:szCs w:val="24"/>
                </w:rPr>
                <m:t>GE</m:t>
              </m:r>
              <m:sSup>
                <m:sSupPr>
                  <m:ctrlPr>
                    <w:rPr>
                      <w:rFonts w:ascii="Cambria Math" w:eastAsia="Times New Roman" w:hAnsi="Cambria Math" w:cs="Times New Roman"/>
                      <w:color w:val="auto"/>
                      <w:szCs w:val="24"/>
                    </w:rPr>
                  </m:ctrlPr>
                </m:sSupPr>
                <m:e>
                  <m:r>
                    <w:rPr>
                      <w:rFonts w:ascii="Cambria Math" w:eastAsia="Times New Roman" w:hAnsi="Cambria Math" w:cs="Times New Roman"/>
                      <w:color w:val="auto"/>
                      <w:szCs w:val="24"/>
                    </w:rPr>
                    <m:t>F</m:t>
                  </m:r>
                </m:e>
                <m:sup>
                  <m:r>
                    <w:rPr>
                      <w:rFonts w:ascii="Cambria Math" w:eastAsia="Times New Roman" w:hAnsi="Cambria Math" w:cs="Times New Roman"/>
                      <w:color w:val="auto"/>
                      <w:szCs w:val="24"/>
                    </w:rPr>
                    <m:t>Min</m:t>
                  </m:r>
                </m:sup>
              </m:sSup>
              <m:r>
                <m:rPr>
                  <m:sty m:val="p"/>
                </m:rPr>
                <w:rPr>
                  <w:rFonts w:ascii="Cambria Math" w:eastAsia="Times New Roman" w:hAnsi="Cambria Math" w:cs="Times New Roman"/>
                  <w:color w:val="auto"/>
                  <w:szCs w:val="24"/>
                </w:rPr>
                <m:t xml:space="preserve"> </m:t>
              </m:r>
            </m:num>
            <m:den>
              <m:r>
                <w:rPr>
                  <w:rFonts w:ascii="Cambria Math" w:eastAsia="Times New Roman" w:hAnsi="Cambria Math" w:cs="Times New Roman"/>
                  <w:color w:val="auto"/>
                  <w:szCs w:val="24"/>
                </w:rPr>
                <m:t>GE</m:t>
              </m:r>
              <m:sSup>
                <m:sSupPr>
                  <m:ctrlPr>
                    <w:rPr>
                      <w:rFonts w:ascii="Cambria Math" w:eastAsia="Times New Roman" w:hAnsi="Cambria Math" w:cs="Times New Roman"/>
                      <w:color w:val="auto"/>
                      <w:szCs w:val="24"/>
                    </w:rPr>
                  </m:ctrlPr>
                </m:sSupPr>
                <m:e>
                  <m:r>
                    <w:rPr>
                      <w:rFonts w:ascii="Cambria Math" w:eastAsia="Times New Roman" w:hAnsi="Cambria Math" w:cs="Times New Roman"/>
                      <w:color w:val="auto"/>
                      <w:szCs w:val="24"/>
                    </w:rPr>
                    <m:t>F</m:t>
                  </m:r>
                </m:e>
                <m:sup>
                  <m:r>
                    <w:rPr>
                      <w:rFonts w:ascii="Cambria Math" w:eastAsia="Times New Roman" w:hAnsi="Cambria Math" w:cs="Times New Roman"/>
                      <w:color w:val="auto"/>
                      <w:szCs w:val="24"/>
                    </w:rPr>
                    <m:t>Min</m:t>
                  </m:r>
                </m:sup>
              </m:sSup>
            </m:den>
          </m:f>
        </m:oMath>
      </m:oMathPara>
    </w:p>
    <w:p w14:paraId="7AA72748" w14:textId="77777777" w:rsidR="00461C7B" w:rsidRPr="0027789B" w:rsidRDefault="00461C7B" w:rsidP="00461C7B">
      <w:pPr>
        <w:pStyle w:val="Heading2Text"/>
        <w:ind w:left="3240"/>
        <w:rPr>
          <w:iCs/>
          <w:kern w:val="32"/>
          <w:szCs w:val="24"/>
        </w:rPr>
      </w:pPr>
      <w:r w:rsidRPr="0027789B">
        <w:rPr>
          <w:iCs/>
          <w:kern w:val="32"/>
          <w:szCs w:val="24"/>
        </w:rPr>
        <w:t>where:</w:t>
      </w:r>
    </w:p>
    <w:p w14:paraId="799AF521" w14:textId="48F9C6A0" w:rsidR="00461C7B" w:rsidRPr="0027789B" w:rsidRDefault="00461C7B" w:rsidP="00461C7B">
      <w:pPr>
        <w:pStyle w:val="Heading2Text"/>
        <w:ind w:left="3600"/>
        <w:rPr>
          <w:szCs w:val="24"/>
        </w:rPr>
      </w:pPr>
      <w:r w:rsidRPr="0027789B">
        <w:rPr>
          <w:i/>
          <w:szCs w:val="24"/>
        </w:rPr>
        <w:t>m</w:t>
      </w:r>
      <w:r w:rsidRPr="0027789B">
        <w:rPr>
          <w:szCs w:val="24"/>
        </w:rPr>
        <w:t xml:space="preserve"> = the relevant month within the Put Period being calculated</w:t>
      </w:r>
    </w:p>
    <w:p w14:paraId="48BAFC7B" w14:textId="5CC93F13" w:rsidR="00461C7B" w:rsidRPr="00E335BC" w:rsidRDefault="00D700F7" w:rsidP="00461C7B">
      <w:pPr>
        <w:pStyle w:val="Heading2Text"/>
        <w:ind w:left="3600"/>
        <w:rPr>
          <w:szCs w:val="24"/>
          <w:u w:val="single"/>
        </w:rPr>
      </w:pPr>
      <m:oMath>
        <m:sSup>
          <m:sSupPr>
            <m:ctrlPr>
              <w:rPr>
                <w:rFonts w:ascii="Cambria Math" w:hAnsi="Cambria Math"/>
                <w:i/>
              </w:rPr>
            </m:ctrlPr>
          </m:sSupPr>
          <m:e>
            <m:r>
              <w:rPr>
                <w:rFonts w:ascii="Cambria Math" w:hAnsi="Cambria Math"/>
              </w:rPr>
              <m:t>GEF</m:t>
            </m:r>
          </m:e>
          <m:sup>
            <m:r>
              <w:rPr>
                <w:rFonts w:ascii="Cambria Math" w:hAnsi="Cambria Math"/>
              </w:rPr>
              <m:t>Min</m:t>
            </m:r>
          </m:sup>
        </m:sSup>
      </m:oMath>
      <w:r w:rsidR="00461C7B" w:rsidRPr="0027789B">
        <w:t xml:space="preserve"> = the </w:t>
      </w:r>
      <w:r w:rsidR="00461C7B" w:rsidRPr="00E335BC">
        <w:t xml:space="preserve">applicable Guaranteed Efficiency Factor Min for the Storage Unit as set forth in </w:t>
      </w:r>
      <w:r w:rsidR="00461C7B" w:rsidRPr="00482B73">
        <w:rPr>
          <w:u w:val="single"/>
        </w:rPr>
        <w:t xml:space="preserve">Exhibit </w:t>
      </w:r>
      <w:r w:rsidR="00CF10CD">
        <w:rPr>
          <w:u w:val="single"/>
        </w:rPr>
        <w:t>D</w:t>
      </w:r>
    </w:p>
    <w:p w14:paraId="4874E083" w14:textId="77777777" w:rsidR="00461C7B" w:rsidRPr="00E335BC" w:rsidRDefault="00461C7B" w:rsidP="00461C7B">
      <w:pPr>
        <w:pStyle w:val="Heading3"/>
        <w:rPr>
          <w:iCs/>
          <w:kern w:val="32"/>
          <w:szCs w:val="24"/>
        </w:rPr>
      </w:pPr>
      <w:r w:rsidRPr="00E335BC">
        <w:t>The deviation from the Guaranteed Efficiency Factor Max for month “</w:t>
      </w:r>
      <w:r w:rsidRPr="00E335BC">
        <w:rPr>
          <w:i/>
        </w:rPr>
        <w:t>m</w:t>
      </w:r>
      <w:r w:rsidRPr="00E335BC">
        <w:t>” is:</w:t>
      </w:r>
    </w:p>
    <w:p w14:paraId="46D5D5A9" w14:textId="77777777" w:rsidR="00461C7B" w:rsidRPr="00E335BC" w:rsidRDefault="00D700F7" w:rsidP="00461C7B">
      <w:pPr>
        <w:pStyle w:val="Heading2Text"/>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Max</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Max</m:t>
                  </m:r>
                </m:sup>
              </m:sSup>
              <m:r>
                <w:rPr>
                  <w:rFonts w:ascii="Cambria Math" w:hAnsi="Cambria Math"/>
                  <w:szCs w:val="24"/>
                </w:rPr>
                <m:t xml:space="preserve"> </m:t>
              </m:r>
            </m:num>
            <m:den>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Max</m:t>
                  </m:r>
                </m:sup>
              </m:sSup>
            </m:den>
          </m:f>
        </m:oMath>
      </m:oMathPara>
    </w:p>
    <w:p w14:paraId="14728698" w14:textId="77777777" w:rsidR="00461C7B" w:rsidRPr="00E335BC" w:rsidRDefault="00461C7B" w:rsidP="00461C7B">
      <w:pPr>
        <w:pStyle w:val="Heading2Text"/>
        <w:ind w:left="3240"/>
        <w:rPr>
          <w:iCs/>
          <w:kern w:val="32"/>
          <w:szCs w:val="24"/>
        </w:rPr>
      </w:pPr>
      <w:r w:rsidRPr="00E335BC">
        <w:rPr>
          <w:iCs/>
          <w:kern w:val="32"/>
          <w:szCs w:val="24"/>
        </w:rPr>
        <w:t>where:</w:t>
      </w:r>
    </w:p>
    <w:p w14:paraId="08A232AA" w14:textId="3145CA0F" w:rsidR="00461C7B" w:rsidRPr="00E335BC" w:rsidRDefault="00461C7B" w:rsidP="00461C7B">
      <w:pPr>
        <w:pStyle w:val="Heading2Text"/>
        <w:ind w:left="3600"/>
        <w:rPr>
          <w:szCs w:val="24"/>
        </w:rPr>
      </w:pPr>
      <w:r w:rsidRPr="00E335BC">
        <w:rPr>
          <w:i/>
          <w:szCs w:val="24"/>
        </w:rPr>
        <w:t>m</w:t>
      </w:r>
      <w:r w:rsidRPr="00E335BC">
        <w:rPr>
          <w:szCs w:val="24"/>
        </w:rPr>
        <w:t xml:space="preserve"> = the relevant month within the Put Period being calculated</w:t>
      </w:r>
    </w:p>
    <w:p w14:paraId="517E5523" w14:textId="2F85B3CA" w:rsidR="00461C7B" w:rsidRPr="0027789B" w:rsidRDefault="00461C7B" w:rsidP="00461C7B">
      <w:pPr>
        <w:pStyle w:val="Heading2Text"/>
        <w:ind w:left="3600"/>
        <w:rPr>
          <w:szCs w:val="24"/>
          <w:u w:val="single"/>
        </w:rPr>
      </w:pP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Max </m:t>
            </m:r>
          </m:sup>
        </m:sSup>
      </m:oMath>
      <w:r w:rsidRPr="00E335BC">
        <w:rPr>
          <w:szCs w:val="24"/>
        </w:rPr>
        <w:t xml:space="preserve">= the applicable Guaranteed Efficiency Factor Max for the Storage Unit as set forth in </w:t>
      </w:r>
      <w:r w:rsidRPr="00482B73">
        <w:rPr>
          <w:u w:val="single"/>
        </w:rPr>
        <w:t xml:space="preserve">Exhibit </w:t>
      </w:r>
      <w:r w:rsidR="00CF10CD">
        <w:rPr>
          <w:u w:val="single"/>
        </w:rPr>
        <w:t>D</w:t>
      </w:r>
    </w:p>
    <w:p w14:paraId="7694EE16" w14:textId="77777777" w:rsidR="00461C7B" w:rsidRPr="0027789B" w:rsidRDefault="00461C7B" w:rsidP="00461C7B">
      <w:pPr>
        <w:pStyle w:val="Heading3"/>
        <w:rPr>
          <w:iCs/>
          <w:kern w:val="32"/>
        </w:rPr>
      </w:pPr>
      <w:r w:rsidRPr="0027789B">
        <w:t>The “</w:t>
      </w:r>
      <w:r w:rsidRPr="0027789B">
        <w:rPr>
          <w:u w:val="single"/>
        </w:rPr>
        <w:t>Energy Efficiency Tolerance Band</w:t>
      </w:r>
      <w:r w:rsidRPr="0027789B">
        <w:t xml:space="preserve">” is from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Min</m:t>
            </m:r>
          </m:sup>
        </m:sSup>
      </m:oMath>
      <w:r w:rsidRPr="0027789B">
        <w:rPr>
          <w:i/>
        </w:rPr>
        <w:t xml:space="preserve"> </w:t>
      </w:r>
      <w:r w:rsidRPr="0027789B">
        <w:t xml:space="preserve">to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Max</m:t>
            </m:r>
          </m:sup>
        </m:sSup>
      </m:oMath>
      <w:r w:rsidRPr="0027789B">
        <w:t>, inclusive.</w:t>
      </w:r>
    </w:p>
    <w:p w14:paraId="4A7EC20B" w14:textId="77777777" w:rsidR="00461C7B" w:rsidRPr="0027789B" w:rsidRDefault="00461C7B" w:rsidP="00461C7B">
      <w:pPr>
        <w:pStyle w:val="Heading3"/>
        <w:rPr>
          <w:iCs/>
          <w:kern w:val="32"/>
        </w:rPr>
      </w:pPr>
      <w:r w:rsidRPr="0027789B">
        <w:lastRenderedPageBreak/>
        <w:t>The “</w:t>
      </w:r>
      <w:r w:rsidRPr="0027789B">
        <w:rPr>
          <w:u w:val="single"/>
        </w:rPr>
        <w:t>Energy Adjustment Payment</w:t>
      </w:r>
      <w:r w:rsidRPr="0027789B">
        <w:t>” for month “</w:t>
      </w:r>
      <w:r w:rsidRPr="00FF157D">
        <w:rPr>
          <w:i/>
        </w:rPr>
        <w:t>m</w:t>
      </w:r>
      <w:r w:rsidRPr="0027789B">
        <w:t xml:space="preserve">” shall be as follows: </w:t>
      </w:r>
    </w:p>
    <w:p w14:paraId="7BE70A2B" w14:textId="77777777" w:rsidR="00461C7B" w:rsidRPr="0027789B" w:rsidRDefault="00461C7B" w:rsidP="00461C7B">
      <w:pPr>
        <w:pStyle w:val="Heading2Text"/>
        <w:ind w:left="3240"/>
        <w:rPr>
          <w:szCs w:val="24"/>
        </w:rPr>
      </w:pPr>
      <w:r w:rsidRPr="0027789B">
        <w:rPr>
          <w:szCs w:val="24"/>
        </w:rPr>
        <w:t xml:space="preserve">If </w:t>
      </w: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r>
          <w:rPr>
            <w:rFonts w:ascii="Cambria Math" w:hAnsi="Cambria Math"/>
            <w:szCs w:val="24"/>
          </w:rPr>
          <m:t>≤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Max </m:t>
            </m:r>
          </m:sup>
        </m:sSup>
      </m:oMath>
      <w:r w:rsidRPr="0027789B">
        <w:rPr>
          <w:szCs w:val="24"/>
        </w:rPr>
        <w:t>, then the Energy Adjustment Payment shall be zero dollars ($0).</w:t>
      </w:r>
    </w:p>
    <w:p w14:paraId="697DFC38" w14:textId="77777777" w:rsidR="00461C7B" w:rsidRPr="0027789B" w:rsidRDefault="00461C7B" w:rsidP="00461C7B">
      <w:pPr>
        <w:pStyle w:val="Heading2Text"/>
        <w:ind w:left="3240"/>
        <w:rPr>
          <w:szCs w:val="24"/>
        </w:rPr>
      </w:pPr>
      <w:r w:rsidRPr="0027789B">
        <w:rPr>
          <w:szCs w:val="24"/>
        </w:rPr>
        <w:t>If</w:t>
      </w:r>
      <m:oMath>
        <m:r>
          <w:rPr>
            <w:rFonts w:ascii="Cambria Math" w:hAnsi="Cambria Math"/>
            <w:szCs w:val="24"/>
          </w:rPr>
          <m:t xml:space="preserve"> AE</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r>
          <w:rPr>
            <w:rFonts w:ascii="Cambria Math" w:hAnsi="Cambria Math"/>
            <w:szCs w:val="24"/>
          </w:rPr>
          <m:t>&lt;GE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oMath>
      <w:r w:rsidRPr="0027789B">
        <w:rPr>
          <w:szCs w:val="24"/>
        </w:rPr>
        <w:t>, then the Energy Adjustment Payment will be negative and will result in a payment to SCE from Seller, calculated as follows:</w:t>
      </w:r>
    </w:p>
    <w:p w14:paraId="2141E010" w14:textId="77777777" w:rsidR="00461C7B" w:rsidRPr="0027789B" w:rsidRDefault="00461C7B" w:rsidP="00461C7B">
      <w:pPr>
        <w:pStyle w:val="Heading2Text"/>
        <w:ind w:left="2520"/>
        <w:rPr>
          <w:szCs w:val="24"/>
        </w:rPr>
      </w:pPr>
      <m:oMathPara>
        <m:oMath>
          <m:r>
            <m:rPr>
              <m:sty m:val="p"/>
            </m:rPr>
            <w:rPr>
              <w:rFonts w:ascii="Cambria Math" w:hAnsi="Cambria Math"/>
            </w:rPr>
            <m:t xml:space="preserve">Energy Adjustment Payment </m:t>
          </m:r>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e>
          </m:d>
          <m: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Min</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m:oMathPara>
    </w:p>
    <w:p w14:paraId="773D98FB" w14:textId="77777777" w:rsidR="00461C7B" w:rsidRPr="0027789B" w:rsidRDefault="00461C7B" w:rsidP="00461C7B">
      <w:pPr>
        <w:pStyle w:val="Heading2Text"/>
        <w:ind w:left="3240"/>
        <w:rPr>
          <w:iCs/>
          <w:kern w:val="32"/>
          <w:szCs w:val="24"/>
        </w:rPr>
      </w:pPr>
      <w:r w:rsidRPr="0027789B">
        <w:rPr>
          <w:iCs/>
          <w:kern w:val="32"/>
          <w:szCs w:val="24"/>
        </w:rPr>
        <w:t>where:</w:t>
      </w:r>
    </w:p>
    <w:p w14:paraId="1122C6DA" w14:textId="5D65646F" w:rsidR="00461C7B" w:rsidRPr="0027789B" w:rsidRDefault="00461C7B" w:rsidP="00461C7B">
      <w:pPr>
        <w:pStyle w:val="Heading2Text"/>
        <w:ind w:left="3600"/>
        <w:rPr>
          <w:szCs w:val="24"/>
        </w:rPr>
      </w:pPr>
      <w:r w:rsidRPr="0027789B">
        <w:rPr>
          <w:i/>
          <w:szCs w:val="24"/>
        </w:rPr>
        <w:t>m</w:t>
      </w:r>
      <w:r w:rsidRPr="0027789B">
        <w:rPr>
          <w:szCs w:val="24"/>
        </w:rPr>
        <w:t xml:space="preserve"> = the relevant month within the Put Period being calculated</w:t>
      </w:r>
    </w:p>
    <w:p w14:paraId="7E3361CC" w14:textId="77777777" w:rsidR="00461C7B" w:rsidRPr="0027789B" w:rsidRDefault="00461C7B" w:rsidP="00461C7B">
      <w:pPr>
        <w:pStyle w:val="Heading2Text"/>
        <w:ind w:left="3600"/>
        <w:rPr>
          <w:szCs w:val="24"/>
        </w:rPr>
      </w:pPr>
      <w:r w:rsidRPr="0027789B">
        <w:rPr>
          <w:i/>
          <w:szCs w:val="24"/>
        </w:rPr>
        <w:t xml:space="preserve">N </w:t>
      </w:r>
      <w:r w:rsidRPr="0027789B">
        <w:rPr>
          <w:szCs w:val="24"/>
        </w:rPr>
        <w:t>= the number of Settlement Intervals in month “</w:t>
      </w:r>
      <w:r w:rsidRPr="0027789B">
        <w:rPr>
          <w:i/>
          <w:szCs w:val="24"/>
        </w:rPr>
        <w:t>m</w:t>
      </w:r>
      <w:r w:rsidRPr="0027789B">
        <w:rPr>
          <w:szCs w:val="24"/>
        </w:rPr>
        <w:t>”</w:t>
      </w:r>
    </w:p>
    <w:p w14:paraId="143BCFB0" w14:textId="77777777" w:rsidR="00461C7B" w:rsidRPr="0027789B" w:rsidRDefault="00461C7B" w:rsidP="00461C7B">
      <w:pPr>
        <w:pStyle w:val="Heading2Text"/>
        <w:ind w:left="3600"/>
        <w:rPr>
          <w:szCs w:val="24"/>
        </w:rPr>
      </w:pPr>
      <w:r w:rsidRPr="0027789B">
        <w:rPr>
          <w:i/>
          <w:szCs w:val="24"/>
        </w:rPr>
        <w:t>i =</w:t>
      </w:r>
      <w:r w:rsidRPr="0027789B">
        <w:rPr>
          <w:szCs w:val="24"/>
        </w:rPr>
        <w:t xml:space="preserve"> the Settlement Interval in month “</w:t>
      </w:r>
      <w:r w:rsidRPr="0027789B">
        <w:rPr>
          <w:i/>
          <w:szCs w:val="24"/>
        </w:rPr>
        <w:t>m</w:t>
      </w:r>
      <w:r w:rsidRPr="0027789B">
        <w:rPr>
          <w:szCs w:val="24"/>
        </w:rPr>
        <w:t>”</w:t>
      </w:r>
    </w:p>
    <w:p w14:paraId="559B6116" w14:textId="77777777" w:rsidR="00461C7B" w:rsidRPr="0027789B" w:rsidRDefault="00D700F7" w:rsidP="00461C7B">
      <w:pPr>
        <w:pStyle w:val="Heading2Text"/>
        <w:ind w:left="3600"/>
        <w:rPr>
          <w:szCs w:val="24"/>
        </w:rPr>
      </w:p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oMath>
      <w:r w:rsidR="00461C7B" w:rsidRPr="0027789B">
        <w:rPr>
          <w:szCs w:val="24"/>
        </w:rPr>
        <w:t xml:space="preserve">= the deviation from the Guaranteed Efficiency Factor Min calculated above for month </w:t>
      </w:r>
      <w:r w:rsidR="00461C7B" w:rsidRPr="0027789B">
        <w:rPr>
          <w:i/>
          <w:szCs w:val="24"/>
        </w:rPr>
        <w:t>“m”</w:t>
      </w:r>
    </w:p>
    <w:p w14:paraId="44E87424" w14:textId="77777777" w:rsidR="00461C7B" w:rsidRPr="0027789B" w:rsidRDefault="00D700F7" w:rsidP="00461C7B">
      <w:pPr>
        <w:pStyle w:val="Heading2Text"/>
        <w:ind w:left="3600"/>
        <w:rPr>
          <w:szCs w:val="24"/>
        </w:rPr>
      </w:pPr>
      <m:oMath>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w:r w:rsidR="00461C7B" w:rsidRPr="0027789B">
        <w:t xml:space="preserve"> = the weighted-average price over all the Settlement Intervals for month “</w:t>
      </w:r>
      <w:r w:rsidR="00461C7B" w:rsidRPr="0027789B">
        <w:rPr>
          <w:i/>
        </w:rPr>
        <w:t>m</w:t>
      </w:r>
      <w:r w:rsidR="00461C7B" w:rsidRPr="0027789B">
        <w:t>” calculated as</w:t>
      </w:r>
      <w:r w:rsidR="00461C7B" w:rsidRPr="0027789B">
        <w:rPr>
          <w:szCs w:val="24"/>
        </w:rPr>
        <w:t>:</w:t>
      </w:r>
    </w:p>
    <w:p w14:paraId="24BC592E" w14:textId="77777777" w:rsidR="00461C7B" w:rsidRPr="0027789B" w:rsidRDefault="00D700F7" w:rsidP="00461C7B">
      <w:pPr>
        <w:ind w:left="3600"/>
        <w:rPr>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m</m:t>
            </m:r>
          </m:sub>
          <m:sup>
            <m:r>
              <w:rPr>
                <w:rFonts w:ascii="Cambria Math" w:hAnsi="Cambria Math"/>
                <w:sz w:val="28"/>
              </w:rPr>
              <m:t>w</m:t>
            </m:r>
          </m:sup>
        </m:sSubSup>
        <m:r>
          <w:rPr>
            <w:rFonts w:ascii="Cambria Math" w:hAnsi="Cambria Math"/>
            <w:sz w:val="28"/>
          </w:rPr>
          <m:t xml:space="preserve">= </m:t>
        </m:r>
        <m:nary>
          <m:naryPr>
            <m:chr m:val="∑"/>
            <m:limLoc m:val="undOvr"/>
            <m:ctrlPr>
              <w:rPr>
                <w:rFonts w:ascii="Cambria Math" w:hAnsi="Cambria Math"/>
                <w:i/>
                <w:sz w:val="32"/>
              </w:rPr>
            </m:ctrlPr>
          </m:naryPr>
          <m:sub>
            <m:r>
              <w:rPr>
                <w:rFonts w:ascii="Cambria Math" w:hAnsi="Cambria Math"/>
                <w:sz w:val="32"/>
              </w:rPr>
              <m:t>i</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P</m:t>
                </m:r>
              </m:e>
              <m:sub>
                <m:r>
                  <w:rPr>
                    <w:rFonts w:ascii="Cambria Math" w:hAnsi="Cambria Math"/>
                    <w:sz w:val="32"/>
                  </w:rPr>
                  <m:t>i</m:t>
                </m:r>
              </m:sub>
            </m:sSub>
          </m:e>
        </m:nary>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Charge</m:t>
                </m:r>
              </m:e>
              <m:sub>
                <m:r>
                  <w:rPr>
                    <w:rFonts w:ascii="Cambria Math" w:hAnsi="Cambria Math"/>
                    <w:sz w:val="32"/>
                  </w:rPr>
                  <m:t>i</m:t>
                </m:r>
              </m:sub>
            </m:sSub>
          </m:num>
          <m:den>
            <m:r>
              <w:rPr>
                <w:rFonts w:ascii="Cambria Math" w:hAnsi="Cambria Math"/>
                <w:sz w:val="32"/>
              </w:rPr>
              <m:t>Total Charge</m:t>
            </m:r>
          </m:den>
        </m:f>
      </m:oMath>
      <w:r w:rsidR="00461C7B" w:rsidRPr="0027789B">
        <w:rPr>
          <w:sz w:val="28"/>
        </w:rPr>
        <w:t xml:space="preserve"> </w:t>
      </w:r>
    </w:p>
    <w:p w14:paraId="68B5F3DA" w14:textId="77777777" w:rsidR="00461C7B" w:rsidRPr="0027789B" w:rsidRDefault="00461C7B" w:rsidP="00461C7B">
      <w:pPr>
        <w:pStyle w:val="Heading2Text"/>
        <w:ind w:left="3960"/>
        <w:rPr>
          <w:iCs/>
          <w:kern w:val="32"/>
          <w:szCs w:val="24"/>
        </w:rPr>
      </w:pPr>
      <w:r w:rsidRPr="0027789B">
        <w:rPr>
          <w:iCs/>
          <w:kern w:val="32"/>
          <w:szCs w:val="24"/>
        </w:rPr>
        <w:t>where:</w:t>
      </w:r>
    </w:p>
    <w:p w14:paraId="2758F09A" w14:textId="77777777" w:rsidR="00461C7B" w:rsidRPr="0027789B" w:rsidRDefault="00461C7B" w:rsidP="00461C7B">
      <w:pPr>
        <w:pStyle w:val="Heading2Text"/>
        <w:ind w:left="4320"/>
        <w:rPr>
          <w:color w:val="000000"/>
          <w:szCs w:val="24"/>
        </w:rPr>
      </w:pPr>
      <w:r w:rsidRPr="0027789B">
        <w:rPr>
          <w:i/>
          <w:color w:val="000000"/>
          <w:szCs w:val="24"/>
        </w:rPr>
        <w:t>i</w:t>
      </w:r>
      <w:r w:rsidRPr="0027789B">
        <w:rPr>
          <w:color w:val="000000"/>
          <w:szCs w:val="24"/>
        </w:rPr>
        <w:t xml:space="preserve"> = the Settlement Interval in month “</w:t>
      </w:r>
      <w:r w:rsidRPr="0027789B">
        <w:rPr>
          <w:i/>
          <w:color w:val="000000"/>
          <w:szCs w:val="24"/>
        </w:rPr>
        <w:t>m</w:t>
      </w:r>
      <w:r w:rsidRPr="0027789B">
        <w:rPr>
          <w:color w:val="000000"/>
          <w:szCs w:val="24"/>
        </w:rPr>
        <w:t>”</w:t>
      </w:r>
    </w:p>
    <w:p w14:paraId="1A1307D5" w14:textId="77777777" w:rsidR="00461C7B" w:rsidRPr="0027789B" w:rsidRDefault="00461C7B" w:rsidP="00461C7B">
      <w:pPr>
        <w:pStyle w:val="Heading2Text"/>
        <w:ind w:left="4320"/>
        <w:rPr>
          <w:color w:val="000000"/>
          <w:szCs w:val="24"/>
        </w:rPr>
      </w:pPr>
      <w:r w:rsidRPr="0027789B">
        <w:rPr>
          <w:i/>
          <w:color w:val="000000"/>
          <w:szCs w:val="24"/>
        </w:rPr>
        <w:t>N</w:t>
      </w:r>
      <w:r w:rsidRPr="0027789B">
        <w:rPr>
          <w:color w:val="000000"/>
          <w:szCs w:val="24"/>
        </w:rPr>
        <w:t xml:space="preserve"> = the number of Settlement Intervals in month “</w:t>
      </w:r>
      <w:r w:rsidRPr="0027789B">
        <w:rPr>
          <w:i/>
          <w:color w:val="000000"/>
          <w:szCs w:val="24"/>
        </w:rPr>
        <w:t>m</w:t>
      </w:r>
      <w:r w:rsidRPr="0027789B">
        <w:rPr>
          <w:color w:val="000000"/>
          <w:szCs w:val="24"/>
        </w:rPr>
        <w:t>”</w:t>
      </w:r>
    </w:p>
    <w:p w14:paraId="67203F95" w14:textId="77777777" w:rsidR="00461C7B" w:rsidRPr="0027789B" w:rsidRDefault="00461C7B" w:rsidP="00461C7B">
      <w:pPr>
        <w:pStyle w:val="Heading2Text"/>
        <w:ind w:left="4320"/>
        <w:rPr>
          <w:color w:val="000000"/>
          <w:szCs w:val="24"/>
        </w:rPr>
      </w:pPr>
      <w:r w:rsidRPr="0027789B">
        <w:rPr>
          <w:color w:val="000000"/>
          <w:szCs w:val="24"/>
        </w:rPr>
        <w:t>P</w:t>
      </w:r>
      <w:r w:rsidRPr="0027789B">
        <w:rPr>
          <w:color w:val="000000"/>
          <w:szCs w:val="24"/>
          <w:vertAlign w:val="subscript"/>
        </w:rPr>
        <w:t>i</w:t>
      </w:r>
      <w:r w:rsidRPr="0027789B">
        <w:rPr>
          <w:color w:val="000000"/>
          <w:szCs w:val="24"/>
        </w:rPr>
        <w:t xml:space="preserve"> = the price of the </w:t>
      </w:r>
      <w:r w:rsidRPr="0027789B">
        <w:t>energy used to charge the Storage Unit for Settlement Interval “</w:t>
      </w:r>
      <w:r w:rsidRPr="0027789B">
        <w:rPr>
          <w:i/>
        </w:rPr>
        <w:t>i</w:t>
      </w:r>
      <w:r w:rsidRPr="0027789B">
        <w:t>”</w:t>
      </w:r>
    </w:p>
    <w:p w14:paraId="5B3422B9" w14:textId="77777777" w:rsidR="00461C7B" w:rsidRPr="0027789B" w:rsidRDefault="00461C7B" w:rsidP="00461C7B">
      <w:pPr>
        <w:pStyle w:val="Heading2Text"/>
        <w:ind w:left="4320"/>
        <w:rPr>
          <w:color w:val="000000"/>
          <w:szCs w:val="24"/>
        </w:rPr>
      </w:pPr>
      <m:oMath>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27789B">
        <w:t xml:space="preserve"> = the amount of energy (in MWh) used to charge the Storage Unit for the Settlement Interval “</w:t>
      </w:r>
      <w:r w:rsidRPr="0027789B">
        <w:rPr>
          <w:i/>
        </w:rPr>
        <w:t>i</w:t>
      </w:r>
      <w:r w:rsidRPr="0027789B">
        <w:t>” in month “</w:t>
      </w:r>
      <w:r w:rsidRPr="0027789B">
        <w:rPr>
          <w:i/>
        </w:rPr>
        <w:t>m</w:t>
      </w:r>
      <w:r w:rsidRPr="0027789B">
        <w:t>”</w:t>
      </w:r>
    </w:p>
    <w:p w14:paraId="7A250D1D" w14:textId="77777777" w:rsidR="00461C7B" w:rsidRPr="0027789B" w:rsidRDefault="00461C7B" w:rsidP="00461C7B">
      <w:pPr>
        <w:pStyle w:val="Heading2Text"/>
        <w:ind w:left="4320"/>
      </w:pPr>
      <m:oMath>
        <m:r>
          <w:rPr>
            <w:rFonts w:ascii="Cambria Math" w:hAnsi="Cambria Math"/>
          </w:rPr>
          <w:lastRenderedPageBreak/>
          <m:t>Total Charge</m:t>
        </m:r>
        <m:r>
          <w:rPr>
            <w:rFonts w:ascii="Cambria Math" w:hAnsi="Cambria Math"/>
            <w:sz w:val="22"/>
          </w:rPr>
          <m:t xml:space="preserve">=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szCs w:val="24"/>
                  </w:rPr>
                </m:ctrlPr>
              </m:sSubPr>
              <m:e>
                <m:r>
                  <w:rPr>
                    <w:rFonts w:ascii="Cambria Math" w:hAnsi="Cambria Math"/>
                  </w:rPr>
                  <m:t>Charge</m:t>
                </m:r>
              </m:e>
              <m:sub>
                <m:r>
                  <w:rPr>
                    <w:rFonts w:ascii="Cambria Math" w:hAnsi="Cambria Math"/>
                  </w:rPr>
                  <m:t>i</m:t>
                </m:r>
              </m:sub>
            </m:sSub>
          </m:e>
        </m:nary>
      </m:oMath>
      <w:r w:rsidRPr="0027789B">
        <w:t xml:space="preserve">, for month </w:t>
      </w:r>
      <w:r w:rsidRPr="0027789B">
        <w:rPr>
          <w:i/>
        </w:rPr>
        <w:t>“m”</w:t>
      </w:r>
    </w:p>
    <w:p w14:paraId="7A74FFAD" w14:textId="77777777" w:rsidR="00461C7B" w:rsidRPr="0027789B" w:rsidRDefault="00461C7B" w:rsidP="00461C7B">
      <w:pPr>
        <w:pStyle w:val="Heading2Text"/>
        <w:ind w:left="3240"/>
        <w:rPr>
          <w:color w:val="000000"/>
          <w:szCs w:val="24"/>
        </w:rPr>
      </w:pPr>
      <w:r w:rsidRPr="0027789B">
        <w:t xml:space="preserve">If </w:t>
      </w:r>
      <m:oMath>
        <m:r>
          <w:rPr>
            <w:rFonts w:ascii="Cambria Math" w:hAnsi="Cambria Math"/>
          </w:rPr>
          <m:t xml:space="preserve"> AE</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&gt;</m:t>
        </m:r>
        <m:sSup>
          <m:sSupPr>
            <m:ctrlPr>
              <w:rPr>
                <w:rFonts w:ascii="Cambria Math" w:hAnsi="Cambria Math"/>
                <w:i/>
              </w:rPr>
            </m:ctrlPr>
          </m:sSupPr>
          <m:e>
            <m:r>
              <w:rPr>
                <w:rFonts w:ascii="Cambria Math" w:hAnsi="Cambria Math"/>
              </w:rPr>
              <m:t>GEF</m:t>
            </m:r>
          </m:e>
          <m:sup>
            <m:r>
              <w:rPr>
                <w:rFonts w:ascii="Cambria Math" w:hAnsi="Cambria Math"/>
              </w:rPr>
              <m:t>Max</m:t>
            </m:r>
          </m:sup>
        </m:sSup>
      </m:oMath>
      <w:r w:rsidRPr="0027789B">
        <w:t xml:space="preserve">, then the Energy Adjustment Payment will be positive and result in a payment to Seller from SCE, calculated as follows: </w:t>
      </w:r>
    </w:p>
    <w:p w14:paraId="758190A5" w14:textId="77777777" w:rsidR="00461C7B" w:rsidRPr="0027789B" w:rsidRDefault="00461C7B" w:rsidP="00461C7B">
      <w:pPr>
        <w:ind w:left="2700"/>
      </w:pPr>
      <m:oMathPara>
        <m:oMath>
          <m:r>
            <m:rPr>
              <m:sty m:val="p"/>
            </m:rPr>
            <w:rPr>
              <w:rFonts w:ascii="Cambria Math" w:hAnsi="Cambria Math"/>
            </w:rPr>
            <m:t xml:space="preserve">Energy Adjustment Payment </m:t>
          </m:r>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r>
                    <w:rPr>
                      <w:rFonts w:ascii="Cambria Math" w:hAnsi="Cambria Math"/>
                    </w:rPr>
                    <m:t>Charg</m:t>
                  </m:r>
                  <m:sSub>
                    <m:sSubPr>
                      <m:ctrlPr>
                        <w:rPr>
                          <w:rFonts w:ascii="Cambria Math" w:hAnsi="Cambria Math"/>
                          <w:i/>
                        </w:rPr>
                      </m:ctrlPr>
                    </m:sSubPr>
                    <m:e>
                      <m:r>
                        <w:rPr>
                          <w:rFonts w:ascii="Cambria Math" w:hAnsi="Cambria Math"/>
                        </w:rPr>
                        <m:t>e</m:t>
                      </m:r>
                    </m:e>
                    <m:sub>
                      <m:r>
                        <w:rPr>
                          <w:rFonts w:ascii="Cambria Math" w:hAnsi="Cambria Math"/>
                        </w:rPr>
                        <m:t>i</m:t>
                      </m:r>
                    </m:sub>
                  </m:sSub>
                </m:e>
              </m:nary>
            </m:e>
          </m:d>
          <m: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Max</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m:t>
              </m:r>
            </m:sub>
            <m:sup>
              <m:r>
                <w:rPr>
                  <w:rFonts w:ascii="Cambria Math" w:hAnsi="Cambria Math"/>
                </w:rPr>
                <m:t>w</m:t>
              </m:r>
            </m:sup>
          </m:sSubSup>
        </m:oMath>
      </m:oMathPara>
    </w:p>
    <w:p w14:paraId="06971370" w14:textId="77777777" w:rsidR="00461C7B" w:rsidRPr="0027789B" w:rsidRDefault="00461C7B" w:rsidP="00461C7B">
      <w:pPr>
        <w:pStyle w:val="Heading2Text"/>
        <w:ind w:left="3240"/>
        <w:rPr>
          <w:iCs/>
          <w:kern w:val="32"/>
          <w:szCs w:val="24"/>
        </w:rPr>
      </w:pPr>
      <w:r w:rsidRPr="0027789B">
        <w:rPr>
          <w:iCs/>
          <w:kern w:val="32"/>
          <w:szCs w:val="24"/>
        </w:rPr>
        <w:t>where:</w:t>
      </w:r>
    </w:p>
    <w:p w14:paraId="6CD16F26" w14:textId="15CADF00" w:rsidR="00461C7B" w:rsidRPr="0027789B" w:rsidRDefault="00461C7B" w:rsidP="00461C7B">
      <w:pPr>
        <w:pStyle w:val="Heading2Text"/>
        <w:ind w:left="3600"/>
        <w:rPr>
          <w:szCs w:val="24"/>
        </w:rPr>
      </w:pPr>
      <w:r w:rsidRPr="0027789B">
        <w:rPr>
          <w:i/>
          <w:szCs w:val="24"/>
        </w:rPr>
        <w:t>m</w:t>
      </w:r>
      <w:r w:rsidRPr="0027789B">
        <w:rPr>
          <w:szCs w:val="24"/>
        </w:rPr>
        <w:t xml:space="preserve"> = the relevant month within the Put Period being calculated</w:t>
      </w:r>
    </w:p>
    <w:p w14:paraId="39A1FF3D" w14:textId="77777777" w:rsidR="00461C7B" w:rsidRPr="0027789B" w:rsidRDefault="00461C7B" w:rsidP="00461C7B">
      <w:pPr>
        <w:pStyle w:val="Heading2Text"/>
        <w:ind w:left="3600"/>
        <w:rPr>
          <w:szCs w:val="24"/>
        </w:rPr>
      </w:pPr>
      <w:r w:rsidRPr="0027789B">
        <w:rPr>
          <w:i/>
          <w:szCs w:val="24"/>
        </w:rPr>
        <w:t xml:space="preserve">N </w:t>
      </w:r>
      <w:r w:rsidRPr="0027789B">
        <w:rPr>
          <w:szCs w:val="24"/>
        </w:rPr>
        <w:t>= the number of Settlement Intervals in month “</w:t>
      </w:r>
      <w:r w:rsidRPr="0027789B">
        <w:rPr>
          <w:i/>
          <w:szCs w:val="24"/>
        </w:rPr>
        <w:t>m</w:t>
      </w:r>
      <w:r w:rsidRPr="0027789B">
        <w:rPr>
          <w:szCs w:val="24"/>
        </w:rPr>
        <w:t>”</w:t>
      </w:r>
    </w:p>
    <w:p w14:paraId="16C99982" w14:textId="77777777" w:rsidR="00461C7B" w:rsidRPr="0027789B" w:rsidRDefault="00461C7B" w:rsidP="00461C7B">
      <w:pPr>
        <w:pStyle w:val="Heading2Text"/>
        <w:ind w:left="3600"/>
        <w:rPr>
          <w:szCs w:val="24"/>
        </w:rPr>
      </w:pPr>
      <w:r w:rsidRPr="0027789B">
        <w:rPr>
          <w:i/>
          <w:szCs w:val="24"/>
        </w:rPr>
        <w:t>i =</w:t>
      </w:r>
      <w:r w:rsidRPr="0027789B">
        <w:rPr>
          <w:szCs w:val="24"/>
        </w:rPr>
        <w:t xml:space="preserve"> the Settlement Interval in month “</w:t>
      </w:r>
      <w:r w:rsidRPr="0027789B">
        <w:rPr>
          <w:i/>
          <w:szCs w:val="24"/>
        </w:rPr>
        <w:t>m</w:t>
      </w:r>
      <w:r w:rsidRPr="0027789B">
        <w:rPr>
          <w:szCs w:val="24"/>
        </w:rPr>
        <w:t>”</w:t>
      </w:r>
    </w:p>
    <w:p w14:paraId="4F12DB9B" w14:textId="77777777" w:rsidR="00461C7B" w:rsidRPr="0027789B" w:rsidRDefault="00D700F7" w:rsidP="00461C7B">
      <w:pPr>
        <w:pStyle w:val="Heading2Text"/>
        <w:ind w:left="3600"/>
        <w:rPr>
          <w:szCs w:val="24"/>
        </w:rPr>
      </w:pP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Max</m:t>
            </m:r>
          </m:sub>
        </m:sSub>
      </m:oMath>
      <w:r w:rsidR="00461C7B" w:rsidRPr="0027789B">
        <w:rPr>
          <w:szCs w:val="24"/>
        </w:rPr>
        <w:t xml:space="preserve"> = the deviation from the Guaranteed Efficiency Factor Max calculated above for month </w:t>
      </w:r>
      <w:r w:rsidR="00461C7B" w:rsidRPr="0027789B">
        <w:rPr>
          <w:i/>
          <w:szCs w:val="24"/>
        </w:rPr>
        <w:t>“m”</w:t>
      </w:r>
    </w:p>
    <w:p w14:paraId="217F98CF" w14:textId="77777777" w:rsidR="00461C7B" w:rsidRPr="0027789B" w:rsidRDefault="00D700F7" w:rsidP="00461C7B">
      <w:pPr>
        <w:pStyle w:val="Heading2Text"/>
        <w:ind w:left="3600"/>
        <w:rPr>
          <w:szCs w:val="24"/>
        </w:rPr>
      </w:pPr>
      <m:oMath>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m</m:t>
            </m:r>
          </m:sub>
          <m:sup>
            <m:r>
              <w:rPr>
                <w:rFonts w:ascii="Cambria Math" w:hAnsi="Cambria Math"/>
                <w:szCs w:val="24"/>
              </w:rPr>
              <m:t>w</m:t>
            </m:r>
          </m:sup>
        </m:sSubSup>
      </m:oMath>
      <w:r w:rsidR="00461C7B" w:rsidRPr="0027789B">
        <w:rPr>
          <w:szCs w:val="24"/>
        </w:rPr>
        <w:t xml:space="preserve"> = the weighted-average price over all the Settlement Intervals for month “</w:t>
      </w:r>
      <w:r w:rsidR="00461C7B" w:rsidRPr="0027789B">
        <w:rPr>
          <w:i/>
          <w:szCs w:val="24"/>
        </w:rPr>
        <w:t>m</w:t>
      </w:r>
      <w:r w:rsidR="00461C7B" w:rsidRPr="0027789B">
        <w:rPr>
          <w:szCs w:val="24"/>
        </w:rPr>
        <w:t>” calculated as:</w:t>
      </w:r>
    </w:p>
    <w:p w14:paraId="37160C53" w14:textId="77777777" w:rsidR="00461C7B" w:rsidRPr="0027789B" w:rsidRDefault="00D700F7" w:rsidP="00461C7B">
      <w:pPr>
        <w:ind w:left="3960"/>
        <w:rPr>
          <w:sz w:val="28"/>
        </w:rPr>
      </w:pPr>
      <m:oMath>
        <m:sSubSup>
          <m:sSubSupPr>
            <m:ctrlPr>
              <w:rPr>
                <w:rFonts w:ascii="Cambria Math" w:hAnsi="Cambria Math"/>
                <w:i/>
                <w:sz w:val="28"/>
              </w:rPr>
            </m:ctrlPr>
          </m:sSubSupPr>
          <m:e>
            <m:r>
              <w:rPr>
                <w:rFonts w:ascii="Cambria Math" w:hAnsi="Cambria Math"/>
                <w:sz w:val="28"/>
              </w:rPr>
              <m:t>p</m:t>
            </m:r>
          </m:e>
          <m:sub>
            <m:r>
              <w:rPr>
                <w:rFonts w:ascii="Cambria Math" w:hAnsi="Cambria Math"/>
                <w:sz w:val="28"/>
              </w:rPr>
              <m:t>m</m:t>
            </m:r>
          </m:sub>
          <m:sup>
            <m:r>
              <w:rPr>
                <w:rFonts w:ascii="Cambria Math" w:hAnsi="Cambria Math"/>
                <w:sz w:val="28"/>
              </w:rPr>
              <m:t>w</m:t>
            </m:r>
          </m:sup>
        </m:sSubSup>
        <m:r>
          <w:rPr>
            <w:rFonts w:ascii="Cambria Math" w:hAnsi="Cambria Math"/>
            <w:sz w:val="28"/>
          </w:rPr>
          <m:t xml:space="preserve">= </m:t>
        </m:r>
        <m:nary>
          <m:naryPr>
            <m:chr m:val="∑"/>
            <m:limLoc m:val="undOvr"/>
            <m:ctrlPr>
              <w:rPr>
                <w:rFonts w:ascii="Cambria Math" w:hAnsi="Cambria Math"/>
                <w:i/>
                <w:sz w:val="32"/>
              </w:rPr>
            </m:ctrlPr>
          </m:naryPr>
          <m:sub>
            <m:r>
              <w:rPr>
                <w:rFonts w:ascii="Cambria Math" w:hAnsi="Cambria Math"/>
                <w:sz w:val="32"/>
              </w:rPr>
              <m:t>i</m:t>
            </m:r>
          </m:sub>
          <m:sup>
            <m:r>
              <w:rPr>
                <w:rFonts w:ascii="Cambria Math" w:hAnsi="Cambria Math"/>
                <w:sz w:val="32"/>
              </w:rPr>
              <m:t>N</m:t>
            </m:r>
          </m:sup>
          <m:e>
            <m:sSub>
              <m:sSubPr>
                <m:ctrlPr>
                  <w:rPr>
                    <w:rFonts w:ascii="Cambria Math" w:hAnsi="Cambria Math"/>
                    <w:i/>
                    <w:sz w:val="32"/>
                  </w:rPr>
                </m:ctrlPr>
              </m:sSubPr>
              <m:e>
                <m:r>
                  <w:rPr>
                    <w:rFonts w:ascii="Cambria Math" w:hAnsi="Cambria Math"/>
                    <w:sz w:val="32"/>
                  </w:rPr>
                  <m:t>P</m:t>
                </m:r>
              </m:e>
              <m:sub>
                <m:r>
                  <w:rPr>
                    <w:rFonts w:ascii="Cambria Math" w:hAnsi="Cambria Math"/>
                    <w:sz w:val="32"/>
                  </w:rPr>
                  <m:t>i</m:t>
                </m:r>
              </m:sub>
            </m:sSub>
          </m:e>
        </m:nary>
        <m:r>
          <w:rPr>
            <w:rFonts w:ascii="Cambria Math" w:hAnsi="Cambria Math"/>
            <w:sz w:val="32"/>
          </w:rPr>
          <m:t xml:space="preserve">* </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Charge</m:t>
                </m:r>
              </m:e>
              <m:sub>
                <m:r>
                  <w:rPr>
                    <w:rFonts w:ascii="Cambria Math" w:hAnsi="Cambria Math"/>
                    <w:sz w:val="32"/>
                  </w:rPr>
                  <m:t>i</m:t>
                </m:r>
              </m:sub>
            </m:sSub>
          </m:num>
          <m:den>
            <m:r>
              <w:rPr>
                <w:rFonts w:ascii="Cambria Math" w:hAnsi="Cambria Math"/>
                <w:sz w:val="32"/>
              </w:rPr>
              <m:t>Total Charge</m:t>
            </m:r>
          </m:den>
        </m:f>
      </m:oMath>
      <w:r w:rsidR="00461C7B" w:rsidRPr="0027789B">
        <w:rPr>
          <w:sz w:val="28"/>
        </w:rPr>
        <w:t xml:space="preserve"> </w:t>
      </w:r>
    </w:p>
    <w:p w14:paraId="63E39ECC" w14:textId="77777777" w:rsidR="00461C7B" w:rsidRPr="0027789B" w:rsidRDefault="00461C7B" w:rsidP="00461C7B">
      <w:pPr>
        <w:pStyle w:val="Heading2Text"/>
        <w:ind w:left="3960"/>
        <w:rPr>
          <w:iCs/>
          <w:kern w:val="32"/>
          <w:szCs w:val="24"/>
        </w:rPr>
      </w:pPr>
      <w:r w:rsidRPr="0027789B">
        <w:rPr>
          <w:iCs/>
          <w:kern w:val="32"/>
          <w:szCs w:val="24"/>
        </w:rPr>
        <w:t>where:</w:t>
      </w:r>
    </w:p>
    <w:p w14:paraId="2E4FDF5D" w14:textId="77777777" w:rsidR="00461C7B" w:rsidRPr="0027789B" w:rsidRDefault="00461C7B" w:rsidP="00461C7B">
      <w:pPr>
        <w:pStyle w:val="Heading2Text"/>
        <w:ind w:left="4320"/>
        <w:rPr>
          <w:color w:val="000000"/>
          <w:szCs w:val="24"/>
        </w:rPr>
      </w:pPr>
      <w:r w:rsidRPr="0027789B">
        <w:rPr>
          <w:i/>
          <w:color w:val="000000"/>
          <w:szCs w:val="24"/>
        </w:rPr>
        <w:t>i</w:t>
      </w:r>
      <w:r w:rsidRPr="0027789B">
        <w:rPr>
          <w:color w:val="000000"/>
          <w:szCs w:val="24"/>
        </w:rPr>
        <w:t xml:space="preserve"> = the Settlement Interval in month “</w:t>
      </w:r>
      <w:r w:rsidRPr="0027789B">
        <w:rPr>
          <w:i/>
          <w:color w:val="000000"/>
          <w:szCs w:val="24"/>
        </w:rPr>
        <w:t>m</w:t>
      </w:r>
      <w:r w:rsidRPr="0027789B">
        <w:rPr>
          <w:color w:val="000000"/>
          <w:szCs w:val="24"/>
        </w:rPr>
        <w:t>”</w:t>
      </w:r>
    </w:p>
    <w:p w14:paraId="4938B1CD" w14:textId="77777777" w:rsidR="00461C7B" w:rsidRPr="0027789B" w:rsidRDefault="00461C7B" w:rsidP="00461C7B">
      <w:pPr>
        <w:pStyle w:val="Heading2Text"/>
        <w:ind w:left="4320"/>
        <w:rPr>
          <w:color w:val="000000"/>
          <w:szCs w:val="24"/>
        </w:rPr>
      </w:pPr>
      <w:r w:rsidRPr="0027789B">
        <w:rPr>
          <w:i/>
          <w:color w:val="000000"/>
          <w:szCs w:val="24"/>
        </w:rPr>
        <w:t>N</w:t>
      </w:r>
      <w:r w:rsidRPr="0027789B">
        <w:rPr>
          <w:color w:val="000000"/>
          <w:szCs w:val="24"/>
        </w:rPr>
        <w:t xml:space="preserve"> = the number of Settlement Intervals in month “</w:t>
      </w:r>
      <w:r w:rsidRPr="0027789B">
        <w:rPr>
          <w:i/>
          <w:color w:val="000000"/>
          <w:szCs w:val="24"/>
        </w:rPr>
        <w:t>m</w:t>
      </w:r>
      <w:r w:rsidRPr="0027789B">
        <w:rPr>
          <w:color w:val="000000"/>
          <w:szCs w:val="24"/>
        </w:rPr>
        <w:t>”</w:t>
      </w:r>
    </w:p>
    <w:p w14:paraId="1F09D619" w14:textId="77777777" w:rsidR="00461C7B" w:rsidRPr="0027789B" w:rsidRDefault="00461C7B" w:rsidP="00461C7B">
      <w:pPr>
        <w:pStyle w:val="Heading2Text"/>
        <w:ind w:left="4320"/>
      </w:pPr>
      <w:r w:rsidRPr="0027789B">
        <w:rPr>
          <w:color w:val="000000"/>
          <w:szCs w:val="24"/>
        </w:rPr>
        <w:t>P</w:t>
      </w:r>
      <w:r w:rsidRPr="0027789B">
        <w:rPr>
          <w:color w:val="000000"/>
          <w:szCs w:val="24"/>
          <w:vertAlign w:val="subscript"/>
        </w:rPr>
        <w:t>i</w:t>
      </w:r>
      <w:r w:rsidRPr="0027789B">
        <w:rPr>
          <w:color w:val="000000"/>
          <w:szCs w:val="24"/>
        </w:rPr>
        <w:t xml:space="preserve"> = the price of the </w:t>
      </w:r>
      <w:r w:rsidRPr="0027789B">
        <w:t>energy used to charge the Storage Unit for Settlement Interval “</w:t>
      </w:r>
      <w:r w:rsidRPr="0027789B">
        <w:rPr>
          <w:i/>
        </w:rPr>
        <w:t>i</w:t>
      </w:r>
      <w:r w:rsidRPr="0027789B">
        <w:t>”</w:t>
      </w:r>
      <w:r w:rsidRPr="0027789B">
        <w:rPr>
          <w:color w:val="000000"/>
          <w:szCs w:val="24"/>
        </w:rPr>
        <w:t xml:space="preserve">; </w:t>
      </w:r>
      <w:r w:rsidRPr="00DB7FE0">
        <w:rPr>
          <w:color w:val="000000"/>
          <w:szCs w:val="24"/>
        </w:rPr>
        <w:t>provided</w:t>
      </w:r>
      <w:r w:rsidRPr="0027789B">
        <w:rPr>
          <w:color w:val="000000"/>
          <w:szCs w:val="24"/>
        </w:rPr>
        <w:t>, P</w:t>
      </w:r>
      <w:r w:rsidRPr="0027789B">
        <w:rPr>
          <w:color w:val="000000"/>
          <w:szCs w:val="24"/>
          <w:vertAlign w:val="subscript"/>
        </w:rPr>
        <w:t>i</w:t>
      </w:r>
      <w:r w:rsidRPr="0027789B">
        <w:rPr>
          <w:color w:val="000000"/>
          <w:szCs w:val="24"/>
        </w:rPr>
        <w:t xml:space="preserve"> shall be no greater than the</w:t>
      </w:r>
      <w:r w:rsidRPr="0027789B">
        <w:t xml:space="preserve"> “energy charge” rate (under the column headers “Delivery Service” and “Generation”) set forth in SCE Tariff Rate Schedule TOU-8 Time-of-Use-General Service-Large for “Service Metered and Delivered at Voltages above 50 kV”, or successor, that corresponds to Settlement Interval “</w:t>
      </w:r>
      <w:r w:rsidRPr="0027789B">
        <w:rPr>
          <w:i/>
        </w:rPr>
        <w:t>i</w:t>
      </w:r>
      <w:r w:rsidRPr="0027789B">
        <w:t>”</w:t>
      </w:r>
    </w:p>
    <w:p w14:paraId="576741A4" w14:textId="77777777" w:rsidR="00461C7B" w:rsidRPr="0027789B" w:rsidRDefault="00461C7B" w:rsidP="00461C7B">
      <w:pPr>
        <w:pStyle w:val="Heading2Text"/>
        <w:ind w:left="4320"/>
        <w:rPr>
          <w:color w:val="000000"/>
          <w:szCs w:val="24"/>
        </w:rPr>
      </w:pPr>
      <m:oMath>
        <m:r>
          <w:rPr>
            <w:rFonts w:ascii="Cambria Math" w:hAnsi="Cambria Math"/>
          </w:rPr>
          <w:lastRenderedPageBreak/>
          <m:t>Charg</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27789B">
        <w:t xml:space="preserve"> = the amount of energy (in MWh) used to charge the Storage Unit for the Settlement Interval “</w:t>
      </w:r>
      <w:r w:rsidRPr="0027789B">
        <w:rPr>
          <w:i/>
        </w:rPr>
        <w:t>i</w:t>
      </w:r>
      <w:r w:rsidRPr="0027789B">
        <w:t>” in month “</w:t>
      </w:r>
      <w:r w:rsidRPr="0027789B">
        <w:rPr>
          <w:i/>
        </w:rPr>
        <w:t>m</w:t>
      </w:r>
      <w:r w:rsidRPr="0027789B">
        <w:t>”</w:t>
      </w:r>
    </w:p>
    <w:p w14:paraId="2F4E1223" w14:textId="77777777" w:rsidR="00461C7B" w:rsidRPr="0027789B" w:rsidRDefault="00461C7B" w:rsidP="00461C7B">
      <w:pPr>
        <w:pStyle w:val="Heading2Text"/>
        <w:ind w:left="4320"/>
      </w:pPr>
      <m:oMath>
        <m:r>
          <w:rPr>
            <w:rFonts w:ascii="Cambria Math" w:hAnsi="Cambria Math"/>
          </w:rPr>
          <m:t>Total Charge</m:t>
        </m:r>
        <m:r>
          <w:rPr>
            <w:rFonts w:ascii="Cambria Math" w:hAnsi="Cambria Math"/>
            <w:sz w:val="22"/>
          </w:rPr>
          <m:t xml:space="preserve">=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szCs w:val="24"/>
                  </w:rPr>
                </m:ctrlPr>
              </m:sSubPr>
              <m:e>
                <m:r>
                  <w:rPr>
                    <w:rFonts w:ascii="Cambria Math" w:hAnsi="Cambria Math"/>
                  </w:rPr>
                  <m:t>Charge</m:t>
                </m:r>
              </m:e>
              <m:sub>
                <m:r>
                  <w:rPr>
                    <w:rFonts w:ascii="Cambria Math" w:hAnsi="Cambria Math"/>
                  </w:rPr>
                  <m:t>i</m:t>
                </m:r>
              </m:sub>
            </m:sSub>
          </m:e>
        </m:nary>
      </m:oMath>
      <w:r w:rsidRPr="0027789B">
        <w:t>, for month “m”</w:t>
      </w:r>
    </w:p>
    <w:p w14:paraId="611A8F38" w14:textId="77777777" w:rsidR="00461C7B" w:rsidRPr="0027789B" w:rsidRDefault="00461C7B" w:rsidP="00461C7B">
      <w:pPr>
        <w:pStyle w:val="Heading2Text"/>
        <w:ind w:left="4320"/>
      </w:pPr>
    </w:p>
    <w:p w14:paraId="2A02C9AC" w14:textId="77777777" w:rsidR="00327DD1" w:rsidRPr="00FF157D" w:rsidRDefault="00327DD1" w:rsidP="00327DD1">
      <w:pPr>
        <w:pStyle w:val="Heading2"/>
        <w:keepNext w:val="0"/>
        <w:keepLines w:val="0"/>
        <w:rPr>
          <w:u w:val="none"/>
        </w:rPr>
      </w:pPr>
      <w:bookmarkStart w:id="104" w:name="_Toc510788240"/>
      <w:r w:rsidRPr="0027789B">
        <w:t>Availability</w:t>
      </w:r>
      <w:r w:rsidRPr="00FF157D">
        <w:rPr>
          <w:u w:val="none"/>
        </w:rPr>
        <w:t>.</w:t>
      </w:r>
      <w:bookmarkEnd w:id="104"/>
    </w:p>
    <w:p w14:paraId="77E17A65" w14:textId="77777777" w:rsidR="00672152" w:rsidRPr="00672152" w:rsidRDefault="00327DD1" w:rsidP="00327DD1">
      <w:pPr>
        <w:pStyle w:val="Heading3"/>
        <w:rPr>
          <w:szCs w:val="24"/>
        </w:rPr>
      </w:pPr>
      <w:bookmarkStart w:id="105" w:name="_Toc362610059"/>
      <w:r w:rsidRPr="0027789B">
        <w:rPr>
          <w:u w:val="single"/>
        </w:rPr>
        <w:t>Allocation of Standard Capacity Product Payments and Charges</w:t>
      </w:r>
      <w:r>
        <w:t xml:space="preserve">. </w:t>
      </w:r>
      <w:r w:rsidRPr="0027789B">
        <w:rPr>
          <w:szCs w:val="24"/>
        </w:rPr>
        <w:t xml:space="preserve">During the </w:t>
      </w:r>
      <w:r w:rsidRPr="0027789B">
        <w:t xml:space="preserve">Delivery Period, if the Project is subject to the terms of </w:t>
      </w:r>
    </w:p>
    <w:p w14:paraId="48DBBE46" w14:textId="3E84BBB8" w:rsidR="00672152" w:rsidRPr="00672152" w:rsidRDefault="00327DD1" w:rsidP="00DB7FE0">
      <w:pPr>
        <w:pStyle w:val="Heading4"/>
        <w:rPr>
          <w:szCs w:val="24"/>
        </w:rPr>
      </w:pPr>
      <w:r w:rsidRPr="0027789B">
        <w:t xml:space="preserve">the Availability Standards, </w:t>
      </w:r>
      <w:r w:rsidR="00291C66">
        <w:t>“</w:t>
      </w:r>
      <w:r w:rsidRPr="00DB7FE0">
        <w:rPr>
          <w:u w:val="single"/>
        </w:rPr>
        <w:t>Non-Availability Charges</w:t>
      </w:r>
      <w:r w:rsidRPr="0027789B">
        <w:t>,</w:t>
      </w:r>
      <w:r w:rsidR="00291C66">
        <w:t>”</w:t>
      </w:r>
      <w:r w:rsidRPr="0027789B">
        <w:t xml:space="preserve"> and </w:t>
      </w:r>
      <w:r w:rsidR="00291C66">
        <w:t>“</w:t>
      </w:r>
      <w:r w:rsidRPr="00DB7FE0">
        <w:rPr>
          <w:u w:val="single"/>
        </w:rPr>
        <w:t>Availability Incentive Payments</w:t>
      </w:r>
      <w:r w:rsidR="00291C66">
        <w:t>,” as those terms are defined by the CAISO Tariff,</w:t>
      </w:r>
      <w:r w:rsidRPr="0027789B">
        <w:t xml:space="preserve"> </w:t>
      </w:r>
      <w:r w:rsidR="00291C66">
        <w:t xml:space="preserve">and </w:t>
      </w:r>
      <w:r w:rsidRPr="0027789B">
        <w:t xml:space="preserve">as contemplated under the CAISO Tariff, or </w:t>
      </w:r>
    </w:p>
    <w:p w14:paraId="1D9FD6D7" w14:textId="77777777" w:rsidR="00672152" w:rsidRPr="00672152" w:rsidRDefault="00327DD1" w:rsidP="00DB7FE0">
      <w:pPr>
        <w:pStyle w:val="Heading4"/>
        <w:rPr>
          <w:szCs w:val="24"/>
        </w:rPr>
      </w:pPr>
      <w:r w:rsidRPr="0027789B">
        <w:t xml:space="preserve">any similar standards, charges or payments that may be implemented for resources providing flexible capacity resource adequacy attributes or other types of Resource Adequacy Benefits, </w:t>
      </w:r>
    </w:p>
    <w:p w14:paraId="47FFA1A7" w14:textId="1801C24F" w:rsidR="00327DD1" w:rsidRPr="0027789B" w:rsidRDefault="00327DD1" w:rsidP="00DB7FE0">
      <w:pPr>
        <w:pStyle w:val="Heading3Text"/>
      </w:pPr>
      <w:r w:rsidRPr="0027789B">
        <w:t>any Availability Incentive Payments and other resulting payments will be for the benefit of Seller and for Seller’s account and any Non-Availability Charges and other resulting charges are the responsibility of Seller and for Seller’s account.</w:t>
      </w:r>
      <w:bookmarkEnd w:id="105"/>
    </w:p>
    <w:p w14:paraId="34E9592A" w14:textId="22D9D353" w:rsidR="00327DD1" w:rsidRPr="0027789B" w:rsidRDefault="00327DD1" w:rsidP="00327DD1">
      <w:pPr>
        <w:pStyle w:val="Heading3"/>
        <w:rPr>
          <w:szCs w:val="24"/>
        </w:rPr>
      </w:pPr>
      <w:r w:rsidRPr="0027789B">
        <w:rPr>
          <w:u w:val="single"/>
        </w:rPr>
        <w:t>RA Capacity Reduction</w:t>
      </w:r>
      <w:r>
        <w:t xml:space="preserve">. </w:t>
      </w:r>
      <w:r w:rsidRPr="0027789B">
        <w:t>If, at any time during any Put Period, any of the Storage Unit’s Net Qualifying Capacity does not equal its SU</w:t>
      </w:r>
      <w:r w:rsidRPr="0027789B">
        <w:rPr>
          <w:i/>
          <w:color w:val="FF0000"/>
        </w:rPr>
        <w:t xml:space="preserve"> </w:t>
      </w:r>
      <w:r w:rsidRPr="0027789B">
        <w:t xml:space="preserve">Contract Capacity, then </w:t>
      </w:r>
      <w:r w:rsidRPr="0027789B">
        <w:rPr>
          <w:bCs/>
        </w:rPr>
        <w:t>a</w:t>
      </w:r>
      <w:r w:rsidR="004A2082">
        <w:rPr>
          <w:bCs/>
        </w:rPr>
        <w:t>n</w:t>
      </w:r>
      <w:r w:rsidRPr="0027789B">
        <w:rPr>
          <w:bCs/>
        </w:rPr>
        <w:t xml:space="preserve"> RA Adjustment for such Storage Unit shall be calculated in the following manner:  </w:t>
      </w:r>
      <w:r w:rsidRPr="0027789B">
        <w:rPr>
          <w:bCs/>
        </w:rPr>
        <w:br/>
      </w:r>
      <w:r w:rsidRPr="0027789B">
        <w:rPr>
          <w:bCs/>
        </w:rPr>
        <w:br/>
        <w:t>“</w:t>
      </w:r>
      <w:r w:rsidRPr="0027789B">
        <w:rPr>
          <w:bCs/>
          <w:u w:val="single"/>
        </w:rPr>
        <w:t>RA Adjustment</w:t>
      </w:r>
      <w:r w:rsidRPr="0027789B">
        <w:rPr>
          <w:bCs/>
        </w:rPr>
        <w:t xml:space="preserve">” = Net </w:t>
      </w:r>
      <w:r w:rsidRPr="0027789B">
        <w:t xml:space="preserve">Qualifying Capacity of the Storage Unit / </w:t>
      </w:r>
      <w:r w:rsidRPr="0027789B">
        <w:rPr>
          <w:bCs/>
        </w:rPr>
        <w:t xml:space="preserve">the applicable </w:t>
      </w:r>
      <w:r w:rsidRPr="0027789B">
        <w:t>SU Contract Capacity;</w:t>
      </w:r>
      <w:r w:rsidRPr="0027789B">
        <w:br/>
      </w:r>
      <w:r w:rsidRPr="0027789B">
        <w:br/>
      </w:r>
      <w:r w:rsidRPr="00FF157D">
        <w:t>provided</w:t>
      </w:r>
      <w:r w:rsidRPr="0027789B">
        <w:rPr>
          <w:bCs/>
        </w:rPr>
        <w:t>, if the RA Adjustment is greater than one (1), then the RA Adjustment for such Storage Unit shall equal one (1)</w:t>
      </w:r>
      <w:r>
        <w:rPr>
          <w:bCs/>
        </w:rPr>
        <w:t xml:space="preserve">. </w:t>
      </w:r>
      <w:r w:rsidRPr="0027789B">
        <w:rPr>
          <w:bCs/>
        </w:rPr>
        <w:t xml:space="preserve">For each applicable Storage </w:t>
      </w:r>
      <w:r w:rsidRPr="001E217F">
        <w:rPr>
          <w:bCs/>
        </w:rPr>
        <w:t xml:space="preserve">Unit, the RA Adjustment shall be applied to the calculation of the Reduced Monthly Energy Capacity Payment for such Storage Unit under </w:t>
      </w:r>
      <w:r w:rsidRPr="004726AE">
        <w:rPr>
          <w:bCs/>
        </w:rPr>
        <w:t xml:space="preserve">Section </w:t>
      </w:r>
      <w:r w:rsidR="004726AE" w:rsidRPr="004726AE">
        <w:rPr>
          <w:bCs/>
        </w:rPr>
        <w:t>3</w:t>
      </w:r>
      <w:r w:rsidRPr="004726AE">
        <w:rPr>
          <w:bCs/>
        </w:rPr>
        <w:t>.0</w:t>
      </w:r>
      <w:r w:rsidR="004726AE" w:rsidRPr="004726AE">
        <w:rPr>
          <w:bCs/>
        </w:rPr>
        <w:t>6(c)</w:t>
      </w:r>
      <w:r w:rsidRPr="004726AE">
        <w:rPr>
          <w:bCs/>
        </w:rPr>
        <w:t>.</w:t>
      </w:r>
      <w:r>
        <w:rPr>
          <w:bCs/>
        </w:rPr>
        <w:t xml:space="preserve"> </w:t>
      </w:r>
    </w:p>
    <w:p w14:paraId="770E5D65" w14:textId="7515500E" w:rsidR="00327DD1" w:rsidRPr="0027789B" w:rsidRDefault="00327DD1" w:rsidP="00327DD1">
      <w:pPr>
        <w:pStyle w:val="Heading3"/>
        <w:rPr>
          <w:szCs w:val="24"/>
        </w:rPr>
      </w:pPr>
      <w:r w:rsidRPr="0027789B">
        <w:rPr>
          <w:u w:val="single"/>
        </w:rPr>
        <w:t>Rated Power Capacity Payment Reduction</w:t>
      </w:r>
      <w:r>
        <w:t xml:space="preserve">. </w:t>
      </w:r>
      <w:r w:rsidRPr="0027789B">
        <w:t xml:space="preserve">If, regardless of cause including by reason of Force Majeure, Forced Outage or </w:t>
      </w:r>
      <w:r w:rsidR="00410B6C">
        <w:t>scheduled</w:t>
      </w:r>
      <w:r w:rsidR="00410B6C" w:rsidRPr="0027789B">
        <w:t xml:space="preserve"> </w:t>
      </w:r>
      <w:r w:rsidR="00410B6C">
        <w:t>o</w:t>
      </w:r>
      <w:r w:rsidRPr="0027789B">
        <w:t xml:space="preserve">utage, (A) the Available Discharging Capacity, Available Charging Capacity, or Available Storage Capacity of a Storage Unit is less than its SU </w:t>
      </w:r>
      <w:r w:rsidRPr="001E217F">
        <w:t xml:space="preserve">Contract Capacity in any </w:t>
      </w:r>
      <w:r w:rsidRPr="001E217F">
        <w:lastRenderedPageBreak/>
        <w:t xml:space="preserve">Settlement Interval in a month during any Put Period, or (B) (1) the </w:t>
      </w:r>
      <w:r w:rsidRPr="001E217F">
        <w:rPr>
          <w:szCs w:val="24"/>
        </w:rPr>
        <w:t xml:space="preserve">Actual Efficiency Factor calculated pursuant to </w:t>
      </w:r>
      <w:r w:rsidRPr="004726AE">
        <w:rPr>
          <w:szCs w:val="24"/>
        </w:rPr>
        <w:t>Section</w:t>
      </w:r>
      <w:r w:rsidR="004726AE" w:rsidRPr="004726AE">
        <w:rPr>
          <w:szCs w:val="24"/>
        </w:rPr>
        <w:t xml:space="preserve"> 3</w:t>
      </w:r>
      <w:r w:rsidRPr="004726AE">
        <w:rPr>
          <w:szCs w:val="24"/>
        </w:rPr>
        <w:t>.</w:t>
      </w:r>
      <w:r w:rsidR="004726AE" w:rsidRPr="004726AE">
        <w:rPr>
          <w:szCs w:val="24"/>
        </w:rPr>
        <w:t>10</w:t>
      </w:r>
      <w:r w:rsidRPr="0027789B">
        <w:rPr>
          <w:szCs w:val="24"/>
        </w:rPr>
        <w:t xml:space="preserve"> for the applicable month is greater than the </w:t>
      </w: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Min</m:t>
            </m:r>
          </m:sup>
        </m:sSup>
      </m:oMath>
      <w:r w:rsidRPr="0027789B">
        <w:rPr>
          <w:szCs w:val="24"/>
        </w:rPr>
        <w:t xml:space="preserve"> and (2) </w:t>
      </w:r>
      <w:r w:rsidRPr="0027789B">
        <w:t>the Qualifying Delivered Energy from a Storage Unit is less than the Performance Tolerance Band Lower Limit in any Settlement Interval in a month during any Put Period, then the Rated Power Capacity Payment Reduction for the affected Storage Unit for that month will be calculated as follows:</w:t>
      </w:r>
    </w:p>
    <w:p w14:paraId="7D21F448" w14:textId="77777777" w:rsidR="00327DD1" w:rsidRPr="0027789B" w:rsidRDefault="00327DD1" w:rsidP="00327DD1">
      <w:pPr>
        <w:pStyle w:val="Heading4"/>
        <w:rPr>
          <w:szCs w:val="24"/>
        </w:rPr>
      </w:pPr>
      <w:r w:rsidRPr="0027789B">
        <w:t>For each Settlement Interval in the month, the “</w:t>
      </w:r>
      <w:r w:rsidRPr="0027789B">
        <w:rPr>
          <w:u w:val="single"/>
        </w:rPr>
        <w:t>Price-Weighted Capacity Availability</w:t>
      </w:r>
      <w:r w:rsidRPr="0027789B">
        <w:t>” is calculated as follows:</w:t>
      </w:r>
    </w:p>
    <w:p w14:paraId="1AA57375" w14:textId="77777777" w:rsidR="00327DD1" w:rsidRPr="0027789B" w:rsidRDefault="00327DD1" w:rsidP="00327DD1">
      <w:pPr>
        <w:pStyle w:val="Heading2Text"/>
        <w:ind w:left="2880"/>
        <w:rPr>
          <w:vertAlign w:val="subscript"/>
        </w:rPr>
      </w:pPr>
      <w:r w:rsidRPr="0027789B">
        <w:t>Price-Weighted Capacity Availability</w:t>
      </w:r>
      <w:r w:rsidRPr="0027789B">
        <w:rPr>
          <w:vertAlign w:val="subscript"/>
        </w:rPr>
        <w:t>i</w:t>
      </w:r>
      <w:r w:rsidRPr="0027789B">
        <w:t xml:space="preserve"> = (AMCP</w:t>
      </w:r>
      <w:r w:rsidRPr="0027789B">
        <w:rPr>
          <w:vertAlign w:val="subscript"/>
        </w:rPr>
        <w:t>h(i)</w:t>
      </w:r>
      <w:r w:rsidRPr="0027789B">
        <w:t xml:space="preserve"> * Capacity Availability</w:t>
      </w:r>
      <w:r w:rsidRPr="0027789B">
        <w:rPr>
          <w:vertAlign w:val="subscript"/>
        </w:rPr>
        <w:t>i</w:t>
      </w:r>
      <w:r w:rsidRPr="0027789B">
        <w:t>) / AMCP</w:t>
      </w:r>
      <w:r w:rsidRPr="0027789B">
        <w:rPr>
          <w:vertAlign w:val="subscript"/>
        </w:rPr>
        <w:t>avg(m)</w:t>
      </w:r>
    </w:p>
    <w:p w14:paraId="584B0860" w14:textId="77777777" w:rsidR="00327DD1" w:rsidRPr="0027789B" w:rsidRDefault="00327DD1" w:rsidP="00327DD1">
      <w:pPr>
        <w:pStyle w:val="Heading2Text"/>
        <w:ind w:left="3240"/>
        <w:rPr>
          <w:szCs w:val="24"/>
        </w:rPr>
      </w:pPr>
      <w:r w:rsidRPr="0027789B">
        <w:rPr>
          <w:szCs w:val="24"/>
        </w:rPr>
        <w:t>where:</w:t>
      </w:r>
    </w:p>
    <w:p w14:paraId="518D1F8B" w14:textId="77777777" w:rsidR="00327DD1" w:rsidRPr="0027789B" w:rsidRDefault="00327DD1" w:rsidP="00327DD1">
      <w:pPr>
        <w:pStyle w:val="Heading2Text"/>
        <w:ind w:left="3600"/>
      </w:pPr>
      <w:r w:rsidRPr="0027789B">
        <w:rPr>
          <w:i/>
        </w:rPr>
        <w:t>i</w:t>
      </w:r>
      <w:r w:rsidRPr="0027789B">
        <w:t xml:space="preserve"> = the Settlement Interval in month “</w:t>
      </w:r>
      <w:r w:rsidRPr="00FF157D">
        <w:rPr>
          <w:i/>
        </w:rPr>
        <w:t>m</w:t>
      </w:r>
      <w:r w:rsidRPr="0027789B">
        <w:t>”</w:t>
      </w:r>
    </w:p>
    <w:p w14:paraId="2DFFFB14" w14:textId="77777777" w:rsidR="00327DD1" w:rsidRPr="0027789B" w:rsidRDefault="00327DD1" w:rsidP="00327DD1">
      <w:pPr>
        <w:pStyle w:val="Heading2Text"/>
        <w:ind w:left="3600"/>
      </w:pPr>
      <w:r w:rsidRPr="0027789B">
        <w:rPr>
          <w:i/>
        </w:rPr>
        <w:t>AMCP</w:t>
      </w:r>
      <w:r w:rsidRPr="0027789B">
        <w:t xml:space="preserve"> = </w:t>
      </w:r>
      <w:r w:rsidRPr="0027789B">
        <w:rPr>
          <w:noProof/>
          <w:color w:val="000000"/>
          <w:position w:val="-30"/>
        </w:rPr>
        <w:drawing>
          <wp:inline distT="0" distB="0" distL="0" distR="0" wp14:anchorId="648818A4" wp14:editId="54262843">
            <wp:extent cx="1343660" cy="43624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660" cy="436245"/>
                    </a:xfrm>
                    <a:prstGeom prst="rect">
                      <a:avLst/>
                    </a:prstGeom>
                    <a:noFill/>
                    <a:ln>
                      <a:noFill/>
                    </a:ln>
                  </pic:spPr>
                </pic:pic>
              </a:graphicData>
            </a:graphic>
          </wp:inline>
        </w:drawing>
      </w:r>
    </w:p>
    <w:p w14:paraId="504FF11A" w14:textId="5566710A" w:rsidR="00327DD1" w:rsidRPr="0027789B" w:rsidRDefault="00327DD1" w:rsidP="00327DD1">
      <w:pPr>
        <w:pStyle w:val="Heading2Text"/>
        <w:ind w:left="3600"/>
      </w:pPr>
      <w:r w:rsidRPr="0027789B">
        <w:rPr>
          <w:i/>
        </w:rPr>
        <w:t>h(i)</w:t>
      </w:r>
      <w:r w:rsidRPr="0027789B">
        <w:t xml:space="preserve"> = the </w:t>
      </w:r>
      <w:r w:rsidR="00FF2329">
        <w:t>“</w:t>
      </w:r>
      <w:r w:rsidRPr="00575626">
        <w:rPr>
          <w:u w:val="single"/>
        </w:rPr>
        <w:t>Trading Hour</w:t>
      </w:r>
      <w:r w:rsidR="00FF2329">
        <w:t>,” as that term is defined by the CAISO Tariff,</w:t>
      </w:r>
      <w:r w:rsidRPr="0027789B">
        <w:t xml:space="preserve"> corresponding to Settlement Interval “</w:t>
      </w:r>
      <w:r w:rsidRPr="00FF157D">
        <w:rPr>
          <w:i/>
        </w:rPr>
        <w:t>i</w:t>
      </w:r>
      <w:r w:rsidRPr="0027789B">
        <w:t>” being calculated</w:t>
      </w:r>
    </w:p>
    <w:p w14:paraId="25E14D2F" w14:textId="77777777" w:rsidR="00327DD1" w:rsidRPr="0027789B" w:rsidRDefault="00327DD1" w:rsidP="00327DD1">
      <w:pPr>
        <w:pStyle w:val="Heading2Text"/>
        <w:ind w:left="3600"/>
      </w:pPr>
      <w:r w:rsidRPr="0027789B">
        <w:rPr>
          <w:i/>
        </w:rPr>
        <w:t>avg(m)</w:t>
      </w:r>
      <w:r w:rsidRPr="0027789B">
        <w:t xml:space="preserve"> = the simple average over all Settlement Intervals in month “</w:t>
      </w:r>
      <w:r w:rsidRPr="00FF157D">
        <w:rPr>
          <w:i/>
        </w:rPr>
        <w:t>m</w:t>
      </w:r>
      <w:r w:rsidRPr="0027789B">
        <w:t>”</w:t>
      </w:r>
    </w:p>
    <w:p w14:paraId="4F5ADCA4" w14:textId="77777777" w:rsidR="00327DD1" w:rsidRPr="0027789B" w:rsidRDefault="00327DD1" w:rsidP="00327DD1">
      <w:pPr>
        <w:pStyle w:val="Heading2Text"/>
        <w:ind w:left="2880"/>
      </w:pPr>
      <w:r w:rsidRPr="0027789B">
        <w:t>For purposes of such calculation, Capacity Availability for any Settlement Interval shall not exceed the applicable SU Contract Capacity.</w:t>
      </w:r>
    </w:p>
    <w:p w14:paraId="6BCF4DE0" w14:textId="65A21AED" w:rsidR="00327DD1" w:rsidRPr="0027789B" w:rsidRDefault="0093313C" w:rsidP="00327DD1">
      <w:pPr>
        <w:pStyle w:val="Heading4"/>
      </w:pPr>
      <w:r>
        <w:t>T</w:t>
      </w:r>
      <w:r w:rsidR="00327DD1" w:rsidRPr="0027789B">
        <w:t>he “</w:t>
      </w:r>
      <w:r w:rsidR="00327DD1" w:rsidRPr="0027789B">
        <w:rPr>
          <w:u w:val="single"/>
        </w:rPr>
        <w:t>Price-Weighted Monthly Capacity Availability</w:t>
      </w:r>
      <w:r w:rsidR="00327DD1" w:rsidRPr="0027789B">
        <w:t>” for month “</w:t>
      </w:r>
      <w:r w:rsidR="00327DD1" w:rsidRPr="00FF157D">
        <w:rPr>
          <w:i/>
        </w:rPr>
        <w:t>m</w:t>
      </w:r>
      <w:r w:rsidR="00327DD1" w:rsidRPr="0027789B">
        <w:t>” is calculated as follows:</w:t>
      </w:r>
    </w:p>
    <w:p w14:paraId="0AEB8376" w14:textId="77777777" w:rsidR="00327DD1" w:rsidRPr="0027789B" w:rsidRDefault="00327DD1" w:rsidP="00327DD1">
      <w:pPr>
        <w:pStyle w:val="Heading2Text"/>
        <w:ind w:left="2880"/>
        <w:rPr>
          <w:vertAlign w:val="subscript"/>
        </w:rPr>
      </w:pPr>
      <w:r w:rsidRPr="0027789B">
        <w:t>Price-Weighted Monthly Capacity Availability</w:t>
      </w:r>
      <w:r w:rsidRPr="0027789B">
        <w:rPr>
          <w:vertAlign w:val="subscript"/>
        </w:rPr>
        <w:t>m</w:t>
      </w:r>
      <w:r w:rsidRPr="0027789B">
        <w:t xml:space="preserve"> = </w:t>
      </w:r>
      <w:r w:rsidRPr="0027789B">
        <w:rPr>
          <w:noProof/>
        </w:rPr>
        <w:drawing>
          <wp:inline distT="0" distB="0" distL="0" distR="0" wp14:anchorId="56E386A1" wp14:editId="71B0A4BA">
            <wp:extent cx="126187" cy="365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187" cy="365760"/>
                    </a:xfrm>
                    <a:prstGeom prst="rect">
                      <a:avLst/>
                    </a:prstGeom>
                    <a:noFill/>
                    <a:ln>
                      <a:noFill/>
                    </a:ln>
                  </pic:spPr>
                </pic:pic>
              </a:graphicData>
            </a:graphic>
          </wp:inline>
        </w:drawing>
      </w:r>
      <w:r w:rsidRPr="0027789B">
        <w:t xml:space="preserve"> Price-Weighted Capacity Availability</w:t>
      </w:r>
      <w:r w:rsidRPr="0027789B">
        <w:rPr>
          <w:vertAlign w:val="subscript"/>
        </w:rPr>
        <w:t>i</w:t>
      </w:r>
    </w:p>
    <w:p w14:paraId="081F0DBA" w14:textId="77777777" w:rsidR="00327DD1" w:rsidRPr="0027789B" w:rsidRDefault="00327DD1" w:rsidP="00327DD1">
      <w:pPr>
        <w:pStyle w:val="Heading2Text"/>
        <w:ind w:left="3240"/>
      </w:pPr>
      <w:r w:rsidRPr="0027789B">
        <w:t>where:</w:t>
      </w:r>
    </w:p>
    <w:p w14:paraId="2A5E5377" w14:textId="16EFF5A1" w:rsidR="00327DD1" w:rsidRPr="0027789B" w:rsidRDefault="00327DD1" w:rsidP="00327DD1">
      <w:pPr>
        <w:pStyle w:val="Heading2Text"/>
        <w:ind w:left="3600"/>
      </w:pPr>
      <w:r w:rsidRPr="0027789B">
        <w:rPr>
          <w:i/>
        </w:rPr>
        <w:t>m</w:t>
      </w:r>
      <w:r w:rsidRPr="0027789B">
        <w:t xml:space="preserve"> = the relevant month within the Put Period being calculated</w:t>
      </w:r>
    </w:p>
    <w:p w14:paraId="7FB4CD39" w14:textId="77777777" w:rsidR="00327DD1" w:rsidRPr="0027789B" w:rsidRDefault="00327DD1" w:rsidP="00327DD1">
      <w:pPr>
        <w:pStyle w:val="Heading2Text"/>
        <w:ind w:left="3600"/>
      </w:pPr>
      <w:r w:rsidRPr="0027789B">
        <w:rPr>
          <w:i/>
        </w:rPr>
        <w:lastRenderedPageBreak/>
        <w:t>n</w:t>
      </w:r>
      <w:r w:rsidRPr="0027789B">
        <w:t xml:space="preserve"> = the number of Settlement Intervals in month “</w:t>
      </w:r>
      <w:r w:rsidRPr="00FF157D">
        <w:rPr>
          <w:i/>
        </w:rPr>
        <w:t>m</w:t>
      </w:r>
      <w:r w:rsidRPr="0027789B">
        <w:t>”</w:t>
      </w:r>
    </w:p>
    <w:p w14:paraId="56321178" w14:textId="77777777" w:rsidR="00327DD1" w:rsidRPr="0027789B" w:rsidRDefault="00327DD1" w:rsidP="00327DD1">
      <w:pPr>
        <w:pStyle w:val="Heading2Text"/>
        <w:ind w:left="3600"/>
      </w:pPr>
      <w:r w:rsidRPr="0027789B">
        <w:rPr>
          <w:i/>
        </w:rPr>
        <w:t>i</w:t>
      </w:r>
      <w:r w:rsidRPr="0027789B">
        <w:t xml:space="preserve"> = the Settlement Interval in month “</w:t>
      </w:r>
      <w:r w:rsidRPr="00FF157D">
        <w:rPr>
          <w:i/>
        </w:rPr>
        <w:t>m</w:t>
      </w:r>
      <w:r w:rsidRPr="0027789B">
        <w:t>”</w:t>
      </w:r>
    </w:p>
    <w:p w14:paraId="59D51BE8" w14:textId="41116148" w:rsidR="00327DD1" w:rsidRPr="0027789B" w:rsidRDefault="0093313C" w:rsidP="00327DD1">
      <w:pPr>
        <w:pStyle w:val="Heading4"/>
      </w:pPr>
      <w:r>
        <w:t>T</w:t>
      </w:r>
      <w:r w:rsidR="00327DD1" w:rsidRPr="0027789B">
        <w:t>he “</w:t>
      </w:r>
      <w:r w:rsidR="00327DD1" w:rsidRPr="0027789B">
        <w:rPr>
          <w:u w:val="single"/>
        </w:rPr>
        <w:t>Capacity Price Adjustment Factor</w:t>
      </w:r>
      <w:r w:rsidR="00327DD1" w:rsidRPr="0027789B">
        <w:t>” for month “</w:t>
      </w:r>
      <w:r w:rsidR="00327DD1" w:rsidRPr="00FF157D">
        <w:rPr>
          <w:i/>
        </w:rPr>
        <w:t>m</w:t>
      </w:r>
      <w:r w:rsidR="00327DD1" w:rsidRPr="0027789B">
        <w:t>” is calculated as follows:</w:t>
      </w:r>
    </w:p>
    <w:p w14:paraId="5F9C8206" w14:textId="77777777" w:rsidR="00327DD1" w:rsidRPr="0027789B" w:rsidRDefault="00327DD1" w:rsidP="00327DD1">
      <w:pPr>
        <w:pStyle w:val="Heading2Text"/>
        <w:ind w:left="2880"/>
      </w:pPr>
      <w:r w:rsidRPr="0027789B">
        <w:t>Capacity Price Adjustment Factor</w:t>
      </w:r>
      <w:r w:rsidRPr="0027789B">
        <w:rPr>
          <w:vertAlign w:val="subscript"/>
        </w:rPr>
        <w:t>m</w:t>
      </w:r>
      <w:r w:rsidRPr="0027789B">
        <w:rPr>
          <w:sz w:val="16"/>
          <w:szCs w:val="16"/>
        </w:rPr>
        <w:t xml:space="preserve"> </w:t>
      </w:r>
      <w:r w:rsidRPr="0027789B">
        <w:t>=</w:t>
      </w:r>
      <w:r w:rsidRPr="0027789B">
        <w:rPr>
          <w:sz w:val="16"/>
          <w:szCs w:val="16"/>
        </w:rPr>
        <w:t xml:space="preserve"> </w:t>
      </w:r>
      <w:r w:rsidRPr="0027789B">
        <w:t>Price-Weighted Monthly Capacity Availability</w:t>
      </w:r>
      <w:r w:rsidRPr="0027789B">
        <w:rPr>
          <w:vertAlign w:val="subscript"/>
        </w:rPr>
        <w:t>m</w:t>
      </w:r>
      <w:r w:rsidRPr="0027789B">
        <w:rPr>
          <w:sz w:val="16"/>
          <w:szCs w:val="16"/>
        </w:rPr>
        <w:t xml:space="preserve"> </w:t>
      </w:r>
      <w:r w:rsidRPr="0027789B">
        <w:t>/ (Q</w:t>
      </w:r>
      <w:r w:rsidRPr="0027789B">
        <w:rPr>
          <w:sz w:val="16"/>
          <w:szCs w:val="16"/>
        </w:rPr>
        <w:t xml:space="preserve"> * </w:t>
      </w:r>
      <w:r w:rsidRPr="0027789B">
        <w:t>n)</w:t>
      </w:r>
    </w:p>
    <w:p w14:paraId="12350BDB" w14:textId="77777777" w:rsidR="00327DD1" w:rsidRPr="0027789B" w:rsidRDefault="00327DD1" w:rsidP="00327DD1">
      <w:pPr>
        <w:pStyle w:val="Heading2Text"/>
        <w:ind w:left="3240"/>
      </w:pPr>
      <w:r w:rsidRPr="0027789B">
        <w:t>where:</w:t>
      </w:r>
    </w:p>
    <w:p w14:paraId="181484B6" w14:textId="52CDCC3D" w:rsidR="00327DD1" w:rsidRPr="0027789B" w:rsidRDefault="00327DD1" w:rsidP="00327DD1">
      <w:pPr>
        <w:pStyle w:val="Heading2Text"/>
        <w:ind w:left="3600"/>
      </w:pPr>
      <w:r w:rsidRPr="0027789B">
        <w:rPr>
          <w:i/>
        </w:rPr>
        <w:t>m</w:t>
      </w:r>
      <w:r w:rsidRPr="0027789B">
        <w:t xml:space="preserve"> = the relevant month within the Put Period being calculated</w:t>
      </w:r>
    </w:p>
    <w:p w14:paraId="6633FDC7" w14:textId="77777777" w:rsidR="00327DD1" w:rsidRPr="0027789B" w:rsidRDefault="00327DD1" w:rsidP="00327DD1">
      <w:pPr>
        <w:pStyle w:val="Heading2Text"/>
        <w:ind w:left="3600"/>
      </w:pPr>
      <w:r w:rsidRPr="0027789B">
        <w:rPr>
          <w:i/>
        </w:rPr>
        <w:t>Q</w:t>
      </w:r>
      <w:r w:rsidRPr="0027789B">
        <w:t xml:space="preserve"> = the SU Contract Capacity</w:t>
      </w:r>
    </w:p>
    <w:p w14:paraId="739B95F4" w14:textId="77777777" w:rsidR="00327DD1" w:rsidRPr="0027789B" w:rsidRDefault="00327DD1" w:rsidP="00327DD1">
      <w:pPr>
        <w:pStyle w:val="Heading2Text"/>
        <w:ind w:left="3600"/>
      </w:pPr>
      <w:r w:rsidRPr="0027789B">
        <w:rPr>
          <w:i/>
        </w:rPr>
        <w:t>n</w:t>
      </w:r>
      <w:r w:rsidRPr="0027789B">
        <w:t xml:space="preserve"> = the number of Settlement Intervals in month “</w:t>
      </w:r>
      <w:r w:rsidRPr="00FF157D">
        <w:rPr>
          <w:i/>
        </w:rPr>
        <w:t>m</w:t>
      </w:r>
      <w:r w:rsidRPr="0027789B">
        <w:t>”</w:t>
      </w:r>
    </w:p>
    <w:p w14:paraId="32D4A99A" w14:textId="5FA6E460" w:rsidR="00327DD1" w:rsidRPr="0027789B" w:rsidRDefault="0093313C" w:rsidP="00327DD1">
      <w:pPr>
        <w:pStyle w:val="Heading4"/>
      </w:pPr>
      <w:r>
        <w:t>T</w:t>
      </w:r>
      <w:r w:rsidR="00327DD1" w:rsidRPr="0027789B">
        <w:t>he “</w:t>
      </w:r>
      <w:r w:rsidR="00327DD1" w:rsidRPr="0027789B">
        <w:rPr>
          <w:u w:val="single"/>
        </w:rPr>
        <w:t>Rated Power Capacity Payment Reduction</w:t>
      </w:r>
      <w:r w:rsidR="00327DD1" w:rsidRPr="0027789B">
        <w:t>” for month “</w:t>
      </w:r>
      <w:r w:rsidR="00327DD1" w:rsidRPr="00FF157D">
        <w:rPr>
          <w:i/>
        </w:rPr>
        <w:t>m</w:t>
      </w:r>
      <w:r w:rsidR="00327DD1" w:rsidRPr="0027789B">
        <w:t>” is calculated as follows:</w:t>
      </w:r>
    </w:p>
    <w:p w14:paraId="237B4B72" w14:textId="77777777" w:rsidR="00327DD1" w:rsidRPr="0027789B" w:rsidRDefault="00327DD1" w:rsidP="00327DD1">
      <w:pPr>
        <w:pStyle w:val="Heading2Text"/>
        <w:ind w:left="2880"/>
      </w:pPr>
      <w:r w:rsidRPr="0027789B">
        <w:t>Rated Power Capacity Payment Reduction</w:t>
      </w:r>
      <w:r w:rsidRPr="0027789B">
        <w:rPr>
          <w:vertAlign w:val="subscript"/>
        </w:rPr>
        <w:t>m</w:t>
      </w:r>
      <w:r w:rsidRPr="0027789B">
        <w:t xml:space="preserve"> = 0.50 * Monthly Energy Capacity Payment * (1 – Capacity Price Adjustment Factor)</w:t>
      </w:r>
    </w:p>
    <w:p w14:paraId="4C0A075D" w14:textId="374F17D6" w:rsidR="00327DD1" w:rsidRPr="00E335BC" w:rsidRDefault="00327DD1" w:rsidP="00327DD1">
      <w:pPr>
        <w:pStyle w:val="Heading2Text"/>
        <w:ind w:left="2880"/>
      </w:pPr>
      <w:r w:rsidRPr="0027789B">
        <w:t xml:space="preserve">For purposes of calculating </w:t>
      </w:r>
      <w:r w:rsidRPr="00E335BC">
        <w:t xml:space="preserve">the Rated Power Capacity Payment Reduction in this subsection (iv), the Monthly Energy Capacity Payment is the Monthly Energy Capacity Payment applicable to the Storage Unit as set forth in </w:t>
      </w:r>
      <w:r w:rsidRPr="00D01883">
        <w:rPr>
          <w:u w:val="single"/>
        </w:rPr>
        <w:t xml:space="preserve">Exhibit </w:t>
      </w:r>
      <w:r w:rsidR="00CF10CD">
        <w:rPr>
          <w:u w:val="single"/>
        </w:rPr>
        <w:t>E</w:t>
      </w:r>
      <w:r w:rsidRPr="00D01883">
        <w:t>.</w:t>
      </w:r>
    </w:p>
    <w:p w14:paraId="37C96868" w14:textId="04472DF7" w:rsidR="00327DD1" w:rsidRPr="0027789B" w:rsidRDefault="00327DD1" w:rsidP="00327DD1">
      <w:pPr>
        <w:pStyle w:val="Heading3"/>
      </w:pPr>
      <w:r w:rsidRPr="00E335BC">
        <w:rPr>
          <w:u w:val="single"/>
        </w:rPr>
        <w:t>A/S Capacity Payment Reduction</w:t>
      </w:r>
      <w:r w:rsidRPr="00E335BC">
        <w:t xml:space="preserve">. If, regardless of cause including by reason of Force Majeure, Forced Outage or </w:t>
      </w:r>
      <w:r w:rsidR="00410B6C">
        <w:t>scheduled</w:t>
      </w:r>
      <w:r w:rsidR="00410B6C" w:rsidRPr="00E335BC">
        <w:t xml:space="preserve"> </w:t>
      </w:r>
      <w:r w:rsidR="00410B6C">
        <w:t>o</w:t>
      </w:r>
      <w:r w:rsidRPr="00E335BC">
        <w:t>utage, for each Ancillary Service list</w:t>
      </w:r>
      <w:r w:rsidRPr="00482B73">
        <w:t xml:space="preserve">ed in </w:t>
      </w:r>
      <w:r w:rsidRPr="00482B73">
        <w:rPr>
          <w:u w:val="single"/>
        </w:rPr>
        <w:t xml:space="preserve">Exhibit </w:t>
      </w:r>
      <w:r w:rsidR="00CF10CD">
        <w:rPr>
          <w:u w:val="single"/>
        </w:rPr>
        <w:t>D</w:t>
      </w:r>
      <w:r w:rsidRPr="00482B73">
        <w:t xml:space="preserve">, the A/S Availability of a Storage Unit is less than the applicable A/S Maximum Capacity quantity specified in </w:t>
      </w:r>
      <w:r w:rsidRPr="00482B73">
        <w:rPr>
          <w:u w:val="single"/>
        </w:rPr>
        <w:t xml:space="preserve">Exhibit </w:t>
      </w:r>
      <w:r w:rsidR="00CF10CD">
        <w:rPr>
          <w:u w:val="single"/>
        </w:rPr>
        <w:t>D</w:t>
      </w:r>
      <w:r w:rsidRPr="00482B73">
        <w:t xml:space="preserve"> in</w:t>
      </w:r>
      <w:r w:rsidRPr="00E335BC">
        <w:t xml:space="preserve"> any</w:t>
      </w:r>
      <w:r w:rsidRPr="0027789B">
        <w:t xml:space="preserve"> Settlement Interval of a month during any Put Period, then the A/S Capacity Payment Reduction for the Storage Unit for that month will be calculated as follows:  </w:t>
      </w:r>
    </w:p>
    <w:p w14:paraId="44B72DA8" w14:textId="77777777" w:rsidR="00327DD1" w:rsidRPr="0027789B" w:rsidRDefault="00327DD1" w:rsidP="00327DD1">
      <w:pPr>
        <w:pStyle w:val="Heading4"/>
      </w:pPr>
      <w:r w:rsidRPr="0027789B">
        <w:t>The “</w:t>
      </w:r>
      <w:r w:rsidRPr="0027789B">
        <w:rPr>
          <w:u w:val="single"/>
        </w:rPr>
        <w:t>Monthly Available A/S Capacity</w:t>
      </w:r>
      <w:r w:rsidRPr="0027789B">
        <w:t>” for month “</w:t>
      </w:r>
      <w:r w:rsidRPr="00FF157D">
        <w:rPr>
          <w:i/>
        </w:rPr>
        <w:t>m</w:t>
      </w:r>
      <w:r w:rsidRPr="0027789B">
        <w:t>” is calculated as follows:</w:t>
      </w:r>
    </w:p>
    <w:p w14:paraId="425F51A2" w14:textId="77777777" w:rsidR="00327DD1" w:rsidRPr="0027789B" w:rsidRDefault="00327DD1" w:rsidP="00327DD1">
      <w:pPr>
        <w:pStyle w:val="Heading2Text"/>
        <w:tabs>
          <w:tab w:val="left" w:pos="2880"/>
        </w:tabs>
        <w:ind w:left="2880"/>
        <w:rPr>
          <w:vertAlign w:val="subscript"/>
        </w:rPr>
      </w:pPr>
      <w:r w:rsidRPr="0027789B">
        <w:t>Monthly Available A/S Capacity</w:t>
      </w:r>
      <w:r w:rsidRPr="0027789B">
        <w:rPr>
          <w:vertAlign w:val="subscript"/>
        </w:rPr>
        <w:t>m</w:t>
      </w:r>
      <w:r w:rsidRPr="0027789B">
        <w:t xml:space="preserve"> = </w:t>
      </w:r>
      <w:r w:rsidRPr="0027789B">
        <w:rPr>
          <w:noProof/>
          <w:position w:val="-28"/>
        </w:rPr>
        <w:drawing>
          <wp:inline distT="0" distB="0" distL="0" distR="0" wp14:anchorId="20AC7666" wp14:editId="1346E03A">
            <wp:extent cx="131445" cy="33972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 cy="339725"/>
                    </a:xfrm>
                    <a:prstGeom prst="rect">
                      <a:avLst/>
                    </a:prstGeom>
                    <a:noFill/>
                    <a:ln>
                      <a:noFill/>
                    </a:ln>
                  </pic:spPr>
                </pic:pic>
              </a:graphicData>
            </a:graphic>
          </wp:inline>
        </w:drawing>
      </w:r>
      <w:r w:rsidRPr="0027789B">
        <w:rPr>
          <w:noProof/>
          <w:position w:val="-28"/>
        </w:rPr>
        <w:drawing>
          <wp:inline distT="0" distB="0" distL="0" distR="0" wp14:anchorId="2114DB40" wp14:editId="382BF959">
            <wp:extent cx="131445" cy="381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 cy="381000"/>
                    </a:xfrm>
                    <a:prstGeom prst="rect">
                      <a:avLst/>
                    </a:prstGeom>
                    <a:noFill/>
                    <a:ln>
                      <a:noFill/>
                    </a:ln>
                  </pic:spPr>
                </pic:pic>
              </a:graphicData>
            </a:graphic>
          </wp:inline>
        </w:drawing>
      </w:r>
      <w:r w:rsidRPr="0027789B">
        <w:t xml:space="preserve"> A/S Availability</w:t>
      </w:r>
      <w:r w:rsidRPr="0027789B">
        <w:rPr>
          <w:vertAlign w:val="subscript"/>
        </w:rPr>
        <w:t>i,k</w:t>
      </w:r>
    </w:p>
    <w:p w14:paraId="5DCB9841" w14:textId="77777777" w:rsidR="00327DD1" w:rsidRPr="0027789B" w:rsidRDefault="00327DD1" w:rsidP="00327DD1">
      <w:pPr>
        <w:pStyle w:val="Heading2Text"/>
        <w:tabs>
          <w:tab w:val="left" w:pos="3240"/>
        </w:tabs>
        <w:ind w:left="3240"/>
      </w:pPr>
      <w:r w:rsidRPr="0027789B">
        <w:lastRenderedPageBreak/>
        <w:t>where:</w:t>
      </w:r>
    </w:p>
    <w:p w14:paraId="669CDEBC" w14:textId="6B468EAB" w:rsidR="00327DD1" w:rsidRPr="0027789B" w:rsidRDefault="00327DD1" w:rsidP="00327DD1">
      <w:pPr>
        <w:pStyle w:val="Heading2Text"/>
        <w:tabs>
          <w:tab w:val="left" w:pos="3240"/>
        </w:tabs>
        <w:ind w:left="3240"/>
      </w:pPr>
      <w:r w:rsidRPr="0027789B">
        <w:rPr>
          <w:i/>
        </w:rPr>
        <w:t>m</w:t>
      </w:r>
      <w:r w:rsidRPr="0027789B">
        <w:t xml:space="preserve"> = the relevant month within the Put Period being calculated</w:t>
      </w:r>
    </w:p>
    <w:p w14:paraId="2B19CC6E" w14:textId="77777777" w:rsidR="00327DD1" w:rsidRPr="0027789B" w:rsidRDefault="00327DD1" w:rsidP="00327DD1">
      <w:pPr>
        <w:pStyle w:val="Heading2Text"/>
        <w:tabs>
          <w:tab w:val="left" w:pos="3240"/>
        </w:tabs>
        <w:ind w:left="3240"/>
      </w:pPr>
      <w:r w:rsidRPr="0027789B">
        <w:rPr>
          <w:i/>
        </w:rPr>
        <w:t>n</w:t>
      </w:r>
      <w:r w:rsidRPr="0027789B">
        <w:t xml:space="preserve"> = the number of Settlement Intervals in month “</w:t>
      </w:r>
      <w:r w:rsidRPr="00FF157D">
        <w:rPr>
          <w:i/>
        </w:rPr>
        <w:t>m</w:t>
      </w:r>
      <w:r w:rsidRPr="0027789B">
        <w:t>”</w:t>
      </w:r>
    </w:p>
    <w:p w14:paraId="17C474A6" w14:textId="77777777" w:rsidR="00327DD1" w:rsidRPr="0027789B" w:rsidRDefault="00327DD1" w:rsidP="00327DD1">
      <w:pPr>
        <w:pStyle w:val="Heading2Text"/>
        <w:tabs>
          <w:tab w:val="left" w:pos="3240"/>
        </w:tabs>
        <w:ind w:left="3240"/>
      </w:pPr>
      <w:r w:rsidRPr="0027789B">
        <w:rPr>
          <w:i/>
        </w:rPr>
        <w:t>i</w:t>
      </w:r>
      <w:r w:rsidRPr="0027789B">
        <w:t xml:space="preserve"> = the Settlement Interval in month “</w:t>
      </w:r>
      <w:r w:rsidRPr="00FF157D">
        <w:rPr>
          <w:i/>
        </w:rPr>
        <w:t>m</w:t>
      </w:r>
      <w:r w:rsidRPr="0027789B">
        <w:t>”</w:t>
      </w:r>
    </w:p>
    <w:p w14:paraId="66BBD23A" w14:textId="77777777" w:rsidR="00327DD1" w:rsidRPr="0027789B" w:rsidRDefault="00327DD1" w:rsidP="00327DD1">
      <w:pPr>
        <w:pStyle w:val="Heading2Text"/>
        <w:tabs>
          <w:tab w:val="left" w:pos="3240"/>
        </w:tabs>
        <w:ind w:left="3240"/>
      </w:pPr>
      <w:r w:rsidRPr="0027789B">
        <w:rPr>
          <w:i/>
        </w:rPr>
        <w:t>k</w:t>
      </w:r>
      <w:r w:rsidRPr="0027789B">
        <w:t xml:space="preserve"> = the applicable Ancillary Service</w:t>
      </w:r>
    </w:p>
    <w:p w14:paraId="4E7CF7AD" w14:textId="74545BDB" w:rsidR="00327DD1" w:rsidRPr="00482B73" w:rsidRDefault="00327DD1" w:rsidP="00327DD1">
      <w:pPr>
        <w:pStyle w:val="Heading2Text"/>
        <w:tabs>
          <w:tab w:val="left" w:pos="3240"/>
        </w:tabs>
        <w:ind w:left="3240"/>
      </w:pPr>
      <w:r w:rsidRPr="0027789B">
        <w:t xml:space="preserve">For </w:t>
      </w:r>
      <w:r w:rsidRPr="00E335BC">
        <w:t>purposes of such calculation</w:t>
      </w:r>
      <w:bookmarkStart w:id="106" w:name="_DV_X59"/>
      <w:bookmarkStart w:id="107" w:name="_DV_C50"/>
      <w:r w:rsidRPr="00E335BC">
        <w:t xml:space="preserve">, for each Ancillary Service, A/S Availability for any Settlement Interval shall not exceed the applicable A/S Maximum Capacity quantity specified in </w:t>
      </w:r>
      <w:r w:rsidRPr="00482B73">
        <w:rPr>
          <w:u w:val="single"/>
        </w:rPr>
        <w:t xml:space="preserve">Exhibit </w:t>
      </w:r>
      <w:r w:rsidR="00CF10CD">
        <w:rPr>
          <w:u w:val="single"/>
        </w:rPr>
        <w:t>D</w:t>
      </w:r>
      <w:r w:rsidRPr="00482B73">
        <w:t>.</w:t>
      </w:r>
      <w:bookmarkEnd w:id="106"/>
      <w:bookmarkEnd w:id="107"/>
    </w:p>
    <w:p w14:paraId="2B368450" w14:textId="73C4466F" w:rsidR="00327DD1" w:rsidRPr="00482B73" w:rsidRDefault="0093313C" w:rsidP="00327DD1">
      <w:pPr>
        <w:pStyle w:val="Heading4"/>
      </w:pPr>
      <w:r>
        <w:t>T</w:t>
      </w:r>
      <w:r w:rsidR="00327DD1" w:rsidRPr="00482B73">
        <w:t>he “</w:t>
      </w:r>
      <w:r w:rsidR="00327DD1" w:rsidRPr="00482B73">
        <w:rPr>
          <w:u w:val="single"/>
        </w:rPr>
        <w:t>A/S Price Adjustment Factor</w:t>
      </w:r>
      <w:r w:rsidR="00327DD1" w:rsidRPr="00482B73">
        <w:t>” for month “</w:t>
      </w:r>
      <w:r w:rsidR="00327DD1" w:rsidRPr="00482B73">
        <w:rPr>
          <w:i/>
        </w:rPr>
        <w:t>m</w:t>
      </w:r>
      <w:r w:rsidR="00327DD1" w:rsidRPr="00482B73">
        <w:t>” is calculated as follows:</w:t>
      </w:r>
    </w:p>
    <w:p w14:paraId="657EAA15" w14:textId="77777777" w:rsidR="00327DD1" w:rsidRPr="00482B73" w:rsidRDefault="00327DD1" w:rsidP="00327DD1">
      <w:pPr>
        <w:pStyle w:val="Heading2Text"/>
        <w:tabs>
          <w:tab w:val="left" w:pos="2880"/>
        </w:tabs>
        <w:ind w:left="2880"/>
      </w:pPr>
      <w:r w:rsidRPr="00482B73">
        <w:t>A/S Price Adjustment Factor</w:t>
      </w:r>
      <w:r w:rsidRPr="00482B73">
        <w:rPr>
          <w:vertAlign w:val="subscript"/>
        </w:rPr>
        <w:t>m</w:t>
      </w:r>
      <w:r w:rsidRPr="00482B73">
        <w:t xml:space="preserve"> = Monthly Available A/S</w:t>
      </w:r>
      <w:r w:rsidRPr="00482B73">
        <w:rPr>
          <w:sz w:val="16"/>
          <w:szCs w:val="16"/>
        </w:rPr>
        <w:t xml:space="preserve"> </w:t>
      </w:r>
      <w:r w:rsidRPr="00482B73">
        <w:t>Capacity</w:t>
      </w:r>
      <w:r w:rsidRPr="00482B73">
        <w:rPr>
          <w:vertAlign w:val="subscript"/>
        </w:rPr>
        <w:t>m </w:t>
      </w:r>
      <w:r w:rsidRPr="00482B73">
        <w:t>/</w:t>
      </w:r>
      <w:r w:rsidRPr="00482B73">
        <w:rPr>
          <w:sz w:val="16"/>
          <w:szCs w:val="16"/>
        </w:rPr>
        <w:t xml:space="preserve">  (</w:t>
      </w:r>
      <w:r w:rsidRPr="00482B73">
        <w:rPr>
          <w:noProof/>
          <w:position w:val="-28"/>
        </w:rPr>
        <w:drawing>
          <wp:inline distT="0" distB="0" distL="0" distR="0" wp14:anchorId="0A098FAC" wp14:editId="2BD95FC6">
            <wp:extent cx="131445" cy="339725"/>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445" cy="339725"/>
                    </a:xfrm>
                    <a:prstGeom prst="rect">
                      <a:avLst/>
                    </a:prstGeom>
                    <a:noFill/>
                    <a:ln>
                      <a:noFill/>
                    </a:ln>
                  </pic:spPr>
                </pic:pic>
              </a:graphicData>
            </a:graphic>
          </wp:inline>
        </w:drawing>
      </w:r>
      <w:r w:rsidRPr="00482B73">
        <w:t xml:space="preserve"> A/S Maximum Capacity</w:t>
      </w:r>
      <w:r w:rsidRPr="00482B73">
        <w:rPr>
          <w:vertAlign w:val="subscript"/>
        </w:rPr>
        <w:t>k</w:t>
      </w:r>
      <w:r w:rsidRPr="00482B73">
        <w:rPr>
          <w:sz w:val="16"/>
          <w:szCs w:val="16"/>
        </w:rPr>
        <w:t xml:space="preserve"> * </w:t>
      </w:r>
      <w:r w:rsidRPr="00482B73">
        <w:t>n)</w:t>
      </w:r>
    </w:p>
    <w:p w14:paraId="474FCA3C" w14:textId="77777777" w:rsidR="00327DD1" w:rsidRPr="00482B73" w:rsidRDefault="00327DD1" w:rsidP="00327DD1">
      <w:pPr>
        <w:pStyle w:val="Heading2Text"/>
        <w:ind w:left="3240"/>
      </w:pPr>
      <w:r w:rsidRPr="00482B73">
        <w:t>where:</w:t>
      </w:r>
    </w:p>
    <w:p w14:paraId="5B0E3B22" w14:textId="6354CB41" w:rsidR="00327DD1" w:rsidRPr="00E335BC" w:rsidRDefault="00327DD1" w:rsidP="00327DD1">
      <w:pPr>
        <w:pStyle w:val="Heading2Text"/>
        <w:ind w:left="3600"/>
        <w:rPr>
          <w:u w:val="single"/>
        </w:rPr>
      </w:pPr>
      <w:r w:rsidRPr="00482B73">
        <w:t xml:space="preserve">The applicable A/S Maximum Capacity is set forth in </w:t>
      </w:r>
      <w:r w:rsidRPr="00482B73">
        <w:rPr>
          <w:u w:val="single"/>
        </w:rPr>
        <w:t xml:space="preserve">Exhibit </w:t>
      </w:r>
      <w:r w:rsidR="00CF10CD">
        <w:rPr>
          <w:u w:val="single"/>
        </w:rPr>
        <w:t>D</w:t>
      </w:r>
    </w:p>
    <w:p w14:paraId="4BFF714D" w14:textId="4BCF177F" w:rsidR="00327DD1" w:rsidRPr="00E335BC" w:rsidRDefault="00327DD1" w:rsidP="00327DD1">
      <w:pPr>
        <w:pStyle w:val="Heading2Text"/>
        <w:ind w:left="3600"/>
      </w:pPr>
      <w:r w:rsidRPr="00E335BC">
        <w:rPr>
          <w:i/>
        </w:rPr>
        <w:t>m</w:t>
      </w:r>
      <w:r w:rsidRPr="00E335BC">
        <w:t xml:space="preserve"> = the relevant month within the Put Period being calculated</w:t>
      </w:r>
    </w:p>
    <w:p w14:paraId="21AA6AAB" w14:textId="77777777" w:rsidR="00327DD1" w:rsidRPr="00E335BC" w:rsidRDefault="00327DD1" w:rsidP="00327DD1">
      <w:pPr>
        <w:pStyle w:val="Heading2Text"/>
        <w:ind w:left="3600"/>
      </w:pPr>
      <w:r w:rsidRPr="00E335BC">
        <w:rPr>
          <w:i/>
        </w:rPr>
        <w:t>n</w:t>
      </w:r>
      <w:r w:rsidRPr="00E335BC">
        <w:t xml:space="preserve"> = the number of Settlement Intervals in month “</w:t>
      </w:r>
      <w:r w:rsidRPr="00E335BC">
        <w:rPr>
          <w:i/>
        </w:rPr>
        <w:t>m</w:t>
      </w:r>
      <w:r w:rsidRPr="00E335BC">
        <w:t>”</w:t>
      </w:r>
    </w:p>
    <w:p w14:paraId="21CAF7D7" w14:textId="77777777" w:rsidR="00327DD1" w:rsidRPr="00E335BC" w:rsidRDefault="00327DD1" w:rsidP="00327DD1">
      <w:pPr>
        <w:pStyle w:val="Heading2Text"/>
        <w:ind w:left="3600"/>
      </w:pPr>
      <w:r w:rsidRPr="00E335BC">
        <w:rPr>
          <w:i/>
        </w:rPr>
        <w:t>k</w:t>
      </w:r>
      <w:r w:rsidRPr="00E335BC">
        <w:t xml:space="preserve"> = the applicable Ancillary Service</w:t>
      </w:r>
    </w:p>
    <w:p w14:paraId="0292C528" w14:textId="41E9A9B4" w:rsidR="00327DD1" w:rsidRPr="00E335BC" w:rsidRDefault="0093313C" w:rsidP="00327DD1">
      <w:pPr>
        <w:pStyle w:val="Heading4"/>
      </w:pPr>
      <w:r>
        <w:t>T</w:t>
      </w:r>
      <w:r w:rsidR="00327DD1" w:rsidRPr="00E335BC">
        <w:t>he “</w:t>
      </w:r>
      <w:r w:rsidR="00327DD1" w:rsidRPr="00E335BC">
        <w:rPr>
          <w:u w:val="single"/>
        </w:rPr>
        <w:t>A/S Capacity Payment Reduction</w:t>
      </w:r>
      <w:r w:rsidR="00327DD1" w:rsidRPr="00E335BC">
        <w:t>” for month “</w:t>
      </w:r>
      <w:r w:rsidR="00327DD1" w:rsidRPr="00E335BC">
        <w:rPr>
          <w:i/>
        </w:rPr>
        <w:t>m</w:t>
      </w:r>
      <w:r w:rsidR="00327DD1" w:rsidRPr="00E335BC">
        <w:t>” is calculated as follows:</w:t>
      </w:r>
    </w:p>
    <w:p w14:paraId="53A23F09" w14:textId="77777777" w:rsidR="00327DD1" w:rsidRPr="00E335BC" w:rsidRDefault="00327DD1" w:rsidP="00327DD1">
      <w:pPr>
        <w:pStyle w:val="Heading2Text"/>
        <w:tabs>
          <w:tab w:val="left" w:pos="2880"/>
        </w:tabs>
        <w:ind w:left="2880"/>
      </w:pPr>
      <w:r w:rsidRPr="00E335BC">
        <w:t>A/S Capacity Payment Reduction</w:t>
      </w:r>
      <w:r w:rsidRPr="00E335BC">
        <w:rPr>
          <w:vertAlign w:val="subscript"/>
        </w:rPr>
        <w:t>m</w:t>
      </w:r>
      <w:r w:rsidRPr="00E335BC">
        <w:t xml:space="preserve"> =  0.50 * Monthly Energy Capacity Payment * (1 – A/S Price Adjustment Factor)</w:t>
      </w:r>
    </w:p>
    <w:p w14:paraId="12591C42" w14:textId="47066FA1" w:rsidR="00327DD1" w:rsidRPr="0027789B" w:rsidRDefault="00327DD1" w:rsidP="00327DD1">
      <w:pPr>
        <w:pStyle w:val="Heading2Text"/>
        <w:tabs>
          <w:tab w:val="left" w:pos="2880"/>
        </w:tabs>
        <w:ind w:left="2880"/>
      </w:pPr>
      <w:r w:rsidRPr="00E335BC">
        <w:t xml:space="preserve">For purposes of calculating the A/S Capacity Payment Reduction in this subsection (iii), the Monthly Energy Capacity Payment is the Monthly Energy Capacity Payment applicable to the Storage Unit as set </w:t>
      </w:r>
      <w:r w:rsidRPr="00D01883">
        <w:t xml:space="preserve">forth in </w:t>
      </w:r>
      <w:r w:rsidRPr="00D01883">
        <w:rPr>
          <w:u w:val="single"/>
        </w:rPr>
        <w:t xml:space="preserve">Exhibit </w:t>
      </w:r>
      <w:r w:rsidR="00CF10CD">
        <w:rPr>
          <w:u w:val="single"/>
        </w:rPr>
        <w:t>E</w:t>
      </w:r>
      <w:r w:rsidRPr="00D01883">
        <w:t>.</w:t>
      </w:r>
    </w:p>
    <w:p w14:paraId="7F9DCE3D" w14:textId="3C202918" w:rsidR="00327DD1" w:rsidRPr="0027789B" w:rsidRDefault="00327DD1" w:rsidP="00327DD1">
      <w:pPr>
        <w:pStyle w:val="Heading2"/>
        <w:keepNext w:val="0"/>
        <w:keepLines w:val="0"/>
      </w:pPr>
      <w:bookmarkStart w:id="108" w:name="_Toc510788241"/>
      <w:r w:rsidRPr="0027789B">
        <w:lastRenderedPageBreak/>
        <w:t>Energy Efficiency Capacity Payment Reduction</w:t>
      </w:r>
      <w:r w:rsidR="00550F51">
        <w:t xml:space="preserve"> (Put Periods)</w:t>
      </w:r>
      <w:r w:rsidRPr="00FF157D">
        <w:rPr>
          <w:u w:val="none"/>
        </w:rPr>
        <w:t>.</w:t>
      </w:r>
      <w:bookmarkEnd w:id="108"/>
    </w:p>
    <w:p w14:paraId="63FDF830" w14:textId="38D55B3B" w:rsidR="00327DD1" w:rsidRPr="0027789B" w:rsidRDefault="00327DD1" w:rsidP="00327DD1">
      <w:pPr>
        <w:pStyle w:val="Heading2Text"/>
        <w:rPr>
          <w:iCs/>
          <w:kern w:val="32"/>
          <w:szCs w:val="24"/>
        </w:rPr>
      </w:pPr>
      <w:r w:rsidRPr="0027789B">
        <w:t xml:space="preserve">If, in a month during a Put Period, a Storage Unit’s Actual Efficiency Factor is less than the Guaranteed Efficiency Factor Min, then the Energy Efficiency Capacity Payment Reduction for the Storage Unit for that month will be calculated as follows: </w:t>
      </w:r>
    </w:p>
    <w:p w14:paraId="2127375C" w14:textId="30B888C7" w:rsidR="00327DD1" w:rsidRPr="00B022A3" w:rsidRDefault="00327DD1" w:rsidP="00327DD1">
      <w:pPr>
        <w:pStyle w:val="Heading2Text"/>
        <w:ind w:left="2160"/>
        <w:rPr>
          <w:szCs w:val="24"/>
        </w:rPr>
      </w:pPr>
      <w:r w:rsidRPr="0027789B">
        <w:rPr>
          <w:i/>
          <w:szCs w:val="24"/>
        </w:rPr>
        <w:t>AEF</w:t>
      </w:r>
      <w:r w:rsidRPr="0027789B">
        <w:rPr>
          <w:i/>
          <w:szCs w:val="24"/>
          <w:vertAlign w:val="subscript"/>
        </w:rPr>
        <w:t>m</w:t>
      </w:r>
      <w:r w:rsidRPr="0027789B">
        <w:rPr>
          <w:szCs w:val="24"/>
          <w:vertAlign w:val="subscript"/>
        </w:rPr>
        <w:t xml:space="preserve"> </w:t>
      </w:r>
      <w:r w:rsidRPr="0027789B">
        <w:rPr>
          <w:szCs w:val="24"/>
        </w:rPr>
        <w:t>= Actual Efficiency Factor for month “</w:t>
      </w:r>
      <w:r w:rsidRPr="0027789B">
        <w:rPr>
          <w:i/>
          <w:szCs w:val="24"/>
        </w:rPr>
        <w:t xml:space="preserve">m” </w:t>
      </w:r>
      <w:r w:rsidRPr="0027789B">
        <w:rPr>
          <w:szCs w:val="24"/>
        </w:rPr>
        <w:t xml:space="preserve">calculated pursuant </w:t>
      </w:r>
      <w:r w:rsidRPr="00B022A3">
        <w:rPr>
          <w:szCs w:val="24"/>
        </w:rPr>
        <w:t xml:space="preserve">Section </w:t>
      </w:r>
      <w:r w:rsidR="00B022A3" w:rsidRPr="00B022A3">
        <w:rPr>
          <w:szCs w:val="24"/>
        </w:rPr>
        <w:t>3</w:t>
      </w:r>
      <w:r w:rsidRPr="00B022A3">
        <w:rPr>
          <w:szCs w:val="24"/>
        </w:rPr>
        <w:t>.</w:t>
      </w:r>
      <w:r w:rsidR="00B022A3" w:rsidRPr="00B022A3">
        <w:rPr>
          <w:szCs w:val="24"/>
        </w:rPr>
        <w:t>10</w:t>
      </w:r>
      <w:r w:rsidRPr="00B022A3">
        <w:rPr>
          <w:szCs w:val="24"/>
        </w:rPr>
        <w:t>(a)</w:t>
      </w:r>
    </w:p>
    <w:p w14:paraId="788389CD" w14:textId="5CF5465C" w:rsidR="00327DD1" w:rsidRPr="00B022A3" w:rsidRDefault="00327DD1" w:rsidP="00327DD1">
      <w:pPr>
        <w:pStyle w:val="Heading2Text"/>
        <w:ind w:left="2160"/>
        <w:rPr>
          <w:szCs w:val="24"/>
        </w:rPr>
      </w:pPr>
      <m:oMath>
        <m:r>
          <w:rPr>
            <w:rFonts w:ascii="Cambria Math" w:hAnsi="Cambria Math"/>
            <w:szCs w:val="24"/>
          </w:rPr>
          <m:t>GE</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 xml:space="preserve">Min </m:t>
            </m:r>
          </m:sup>
        </m:sSup>
      </m:oMath>
      <w:r w:rsidRPr="00B022A3">
        <w:rPr>
          <w:szCs w:val="24"/>
        </w:rPr>
        <w:t xml:space="preserve"> = the applicable Guaranteed Efficiency Factor Min for the Storage Unit as set forth in </w:t>
      </w:r>
      <w:r w:rsidRPr="00B022A3">
        <w:rPr>
          <w:u w:val="single"/>
        </w:rPr>
        <w:t xml:space="preserve">Exhibit </w:t>
      </w:r>
      <w:r w:rsidR="00CF10CD">
        <w:rPr>
          <w:u w:val="single"/>
        </w:rPr>
        <w:t>D</w:t>
      </w:r>
    </w:p>
    <w:p w14:paraId="694A8551" w14:textId="77777777" w:rsidR="00327DD1" w:rsidRPr="00B022A3" w:rsidRDefault="00327DD1" w:rsidP="00327DD1">
      <w:pPr>
        <w:pStyle w:val="Heading2Text"/>
      </w:pPr>
      <w:r w:rsidRPr="00B022A3">
        <w:t xml:space="preserve">If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 xml:space="preserve">Min </m:t>
            </m:r>
          </m:sup>
        </m:sSup>
        <m:r>
          <w:rPr>
            <w:rFonts w:ascii="Cambria Math" w:hAnsi="Cambria Math"/>
          </w:rPr>
          <m:t>≤ AE</m:t>
        </m:r>
        <m:sSub>
          <m:sSubPr>
            <m:ctrlPr>
              <w:rPr>
                <w:rFonts w:ascii="Cambria Math" w:hAnsi="Cambria Math"/>
                <w:i/>
              </w:rPr>
            </m:ctrlPr>
          </m:sSubPr>
          <m:e>
            <m:r>
              <w:rPr>
                <w:rFonts w:ascii="Cambria Math" w:hAnsi="Cambria Math"/>
              </w:rPr>
              <m:t>F</m:t>
            </m:r>
          </m:e>
          <m:sub>
            <m:r>
              <w:rPr>
                <w:rFonts w:ascii="Cambria Math" w:hAnsi="Cambria Math"/>
              </w:rPr>
              <m:t>m</m:t>
            </m:r>
          </m:sub>
        </m:sSub>
      </m:oMath>
      <w:r w:rsidRPr="00B022A3">
        <w:t>, then no adjustment is made.</w:t>
      </w:r>
    </w:p>
    <w:p w14:paraId="6AE95A67" w14:textId="47D828BC" w:rsidR="00327DD1" w:rsidRPr="00BA3A0C" w:rsidRDefault="00327DD1" w:rsidP="00327DD1">
      <w:pPr>
        <w:pStyle w:val="Heading2Text"/>
      </w:pPr>
      <w:r w:rsidRPr="00B022A3">
        <w:t xml:space="preserve">If </w:t>
      </w:r>
      <m:oMath>
        <m:r>
          <w:rPr>
            <w:rFonts w:ascii="Cambria Math" w:hAnsi="Cambria Math"/>
          </w:rPr>
          <m:t xml:space="preserve"> AE</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&lt;GE</m:t>
        </m:r>
        <m:sSup>
          <m:sSupPr>
            <m:ctrlPr>
              <w:rPr>
                <w:rFonts w:ascii="Cambria Math" w:hAnsi="Cambria Math"/>
                <w:i/>
              </w:rPr>
            </m:ctrlPr>
          </m:sSupPr>
          <m:e>
            <m:r>
              <w:rPr>
                <w:rFonts w:ascii="Cambria Math" w:hAnsi="Cambria Math"/>
              </w:rPr>
              <m:t>F</m:t>
            </m:r>
          </m:e>
          <m:sup>
            <m:r>
              <w:rPr>
                <w:rFonts w:ascii="Cambria Math" w:hAnsi="Cambria Math"/>
              </w:rPr>
              <m:t xml:space="preserve">Min </m:t>
            </m:r>
          </m:sup>
        </m:sSup>
      </m:oMath>
      <w:r w:rsidRPr="00B022A3">
        <w:t>, then the “Energy Efficiency Capacity Payment Reduction”, using the deviation from the Guaranteed Efficiency Factor Min (</w:t>
      </w: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Min</m:t>
            </m:r>
          </m:sub>
        </m:sSub>
      </m:oMath>
      <w:r w:rsidRPr="00B022A3">
        <w:t xml:space="preserve">) for month m calculated pursuant to Section </w:t>
      </w:r>
      <w:r w:rsidR="00B022A3" w:rsidRPr="00B022A3">
        <w:t>3</w:t>
      </w:r>
      <w:r w:rsidRPr="00B022A3">
        <w:t>.</w:t>
      </w:r>
      <w:r w:rsidR="00B022A3" w:rsidRPr="00B022A3">
        <w:t>10</w:t>
      </w:r>
      <w:r w:rsidRPr="00B022A3">
        <w:t>(b), is calculated</w:t>
      </w:r>
      <w:r w:rsidRPr="00BA3A0C">
        <w:t xml:space="preserve"> as follows: </w:t>
      </w:r>
    </w:p>
    <w:p w14:paraId="153E036D" w14:textId="77777777" w:rsidR="00327DD1" w:rsidRPr="00E335BC" w:rsidRDefault="00327DD1" w:rsidP="00327DD1">
      <w:pPr>
        <w:pStyle w:val="Heading2Text"/>
        <w:ind w:left="2160"/>
        <w:rPr>
          <w:szCs w:val="24"/>
        </w:rPr>
      </w:pPr>
      <w:r w:rsidRPr="0027789B">
        <w:rPr>
          <w:szCs w:val="24"/>
        </w:rPr>
        <w:t>Energy Efficiency Capacity Payment</w:t>
      </w:r>
      <w:r w:rsidRPr="0027789B">
        <w:rPr>
          <w:color w:val="FF0000"/>
          <w:szCs w:val="24"/>
        </w:rPr>
        <w:t xml:space="preserve"> </w:t>
      </w:r>
      <w:r w:rsidRPr="0027789B">
        <w:rPr>
          <w:szCs w:val="24"/>
        </w:rPr>
        <w:t>Reduction</w:t>
      </w:r>
      <w:r w:rsidRPr="0027789B">
        <w:rPr>
          <w:szCs w:val="24"/>
          <w:vertAlign w:val="subscript"/>
        </w:rPr>
        <w:t xml:space="preserve"> m</w:t>
      </w:r>
      <w:r w:rsidRPr="0027789B">
        <w:rPr>
          <w:szCs w:val="24"/>
        </w:rPr>
        <w:t xml:space="preserve"> = (Monthly Energy Capacity Payment – (Rated Power Capacity Payment Reduction + A/S </w:t>
      </w:r>
      <w:r w:rsidRPr="00E335BC">
        <w:rPr>
          <w:szCs w:val="24"/>
        </w:rPr>
        <w:t xml:space="preserve">Capacity Payment Reduction)) * </w:t>
      </w: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Min</m:t>
            </m:r>
          </m:sub>
        </m:sSub>
      </m:oMath>
      <w:r w:rsidRPr="00E335BC">
        <w:rPr>
          <w:szCs w:val="24"/>
        </w:rPr>
        <w:t xml:space="preserve"> *-1. </w:t>
      </w:r>
    </w:p>
    <w:p w14:paraId="0716368E" w14:textId="329CCFFF" w:rsidR="00327DD1" w:rsidRPr="00BA3A0C" w:rsidRDefault="00327DD1" w:rsidP="00327DD1">
      <w:pPr>
        <w:pStyle w:val="Heading2Text"/>
      </w:pPr>
      <w:r w:rsidRPr="00E335BC">
        <w:t>For purposes of calculating the Energy Efficiency Capacity Paym</w:t>
      </w:r>
      <w:r w:rsidRPr="004726AE">
        <w:t xml:space="preserve">ent Reduction in this Section </w:t>
      </w:r>
      <w:r w:rsidR="004726AE" w:rsidRPr="004726AE">
        <w:t>3</w:t>
      </w:r>
      <w:r w:rsidRPr="004726AE">
        <w:t>.</w:t>
      </w:r>
      <w:r w:rsidR="004726AE" w:rsidRPr="004726AE">
        <w:t>1</w:t>
      </w:r>
      <w:r w:rsidRPr="004726AE">
        <w:t>2</w:t>
      </w:r>
      <w:r w:rsidRPr="00E335BC">
        <w:t xml:space="preserve">, the Monthly Energy Capacity Payment is the Monthly Energy Capacity Payment applicable to the Storage Unit as set forth in </w:t>
      </w:r>
      <w:r w:rsidR="00CF10CD">
        <w:rPr>
          <w:u w:val="single"/>
        </w:rPr>
        <w:t>Exhibit E</w:t>
      </w:r>
      <w:r w:rsidRPr="00D01883">
        <w:t>.</w:t>
      </w:r>
    </w:p>
    <w:p w14:paraId="68AB65C7" w14:textId="6C19B448" w:rsidR="00327DD1" w:rsidRPr="0027789B" w:rsidRDefault="00327DD1" w:rsidP="00327DD1">
      <w:pPr>
        <w:pStyle w:val="Heading2"/>
        <w:keepNext w:val="0"/>
        <w:keepLines w:val="0"/>
      </w:pPr>
      <w:bookmarkStart w:id="109" w:name="_Toc510788242"/>
      <w:r w:rsidRPr="0027789B">
        <w:t>Ancillary Services No-Pay Charges</w:t>
      </w:r>
      <w:r w:rsidR="00EF64EB">
        <w:t xml:space="preserve"> (Put Periods)</w:t>
      </w:r>
      <w:r w:rsidRPr="00FF157D">
        <w:rPr>
          <w:u w:val="none"/>
        </w:rPr>
        <w:t>.</w:t>
      </w:r>
      <w:bookmarkEnd w:id="109"/>
    </w:p>
    <w:p w14:paraId="3872DFDC" w14:textId="1F38037B" w:rsidR="00327DD1" w:rsidRDefault="00327DD1" w:rsidP="00327DD1">
      <w:pPr>
        <w:pStyle w:val="Heading2Text"/>
      </w:pPr>
      <w:r w:rsidRPr="0027789B">
        <w:t>For any Put Period, Seller shall be responsible for paying to SCE all CAISO-calculated  charges that are determined by SCE in good faith to be caused by Seller</w:t>
      </w:r>
      <w:r w:rsidR="00291C66" w:rsidRPr="0027789B">
        <w:t>’s inability to meet the requirements set forth by the CAISO related to the performance obligation of ancillary services</w:t>
      </w:r>
      <w:r>
        <w:t xml:space="preserve">. </w:t>
      </w:r>
    </w:p>
    <w:p w14:paraId="52F5549F" w14:textId="42EA4C44" w:rsidR="00461C7B" w:rsidRPr="0027789B" w:rsidRDefault="00461C7B" w:rsidP="00461C7B">
      <w:pPr>
        <w:pStyle w:val="Heading2"/>
        <w:keepNext w:val="0"/>
        <w:keepLines w:val="0"/>
      </w:pPr>
      <w:bookmarkStart w:id="110" w:name="_Toc510788243"/>
      <w:r w:rsidRPr="0027789B">
        <w:t xml:space="preserve">Variable Asset Replacement Payment </w:t>
      </w:r>
      <w:r w:rsidR="00327DD1">
        <w:t>(</w:t>
      </w:r>
      <w:r w:rsidRPr="0027789B">
        <w:t>Put Periods</w:t>
      </w:r>
      <w:r w:rsidR="00327DD1">
        <w:t>)</w:t>
      </w:r>
      <w:r w:rsidRPr="00FF157D">
        <w:rPr>
          <w:u w:val="none"/>
        </w:rPr>
        <w:t>.</w:t>
      </w:r>
      <w:bookmarkEnd w:id="110"/>
    </w:p>
    <w:p w14:paraId="28BC4C94" w14:textId="32E7A141" w:rsidR="00461C7B" w:rsidRPr="0027789B" w:rsidRDefault="00461C7B" w:rsidP="00461C7B">
      <w:pPr>
        <w:pStyle w:val="Heading2Text"/>
        <w:rPr>
          <w:iCs/>
          <w:kern w:val="32"/>
          <w:szCs w:val="24"/>
        </w:rPr>
      </w:pPr>
      <w:r w:rsidRPr="0027789B">
        <w:t>For any Put Period, SCE shall pay Seller a “</w:t>
      </w:r>
      <w:r w:rsidRPr="00673CD7">
        <w:rPr>
          <w:u w:val="single"/>
        </w:rPr>
        <w:t>Variable Asset Replacement Payment</w:t>
      </w:r>
      <w:r w:rsidRPr="0027789B">
        <w:t xml:space="preserve">” for each Storage Unit once per year in arrears following the end of each Contract Year, based on a </w:t>
      </w:r>
      <w:r w:rsidRPr="00FF157D">
        <w:t>Variable Asset Replacement Charge</w:t>
      </w:r>
      <w:r w:rsidRPr="0027789B">
        <w:t xml:space="preserve"> (or, </w:t>
      </w:r>
      <w:r w:rsidRPr="00DB7FE0">
        <w:t>VARC</w:t>
      </w:r>
      <w:r w:rsidRPr="0027789B">
        <w:t xml:space="preserve">) applicable to each </w:t>
      </w:r>
      <w:r w:rsidRPr="00FF157D">
        <w:t>Qualifying Delivered Energy Tier Level</w:t>
      </w:r>
      <w:r w:rsidRPr="0027789B">
        <w:t>, calculated as follows:</w:t>
      </w:r>
    </w:p>
    <w:p w14:paraId="5AD2840F" w14:textId="77777777" w:rsidR="00461C7B" w:rsidRPr="0027789B" w:rsidRDefault="00461C7B" w:rsidP="00461C7B">
      <w:pPr>
        <w:pStyle w:val="Heading2Text"/>
        <w:spacing w:after="0"/>
        <w:ind w:left="1440"/>
      </w:pPr>
      <w:r w:rsidRPr="0027789B">
        <w:t>VARP</w:t>
      </w:r>
      <w:r w:rsidRPr="0027789B">
        <w:rPr>
          <w:sz w:val="28"/>
          <w:szCs w:val="28"/>
          <w:vertAlign w:val="subscript"/>
        </w:rPr>
        <w:t>y</w:t>
      </w:r>
      <w:r w:rsidRPr="0027789B">
        <w:t xml:space="preserve"> = </w:t>
      </w:r>
    </w:p>
    <w:p w14:paraId="5921196D" w14:textId="77777777" w:rsidR="00461C7B" w:rsidRPr="0027789B" w:rsidRDefault="00461C7B" w:rsidP="00461C7B">
      <w:pPr>
        <w:pStyle w:val="Heading2Text"/>
        <w:spacing w:beforeLines="200" w:before="480" w:afterLines="20" w:after="48"/>
        <w:ind w:left="1440"/>
        <w:rPr>
          <w:vertAlign w:val="subscript"/>
        </w:rPr>
      </w:pPr>
      <w:r w:rsidRPr="0027789B">
        <w:rPr>
          <w:noProof/>
        </w:rPr>
        <w:drawing>
          <wp:anchor distT="0" distB="0" distL="114300" distR="114300" simplePos="0" relativeHeight="251657216" behindDoc="1" locked="0" layoutInCell="1" allowOverlap="1" wp14:anchorId="2282A4AE" wp14:editId="08F46AA6">
            <wp:simplePos x="0" y="0"/>
            <wp:positionH relativeFrom="column">
              <wp:posOffset>1763223</wp:posOffset>
            </wp:positionH>
            <wp:positionV relativeFrom="paragraph">
              <wp:posOffset>6985</wp:posOffset>
            </wp:positionV>
            <wp:extent cx="282575" cy="487680"/>
            <wp:effectExtent l="0" t="0" r="3175" b="7620"/>
            <wp:wrapThrough wrapText="bothSides">
              <wp:wrapPolygon edited="0">
                <wp:start x="0" y="0"/>
                <wp:lineTo x="0" y="21094"/>
                <wp:lineTo x="20387" y="21094"/>
                <wp:lineTo x="2038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57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9B">
        <w:t>VARC</w:t>
      </w:r>
      <w:r w:rsidRPr="0027789B">
        <w:rPr>
          <w:sz w:val="28"/>
          <w:szCs w:val="28"/>
          <w:vertAlign w:val="subscript"/>
        </w:rPr>
        <w:t>y,t1</w:t>
      </w:r>
      <w:r w:rsidRPr="0027789B">
        <w:t xml:space="preserve">  * Qualifying Delivered Energy</w:t>
      </w:r>
      <w:r w:rsidRPr="0027789B">
        <w:rPr>
          <w:sz w:val="28"/>
          <w:szCs w:val="28"/>
          <w:vertAlign w:val="subscript"/>
        </w:rPr>
        <w:t>i1</w:t>
      </w:r>
      <w:r w:rsidRPr="0027789B">
        <w:rPr>
          <w:vertAlign w:val="subscript"/>
        </w:rPr>
        <w:t xml:space="preserve">   </w:t>
      </w:r>
      <w:r w:rsidRPr="0027789B">
        <w:t>+</w:t>
      </w:r>
    </w:p>
    <w:p w14:paraId="65D94C9A" w14:textId="77777777" w:rsidR="00461C7B" w:rsidRPr="0027789B" w:rsidRDefault="00461C7B" w:rsidP="00461C7B">
      <w:pPr>
        <w:pStyle w:val="Heading2Text"/>
        <w:spacing w:beforeLines="200" w:before="480" w:afterLines="20" w:after="48"/>
        <w:ind w:left="1440"/>
        <w:rPr>
          <w:vertAlign w:val="subscript"/>
        </w:rPr>
      </w:pPr>
      <w:r w:rsidRPr="0027789B">
        <w:rPr>
          <w:noProof/>
        </w:rPr>
        <w:lastRenderedPageBreak/>
        <w:drawing>
          <wp:anchor distT="0" distB="0" distL="114300" distR="114300" simplePos="0" relativeHeight="251660288" behindDoc="0" locked="0" layoutInCell="1" allowOverlap="1" wp14:anchorId="23AC2811" wp14:editId="1E89CBC6">
            <wp:simplePos x="0" y="0"/>
            <wp:positionH relativeFrom="column">
              <wp:posOffset>1767840</wp:posOffset>
            </wp:positionH>
            <wp:positionV relativeFrom="paragraph">
              <wp:posOffset>112395</wp:posOffset>
            </wp:positionV>
            <wp:extent cx="226060" cy="596265"/>
            <wp:effectExtent l="0" t="0" r="2540" b="0"/>
            <wp:wrapThrough wrapText="bothSides">
              <wp:wrapPolygon edited="0">
                <wp:start x="0" y="0"/>
                <wp:lineTo x="0" y="20703"/>
                <wp:lineTo x="20022" y="20703"/>
                <wp:lineTo x="2002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606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9B">
        <w:t>VARC</w:t>
      </w:r>
      <w:r w:rsidRPr="0027789B">
        <w:rPr>
          <w:sz w:val="28"/>
          <w:szCs w:val="28"/>
          <w:vertAlign w:val="subscript"/>
        </w:rPr>
        <w:t>y,t2</w:t>
      </w:r>
      <w:r w:rsidRPr="0027789B">
        <w:t xml:space="preserve">  *    Qualifying Delivered Energy</w:t>
      </w:r>
      <w:r w:rsidRPr="0027789B">
        <w:rPr>
          <w:sz w:val="28"/>
          <w:szCs w:val="28"/>
          <w:vertAlign w:val="subscript"/>
        </w:rPr>
        <w:t>i2</w:t>
      </w:r>
    </w:p>
    <w:p w14:paraId="5C5CA043" w14:textId="77777777" w:rsidR="00461C7B" w:rsidRPr="0027789B" w:rsidRDefault="00461C7B" w:rsidP="00461C7B">
      <w:pPr>
        <w:pStyle w:val="Heading2Text"/>
        <w:tabs>
          <w:tab w:val="left" w:pos="1440"/>
        </w:tabs>
        <w:ind w:left="1440"/>
        <w:rPr>
          <w:iCs/>
          <w:kern w:val="32"/>
          <w:szCs w:val="24"/>
        </w:rPr>
      </w:pPr>
    </w:p>
    <w:p w14:paraId="687D0EE4" w14:textId="77777777" w:rsidR="00461C7B" w:rsidRPr="0027789B" w:rsidRDefault="00461C7B" w:rsidP="00461C7B">
      <w:pPr>
        <w:pStyle w:val="Heading2Text"/>
        <w:tabs>
          <w:tab w:val="left" w:pos="1440"/>
        </w:tabs>
        <w:ind w:left="1440"/>
        <w:rPr>
          <w:iCs/>
          <w:kern w:val="32"/>
          <w:szCs w:val="24"/>
        </w:rPr>
      </w:pPr>
      <w:r w:rsidRPr="0027789B">
        <w:rPr>
          <w:iCs/>
          <w:kern w:val="32"/>
          <w:szCs w:val="24"/>
        </w:rPr>
        <w:t>where:</w:t>
      </w:r>
    </w:p>
    <w:p w14:paraId="20B137E4" w14:textId="7B221460" w:rsidR="00461C7B" w:rsidRPr="0027789B" w:rsidRDefault="00461C7B" w:rsidP="00461C7B">
      <w:pPr>
        <w:pStyle w:val="Heading2Text"/>
        <w:tabs>
          <w:tab w:val="left" w:pos="1800"/>
        </w:tabs>
        <w:ind w:left="1800"/>
      </w:pPr>
      <w:r w:rsidRPr="0027789B">
        <w:t>y = the relevant Contract Year within the Put Period being calculated</w:t>
      </w:r>
    </w:p>
    <w:p w14:paraId="49B9F15B" w14:textId="77777777" w:rsidR="00461C7B" w:rsidRPr="0027789B" w:rsidRDefault="00461C7B" w:rsidP="00461C7B">
      <w:pPr>
        <w:pStyle w:val="Heading2Text"/>
        <w:tabs>
          <w:tab w:val="left" w:pos="1800"/>
        </w:tabs>
        <w:ind w:left="1800"/>
        <w:rPr>
          <w:lang w:val="fr-FR"/>
        </w:rPr>
      </w:pPr>
      <w:r w:rsidRPr="0027789B">
        <w:rPr>
          <w:lang w:val="fr-FR"/>
        </w:rPr>
        <w:t>t1 = VARC Tier Level 1</w:t>
      </w:r>
      <w:r>
        <w:rPr>
          <w:lang w:val="fr-FR"/>
        </w:rPr>
        <w:t xml:space="preserve"> (in MWh)</w:t>
      </w:r>
    </w:p>
    <w:p w14:paraId="7D6D0D7E" w14:textId="77777777" w:rsidR="00461C7B" w:rsidRPr="0027789B" w:rsidRDefault="00461C7B" w:rsidP="00461C7B">
      <w:pPr>
        <w:pStyle w:val="Heading2Text"/>
        <w:tabs>
          <w:tab w:val="left" w:pos="1800"/>
        </w:tabs>
        <w:ind w:left="1800"/>
        <w:rPr>
          <w:lang w:val="fr-FR"/>
        </w:rPr>
      </w:pPr>
      <w:r w:rsidRPr="0027789B">
        <w:rPr>
          <w:lang w:val="fr-FR"/>
        </w:rPr>
        <w:t>t2 = VARC Tier Level 2</w:t>
      </w:r>
      <w:r>
        <w:rPr>
          <w:lang w:val="fr-FR"/>
        </w:rPr>
        <w:t xml:space="preserve"> (in MWh)</w:t>
      </w:r>
    </w:p>
    <w:p w14:paraId="5BAB8804" w14:textId="77777777" w:rsidR="00461C7B" w:rsidRPr="0027789B" w:rsidRDefault="00461C7B" w:rsidP="00461C7B">
      <w:pPr>
        <w:pStyle w:val="Heading2Text"/>
        <w:tabs>
          <w:tab w:val="left" w:pos="1800"/>
        </w:tabs>
        <w:ind w:left="1800"/>
      </w:pPr>
      <w:r w:rsidRPr="0027789B">
        <w:t xml:space="preserve">n1 = the number of Tier 1 Settlement Intervals in year “y” </w:t>
      </w:r>
    </w:p>
    <w:p w14:paraId="5E8DFB5C" w14:textId="77777777" w:rsidR="00461C7B" w:rsidRPr="0027789B" w:rsidRDefault="00461C7B" w:rsidP="00461C7B">
      <w:pPr>
        <w:pStyle w:val="Heading2Text"/>
        <w:tabs>
          <w:tab w:val="left" w:pos="1800"/>
        </w:tabs>
        <w:ind w:left="1800"/>
      </w:pPr>
      <w:r w:rsidRPr="0027789B">
        <w:t>n2 = the number of Tier 2 Settlement Intervals in  year “y”</w:t>
      </w:r>
    </w:p>
    <w:p w14:paraId="07F0E692" w14:textId="77777777" w:rsidR="00461C7B" w:rsidRPr="0027789B" w:rsidRDefault="00461C7B" w:rsidP="00461C7B">
      <w:pPr>
        <w:pStyle w:val="Heading2Text"/>
        <w:tabs>
          <w:tab w:val="left" w:pos="1800"/>
        </w:tabs>
        <w:ind w:left="1800"/>
      </w:pPr>
      <w:r w:rsidRPr="0027789B">
        <w:t>i1 = the Tier 1 Settlement Interval in  year “y”</w:t>
      </w:r>
    </w:p>
    <w:p w14:paraId="3FCA22F7" w14:textId="77777777" w:rsidR="00461C7B" w:rsidRPr="0027789B" w:rsidRDefault="00461C7B" w:rsidP="00461C7B">
      <w:pPr>
        <w:pStyle w:val="Heading2Text"/>
        <w:tabs>
          <w:tab w:val="left" w:pos="1800"/>
        </w:tabs>
        <w:ind w:left="1800"/>
      </w:pPr>
      <w:r w:rsidRPr="0027789B">
        <w:t>i2 = the Tier 2 Settlement Interval in year “y”</w:t>
      </w:r>
    </w:p>
    <w:p w14:paraId="1CFCBFE4" w14:textId="1B4ADBE2" w:rsidR="00461C7B" w:rsidRDefault="00461C7B" w:rsidP="00461C7B">
      <w:pPr>
        <w:pStyle w:val="Heading2Text"/>
        <w:ind w:left="1440"/>
      </w:pPr>
      <w:r w:rsidRPr="0027789B">
        <w:t>For the avoidance of doubt, and with respect to the annual Variable Asset Replacement Payment calculation and payment, the cumulative Qualifying Delivered Energy shall reset to zero (0) at the beginning of each Contract Year.</w:t>
      </w:r>
      <w:bookmarkStart w:id="111" w:name="_Toc412940351"/>
      <w:bookmarkStart w:id="112" w:name="_Toc412966631"/>
      <w:bookmarkStart w:id="113" w:name="_Toc412940352"/>
      <w:bookmarkStart w:id="114" w:name="_Toc412966632"/>
      <w:bookmarkStart w:id="115" w:name="_Toc412940354"/>
      <w:bookmarkStart w:id="116" w:name="_Toc412940356"/>
      <w:bookmarkStart w:id="117" w:name="_Toc412940358"/>
      <w:bookmarkEnd w:id="111"/>
      <w:bookmarkEnd w:id="112"/>
      <w:bookmarkEnd w:id="113"/>
      <w:bookmarkEnd w:id="114"/>
      <w:bookmarkEnd w:id="115"/>
      <w:bookmarkEnd w:id="116"/>
      <w:bookmarkEnd w:id="117"/>
    </w:p>
    <w:p w14:paraId="19911655" w14:textId="657497F1" w:rsidR="00327DD1" w:rsidRPr="00FF157D" w:rsidRDefault="00327DD1" w:rsidP="00327DD1">
      <w:pPr>
        <w:pStyle w:val="Heading2"/>
        <w:keepNext w:val="0"/>
        <w:keepLines w:val="0"/>
        <w:rPr>
          <w:u w:val="none"/>
        </w:rPr>
      </w:pPr>
      <w:bookmarkStart w:id="118" w:name="_Toc510788244"/>
      <w:r w:rsidRPr="0027789B">
        <w:t>SDD Charge and SDD Administrative Charge</w:t>
      </w:r>
      <w:r>
        <w:t xml:space="preserve"> </w:t>
      </w:r>
      <w:r w:rsidRPr="00CC7744">
        <w:t>(</w:t>
      </w:r>
      <w:r>
        <w:t>Put Periods</w:t>
      </w:r>
      <w:r w:rsidRPr="00CC7744">
        <w:t>)</w:t>
      </w:r>
      <w:r w:rsidRPr="00FF157D">
        <w:rPr>
          <w:u w:val="none"/>
        </w:rPr>
        <w:t>.</w:t>
      </w:r>
      <w:bookmarkEnd w:id="118"/>
    </w:p>
    <w:p w14:paraId="6E127971" w14:textId="2624D189" w:rsidR="00327DD1" w:rsidRPr="0027789B" w:rsidRDefault="00327DD1" w:rsidP="00327DD1">
      <w:pPr>
        <w:pStyle w:val="Heading2Text"/>
      </w:pPr>
      <w:r w:rsidRPr="0027789B">
        <w:t>Prior to UDP Implementation, (i) if the Qualifying Delivered Energy is not equal to Scheduled Energy in any Settlement Interval during a Put Period, Seller may be subject to a Scheduling and Delivery Deviation Charge (“</w:t>
      </w:r>
      <w:r w:rsidRPr="00FF157D">
        <w:rPr>
          <w:u w:val="single"/>
        </w:rPr>
        <w:t>SDD Charge</w:t>
      </w:r>
      <w:r w:rsidRPr="0027789B">
        <w:t>”) or Scheduling and Delivery Deviation Administrative Charge (“</w:t>
      </w:r>
      <w:r w:rsidRPr="00FF157D">
        <w:rPr>
          <w:u w:val="single"/>
        </w:rPr>
        <w:t>SDD Administrative Charge</w:t>
      </w:r>
      <w:r w:rsidRPr="0027789B">
        <w:t xml:space="preserve">”) calculated as set </w:t>
      </w:r>
      <w:r w:rsidRPr="006179DF">
        <w:t xml:space="preserve">forth in Sections </w:t>
      </w:r>
      <w:r w:rsidR="006179DF" w:rsidRPr="006179DF">
        <w:t>3</w:t>
      </w:r>
      <w:r w:rsidRPr="006179DF">
        <w:t>.</w:t>
      </w:r>
      <w:r w:rsidR="006179DF" w:rsidRPr="006179DF">
        <w:t>15</w:t>
      </w:r>
      <w:r w:rsidRPr="006179DF">
        <w:t xml:space="preserve">(a) and </w:t>
      </w:r>
      <w:r w:rsidR="006179DF" w:rsidRPr="006179DF">
        <w:t>3</w:t>
      </w:r>
      <w:r w:rsidRPr="006179DF">
        <w:t>.</w:t>
      </w:r>
      <w:r w:rsidR="006179DF" w:rsidRPr="006179DF">
        <w:t>15</w:t>
      </w:r>
      <w:r w:rsidRPr="006179DF">
        <w:t>(b) below</w:t>
      </w:r>
      <w:r w:rsidRPr="0027789B">
        <w:t>, and (ii) all CAISO payments and credits resulting from Uninstructed Imbalance Energy during a Put Period shall be for SCE’s account.</w:t>
      </w:r>
    </w:p>
    <w:p w14:paraId="55C9D797" w14:textId="6D873FEC" w:rsidR="00327DD1" w:rsidRPr="0027789B" w:rsidRDefault="00327DD1" w:rsidP="00327DD1">
      <w:pPr>
        <w:pStyle w:val="Heading3"/>
      </w:pPr>
      <w:r w:rsidRPr="0027789B">
        <w:rPr>
          <w:u w:val="single"/>
        </w:rPr>
        <w:t>Calculation of SDD Charge</w:t>
      </w:r>
      <w:r>
        <w:t xml:space="preserve">. </w:t>
      </w:r>
      <w:r w:rsidRPr="0027789B">
        <w:t>Seller shall pay SCE an SDD Charge if during any Settlement Interval during a Put Period the Qualifying Delivered Energy is less than the Performance Tolerance Band Lower Limit for such Settlement Interval</w:t>
      </w:r>
      <w:r>
        <w:t xml:space="preserve">. </w:t>
      </w:r>
      <w:r w:rsidRPr="0027789B">
        <w:t>The SDD Charge is calculated as follows:</w:t>
      </w:r>
    </w:p>
    <w:p w14:paraId="3B60994B" w14:textId="77777777" w:rsidR="00327DD1" w:rsidRPr="0027789B" w:rsidRDefault="00327DD1" w:rsidP="00327DD1">
      <w:pPr>
        <w:pStyle w:val="Heading2Text"/>
        <w:tabs>
          <w:tab w:val="left" w:pos="720"/>
        </w:tabs>
        <w:ind w:left="2160"/>
      </w:pPr>
      <w:r w:rsidRPr="0027789B">
        <w:t>If A &lt; B, then SDD Charge = 0.5 * (B – A) * C</w:t>
      </w:r>
    </w:p>
    <w:p w14:paraId="03E59922" w14:textId="77777777" w:rsidR="00327DD1" w:rsidRPr="0027789B" w:rsidRDefault="00327DD1" w:rsidP="00327DD1">
      <w:pPr>
        <w:pStyle w:val="Heading2Text"/>
        <w:tabs>
          <w:tab w:val="left" w:pos="720"/>
        </w:tabs>
        <w:ind w:left="2520"/>
      </w:pPr>
      <w:r w:rsidRPr="0027789B">
        <w:t>where:</w:t>
      </w:r>
    </w:p>
    <w:p w14:paraId="1A305A63" w14:textId="77777777" w:rsidR="00327DD1" w:rsidRPr="0027789B" w:rsidRDefault="00327DD1" w:rsidP="00327DD1">
      <w:pPr>
        <w:pStyle w:val="Heading2Text"/>
        <w:tabs>
          <w:tab w:val="left" w:pos="720"/>
        </w:tabs>
        <w:ind w:left="2790"/>
      </w:pPr>
      <w:r w:rsidRPr="0027789B">
        <w:t>A  =  Qualifying Delivered Energy for the Settlement Interval;</w:t>
      </w:r>
    </w:p>
    <w:p w14:paraId="4C0841CF" w14:textId="77777777" w:rsidR="00327DD1" w:rsidRPr="0027789B" w:rsidRDefault="00327DD1" w:rsidP="00327DD1">
      <w:pPr>
        <w:pStyle w:val="Heading2Text"/>
        <w:tabs>
          <w:tab w:val="left" w:pos="720"/>
        </w:tabs>
        <w:ind w:left="2790"/>
      </w:pPr>
      <w:r w:rsidRPr="0027789B">
        <w:lastRenderedPageBreak/>
        <w:t>B  =  Performance Tolerance Band Lower Limit; and</w:t>
      </w:r>
    </w:p>
    <w:p w14:paraId="73D184BA" w14:textId="78AC21B0" w:rsidR="00327DD1" w:rsidRPr="0027789B" w:rsidRDefault="00327DD1" w:rsidP="00327DD1">
      <w:pPr>
        <w:pStyle w:val="Heading2Text"/>
        <w:tabs>
          <w:tab w:val="left" w:pos="720"/>
        </w:tabs>
        <w:ind w:left="2790"/>
      </w:pPr>
      <w:r w:rsidRPr="0027789B">
        <w:t xml:space="preserve">C  =  </w:t>
      </w:r>
      <w:r w:rsidR="00852AF9">
        <w:t>F</w:t>
      </w:r>
      <w:r w:rsidR="00852AF9" w:rsidRPr="0027789B">
        <w:t xml:space="preserve">or each Storage Unit, the applicable </w:t>
      </w:r>
      <w:r w:rsidR="00131EEE">
        <w:t>“</w:t>
      </w:r>
      <w:r w:rsidR="00852AF9" w:rsidRPr="00DB7FE0">
        <w:t>Resource-Specific Settlement Interval LMP</w:t>
      </w:r>
      <w:r w:rsidR="00131EEE">
        <w:t>,” as defined by the CAISO Tariff</w:t>
      </w:r>
      <w:r w:rsidR="00852AF9" w:rsidRPr="0027789B">
        <w:t xml:space="preserve">, provided, in no case shall </w:t>
      </w:r>
      <w:r w:rsidR="00852AF9">
        <w:t>C</w:t>
      </w:r>
      <w:r w:rsidR="00852AF9" w:rsidRPr="0027789B">
        <w:t xml:space="preserve"> be less than zero (0)</w:t>
      </w:r>
      <w:r w:rsidRPr="0027789B">
        <w:t>.</w:t>
      </w:r>
    </w:p>
    <w:p w14:paraId="47DDCE4D" w14:textId="68BBB9CE" w:rsidR="00327DD1" w:rsidRPr="0027789B" w:rsidRDefault="00327DD1" w:rsidP="00327DD1">
      <w:pPr>
        <w:pStyle w:val="Heading2Text"/>
        <w:tabs>
          <w:tab w:val="left" w:pos="0"/>
        </w:tabs>
        <w:ind w:left="2160"/>
      </w:pPr>
      <w:r w:rsidRPr="0027789B">
        <w:t xml:space="preserve">Upon the CAISO’s implementation of UDP, or any subsequent changes regarding the calculation of UDP, the Parties agree to negotiate in good faith to amend the SDD Charge </w:t>
      </w:r>
      <w:r w:rsidRPr="009676F1">
        <w:t>calculation as necessary to maintain the economic balance of benefits and burdens con</w:t>
      </w:r>
      <w:r w:rsidRPr="003B3D2A">
        <w:t>templated under this Section </w:t>
      </w:r>
      <w:r w:rsidR="003B3D2A" w:rsidRPr="003B3D2A">
        <w:t>3</w:t>
      </w:r>
      <w:r w:rsidRPr="003B3D2A">
        <w:t>.</w:t>
      </w:r>
      <w:r w:rsidR="003B3D2A" w:rsidRPr="003B3D2A">
        <w:t>15</w:t>
      </w:r>
      <w:r w:rsidRPr="003B3D2A">
        <w:t>.</w:t>
      </w:r>
    </w:p>
    <w:p w14:paraId="23404E32" w14:textId="7E955EEF" w:rsidR="00327DD1" w:rsidRPr="0027789B" w:rsidRDefault="00327DD1" w:rsidP="00327DD1">
      <w:pPr>
        <w:pStyle w:val="Heading3"/>
      </w:pPr>
      <w:r w:rsidRPr="0027789B">
        <w:rPr>
          <w:u w:val="single"/>
        </w:rPr>
        <w:t>Calculation of SDD Administrative Charge</w:t>
      </w:r>
      <w:r>
        <w:t xml:space="preserve">. </w:t>
      </w:r>
      <w:r w:rsidRPr="0027789B">
        <w:t>Seller shall pay SCE an SDD Administrative Charge if during any Settlement Interval during a Put Period, Delivered Energy (i) exceeds the Performance Tolerance Band Upper Limit or (ii) is less than the Performance Tolerance Band Lower Limit, for such Settlement Interval</w:t>
      </w:r>
      <w:r>
        <w:t xml:space="preserve">. </w:t>
      </w:r>
      <w:r w:rsidRPr="0027789B">
        <w:t>The SDD Administrative Charge is calculated as follows:</w:t>
      </w:r>
    </w:p>
    <w:p w14:paraId="75048F0E" w14:textId="77777777" w:rsidR="00327DD1" w:rsidRPr="0027789B" w:rsidRDefault="00327DD1" w:rsidP="00327DD1">
      <w:pPr>
        <w:pStyle w:val="Heading2Text"/>
        <w:ind w:left="2160"/>
      </w:pPr>
      <w:r w:rsidRPr="0027789B">
        <w:t>SDD Administrative Charge = Absolute Value (E – D) * F</w:t>
      </w:r>
    </w:p>
    <w:p w14:paraId="4AF10372" w14:textId="77777777" w:rsidR="00327DD1" w:rsidRPr="0027789B" w:rsidRDefault="00327DD1" w:rsidP="00327DD1">
      <w:pPr>
        <w:pStyle w:val="Heading2Text"/>
        <w:tabs>
          <w:tab w:val="left" w:pos="720"/>
        </w:tabs>
        <w:ind w:left="2520"/>
      </w:pPr>
      <w:r w:rsidRPr="0027789B">
        <w:t>where:</w:t>
      </w:r>
    </w:p>
    <w:p w14:paraId="1B1E13E5" w14:textId="77777777" w:rsidR="00327DD1" w:rsidRPr="0027789B" w:rsidRDefault="00327DD1" w:rsidP="00327DD1">
      <w:pPr>
        <w:pStyle w:val="Heading2Text"/>
        <w:tabs>
          <w:tab w:val="left" w:pos="720"/>
        </w:tabs>
        <w:ind w:left="2880"/>
      </w:pPr>
      <w:r w:rsidRPr="0027789B">
        <w:t>D = Delivered Energy for the Settlement Interval;</w:t>
      </w:r>
    </w:p>
    <w:p w14:paraId="6BEDE5BF" w14:textId="77777777" w:rsidR="00327DD1" w:rsidRPr="0027789B" w:rsidRDefault="00327DD1" w:rsidP="00327DD1">
      <w:pPr>
        <w:pStyle w:val="Heading2Text"/>
        <w:tabs>
          <w:tab w:val="left" w:pos="720"/>
        </w:tabs>
        <w:ind w:left="2880"/>
      </w:pPr>
      <w:r w:rsidRPr="0027789B">
        <w:t>E = Scheduled Energy for the Settlement Interval; and</w:t>
      </w:r>
    </w:p>
    <w:p w14:paraId="1B46C5E4" w14:textId="4367FCB9" w:rsidR="00327DD1" w:rsidRPr="009676F1" w:rsidRDefault="00327DD1" w:rsidP="00327DD1">
      <w:pPr>
        <w:pStyle w:val="Heading2Text"/>
        <w:tabs>
          <w:tab w:val="left" w:pos="720"/>
        </w:tabs>
        <w:ind w:left="2880"/>
      </w:pPr>
      <w:r w:rsidRPr="0027789B">
        <w:t xml:space="preserve">F = </w:t>
      </w:r>
      <w:r w:rsidR="00852AF9">
        <w:t>A</w:t>
      </w:r>
      <w:r w:rsidR="00852AF9" w:rsidRPr="0027789B">
        <w:t>ny administrative charge applied by the CAISO due to Uninstructed Imbalance Energy</w:t>
      </w:r>
      <w:r w:rsidRPr="0027789B">
        <w:t>.</w:t>
      </w:r>
    </w:p>
    <w:p w14:paraId="5C5A7AE1" w14:textId="2ABA4CCC" w:rsidR="00461C7B" w:rsidRPr="0027789B" w:rsidRDefault="00461C7B" w:rsidP="00461C7B">
      <w:pPr>
        <w:pStyle w:val="Heading1"/>
        <w:keepNext w:val="0"/>
        <w:keepLines w:val="0"/>
      </w:pPr>
      <w:bookmarkStart w:id="119" w:name="_Toc467577491"/>
      <w:bookmarkStart w:id="120" w:name="_Toc470014751"/>
      <w:bookmarkStart w:id="121" w:name="_Toc470855943"/>
      <w:bookmarkStart w:id="122" w:name="_Toc510788245"/>
      <w:bookmarkStart w:id="123" w:name="_Toc467577550"/>
      <w:bookmarkStart w:id="124" w:name="_Toc470014810"/>
      <w:bookmarkStart w:id="125" w:name="_Toc470856001"/>
      <w:bookmarkEnd w:id="53"/>
      <w:bookmarkEnd w:id="54"/>
      <w:r w:rsidRPr="0027789B">
        <w:t xml:space="preserve">DESIGN AND CONSTRUCTION OF </w:t>
      </w:r>
      <w:bookmarkEnd w:id="119"/>
      <w:bookmarkEnd w:id="120"/>
      <w:bookmarkEnd w:id="121"/>
      <w:r w:rsidR="001E342E">
        <w:t>PROJECT</w:t>
      </w:r>
      <w:bookmarkEnd w:id="122"/>
    </w:p>
    <w:p w14:paraId="18640305" w14:textId="77777777" w:rsidR="0081451C" w:rsidRDefault="0081451C" w:rsidP="0081451C">
      <w:pPr>
        <w:pStyle w:val="Heading2"/>
        <w:keepNext w:val="0"/>
        <w:keepLines w:val="0"/>
        <w:rPr>
          <w:u w:val="none"/>
        </w:rPr>
      </w:pPr>
      <w:bookmarkStart w:id="126" w:name="_Toc467577493"/>
      <w:bookmarkStart w:id="127" w:name="_Toc470014753"/>
      <w:bookmarkStart w:id="128" w:name="_Toc470855944"/>
      <w:bookmarkStart w:id="129" w:name="_Toc510788246"/>
      <w:bookmarkStart w:id="130" w:name="_Toc467577494"/>
      <w:bookmarkStart w:id="131" w:name="_Toc470014754"/>
      <w:bookmarkStart w:id="132" w:name="_Toc470855945"/>
      <w:bookmarkStart w:id="133" w:name="_Toc467577495"/>
      <w:bookmarkStart w:id="134" w:name="_Toc470014755"/>
      <w:bookmarkStart w:id="135" w:name="_Toc470855946"/>
      <w:bookmarkStart w:id="136" w:name="_Toc467577497"/>
      <w:bookmarkStart w:id="137" w:name="_Toc470014757"/>
      <w:bookmarkStart w:id="138" w:name="_Toc470855948"/>
      <w:r w:rsidRPr="0027789B">
        <w:t>Seller’s Obligations</w:t>
      </w:r>
      <w:r w:rsidRPr="00FF157D">
        <w:rPr>
          <w:u w:val="none"/>
        </w:rPr>
        <w:t>.</w:t>
      </w:r>
      <w:bookmarkEnd w:id="126"/>
      <w:bookmarkEnd w:id="127"/>
      <w:bookmarkEnd w:id="128"/>
      <w:bookmarkEnd w:id="129"/>
    </w:p>
    <w:p w14:paraId="4FD4A710" w14:textId="77777777" w:rsidR="0081451C" w:rsidRPr="00561154" w:rsidRDefault="0081451C" w:rsidP="0081451C">
      <w:pPr>
        <w:jc w:val="center"/>
        <w:rPr>
          <w:i/>
          <w:color w:val="000000" w:themeColor="text1"/>
        </w:rPr>
      </w:pPr>
      <w:r w:rsidRPr="00DB7FE0">
        <w:rPr>
          <w:i/>
          <w:color w:val="0000FF"/>
        </w:rPr>
        <w:t>[Subject To Change Based On Technology]</w:t>
      </w:r>
    </w:p>
    <w:p w14:paraId="2C19FF42" w14:textId="77777777" w:rsidR="0081451C" w:rsidRPr="0027789B" w:rsidRDefault="0081451C" w:rsidP="0081451C">
      <w:pPr>
        <w:pStyle w:val="Heading2Text"/>
      </w:pPr>
      <w:r w:rsidRPr="0027789B">
        <w:t>At no cost to SCE, Seller shall:</w:t>
      </w:r>
    </w:p>
    <w:p w14:paraId="7C6256C6" w14:textId="77777777" w:rsidR="0081451C" w:rsidRPr="0027789B" w:rsidRDefault="0081451C" w:rsidP="0081451C">
      <w:pPr>
        <w:pStyle w:val="Heading3"/>
      </w:pPr>
      <w:r w:rsidRPr="0027789B">
        <w:t>Design and construct, or refurbish the Project as required for Seller to perform its obligations under this Agreement;</w:t>
      </w:r>
    </w:p>
    <w:p w14:paraId="63A7D4ED" w14:textId="77777777" w:rsidR="0081451C" w:rsidRPr="0027789B" w:rsidRDefault="0081451C" w:rsidP="0081451C">
      <w:pPr>
        <w:pStyle w:val="Heading3"/>
      </w:pPr>
      <w:r w:rsidRPr="0027789B">
        <w:t>Prior to the Expected Initial Delivery Date, file all applications or other appropriate requests to acquire and maintain all Permits for the Project;</w:t>
      </w:r>
    </w:p>
    <w:p w14:paraId="38A070A0" w14:textId="37E5C00A" w:rsidR="0081451C" w:rsidRPr="0027789B" w:rsidRDefault="006A61DA" w:rsidP="0081451C">
      <w:pPr>
        <w:pStyle w:val="Heading3"/>
      </w:pPr>
      <w:r>
        <w:t>C</w:t>
      </w:r>
      <w:r w:rsidR="0081451C" w:rsidRPr="0027789B">
        <w:t>omplete all environmental impact assessments</w:t>
      </w:r>
      <w:r>
        <w:t>, statements,</w:t>
      </w:r>
      <w:r w:rsidR="0081451C" w:rsidRPr="0027789B">
        <w:t xml:space="preserve"> or studies </w:t>
      </w:r>
      <w:r>
        <w:t>required</w:t>
      </w:r>
      <w:r w:rsidR="0081451C" w:rsidRPr="0027789B">
        <w:t xml:space="preserve"> pursuant to </w:t>
      </w:r>
      <w:r>
        <w:t>Applicable Laws,</w:t>
      </w:r>
      <w:r w:rsidR="0081451C" w:rsidRPr="0027789B">
        <w:t xml:space="preserve"> including obtaining public review and </w:t>
      </w:r>
      <w:r w:rsidR="0081451C" w:rsidRPr="0027789B">
        <w:lastRenderedPageBreak/>
        <w:t>certification of any final documents relating to any environmental impact assessment or studies;</w:t>
      </w:r>
    </w:p>
    <w:p w14:paraId="7E0D6C82" w14:textId="77777777" w:rsidR="0081451C" w:rsidRPr="0027789B" w:rsidRDefault="0081451C" w:rsidP="0081451C">
      <w:pPr>
        <w:pStyle w:val="Heading3"/>
      </w:pPr>
      <w:r w:rsidRPr="0027789B">
        <w:t>As required to achieve Commercial Operation for each Storage Unit, furnish and install all Protective Apparatus as SCE reasonably determines to be necessary for proper and safe operation of the Project in parallel with the Transmission Provider’s electric system or the CAISO Controlled Grid;</w:t>
      </w:r>
    </w:p>
    <w:p w14:paraId="6408B4E1" w14:textId="76E22692" w:rsidR="0081451C" w:rsidRPr="0027789B" w:rsidRDefault="0081451C" w:rsidP="0081451C">
      <w:pPr>
        <w:pStyle w:val="Heading3"/>
      </w:pPr>
      <w:r w:rsidRPr="0027789B">
        <w:t xml:space="preserve">Furnish and install </w:t>
      </w:r>
      <w:r w:rsidRPr="00DB7FE0">
        <w:t>Prevention Equipment</w:t>
      </w:r>
      <w:r w:rsidRPr="0027789B">
        <w:t>;</w:t>
      </w:r>
    </w:p>
    <w:p w14:paraId="3D100D1B" w14:textId="77777777" w:rsidR="0081451C" w:rsidRPr="0027789B" w:rsidRDefault="0081451C" w:rsidP="0081451C">
      <w:pPr>
        <w:pStyle w:val="Heading3"/>
      </w:pPr>
      <w:r w:rsidRPr="0027789B">
        <w:t xml:space="preserve">Provide to SCE, prior to commencement of any construction activities on the Site, a report from an independent engineer (acceptable to both SCE and Seller) certifying that Seller has a written plan for the safe construction and operation of the Project in accordance with Prudent Electrical Practices; </w:t>
      </w:r>
    </w:p>
    <w:p w14:paraId="48324E86" w14:textId="44E43B62" w:rsidR="00E44F02" w:rsidRDefault="00E44F02" w:rsidP="0081451C">
      <w:pPr>
        <w:pStyle w:val="Heading3"/>
      </w:pPr>
      <w:r>
        <w:t>P</w:t>
      </w:r>
      <w:r w:rsidRPr="0027789B">
        <w:t>rovide accurate and complete operating characteristics of the Storage Unit(s) in compliance with the CAISO Tariff</w:t>
      </w:r>
      <w:r w:rsidR="002A2283">
        <w:t>:</w:t>
      </w:r>
    </w:p>
    <w:p w14:paraId="40D82DF2" w14:textId="77777777" w:rsidR="00E44F02" w:rsidRDefault="0081451C" w:rsidP="00DB7FE0">
      <w:pPr>
        <w:pStyle w:val="Heading4"/>
      </w:pPr>
      <w:r>
        <w:t xml:space="preserve">At </w:t>
      </w:r>
      <w:r w:rsidRPr="0027789B">
        <w:t xml:space="preserve">least thirty (30) days prior to the start </w:t>
      </w:r>
      <w:r>
        <w:t xml:space="preserve">of </w:t>
      </w:r>
      <w:r w:rsidRPr="0027789B">
        <w:t xml:space="preserve">the Delivery Period, and </w:t>
      </w:r>
    </w:p>
    <w:p w14:paraId="2BD397D5" w14:textId="3E8B69B0" w:rsidR="0081451C" w:rsidRPr="0027789B" w:rsidRDefault="00E44F02" w:rsidP="00DB7FE0">
      <w:pPr>
        <w:pStyle w:val="Heading4"/>
      </w:pPr>
      <w:r>
        <w:t>W</w:t>
      </w:r>
      <w:r w:rsidRPr="0027789B">
        <w:t xml:space="preserve">ithin ten (10) days after such </w:t>
      </w:r>
      <w:r w:rsidR="0081451C" w:rsidRPr="0027789B">
        <w:t xml:space="preserve">information changes during the Delivery Period; </w:t>
      </w:r>
    </w:p>
    <w:p w14:paraId="4A629C23" w14:textId="77777777" w:rsidR="00D3276C" w:rsidRDefault="0081451C" w:rsidP="0081451C">
      <w:pPr>
        <w:pStyle w:val="Heading3"/>
      </w:pPr>
      <w:r w:rsidRPr="0027789B">
        <w:t xml:space="preserve">Throughout the Delivery Period, maintain all permits, licenses, certifications and approvals necessary for the operation and maintenance of the Project; </w:t>
      </w:r>
    </w:p>
    <w:p w14:paraId="6F7483BE" w14:textId="67BC533F" w:rsidR="0081451C" w:rsidRPr="0027789B" w:rsidRDefault="00D3276C" w:rsidP="0081451C">
      <w:pPr>
        <w:pStyle w:val="Heading3"/>
      </w:pPr>
      <w:r>
        <w:t>N</w:t>
      </w:r>
      <w:r w:rsidRPr="0027789B">
        <w:t xml:space="preserve">ot withdraw the Interconnection Queue Position </w:t>
      </w:r>
      <w:r w:rsidRPr="0084576D">
        <w:t>or assign or transfer that Interconnection Queue Position to any entity or for the benefit of any</w:t>
      </w:r>
      <w:r w:rsidRPr="0027789B">
        <w:t xml:space="preserve"> other agreement other than this Agreement without SCE’s prior written consent</w:t>
      </w:r>
      <w:r>
        <w:t xml:space="preserve">; </w:t>
      </w:r>
      <w:r w:rsidR="0081451C" w:rsidRPr="0027789B">
        <w:t>and</w:t>
      </w:r>
    </w:p>
    <w:p w14:paraId="4CE5C450" w14:textId="02F9E102" w:rsidR="00925301" w:rsidRDefault="00925301" w:rsidP="0081451C">
      <w:pPr>
        <w:pStyle w:val="Heading3"/>
      </w:pPr>
      <w:r>
        <w:t>P</w:t>
      </w:r>
      <w:r w:rsidR="0081451C" w:rsidRPr="0027789B">
        <w:t>rovide to SCE all data and other information requested by SCE to substantiate the Variable Asset Replacement Charge for the Storage Unit(s) (including data, equipment specifications, warranty information and other information from equipment suppliers relating to base energy throughput, the Variable Asset Replacement Charge and Tier Levels)</w:t>
      </w:r>
    </w:p>
    <w:p w14:paraId="3B1CE9E5" w14:textId="10D5944F" w:rsidR="00925301" w:rsidRDefault="00925301" w:rsidP="00DB7FE0">
      <w:pPr>
        <w:pStyle w:val="Heading4"/>
      </w:pPr>
      <w:r>
        <w:t>At</w:t>
      </w:r>
      <w:r w:rsidRPr="0027789B">
        <w:t xml:space="preserve"> least sixty (60) days prior to the start </w:t>
      </w:r>
      <w:r w:rsidR="00C8421F">
        <w:t xml:space="preserve">of </w:t>
      </w:r>
      <w:r w:rsidRPr="0027789B">
        <w:t>the Delivery Period, and,</w:t>
      </w:r>
    </w:p>
    <w:p w14:paraId="560A0086" w14:textId="4739B6C2" w:rsidR="00E44F02" w:rsidRDefault="00925301" w:rsidP="00DB7FE0">
      <w:pPr>
        <w:pStyle w:val="Heading4"/>
      </w:pPr>
      <w:r>
        <w:t>W</w:t>
      </w:r>
      <w:r w:rsidRPr="0027789B">
        <w:t>ithin ten (10) days after such data or information changes during the Delivery Period</w:t>
      </w:r>
      <w:r>
        <w:t>.</w:t>
      </w:r>
    </w:p>
    <w:p w14:paraId="63EF0728" w14:textId="063AB674" w:rsidR="0081451C" w:rsidRPr="00504642" w:rsidRDefault="0081451C" w:rsidP="00DB7FE0">
      <w:pPr>
        <w:pStyle w:val="Heading3Text"/>
      </w:pPr>
      <w:r w:rsidRPr="0027789B">
        <w:t>All such information shall be verified and analyzed by an independent engineer acceptable to SCE in its sole discretion to ensure that the Variable Asset Replacement Payment accurately reflects the true cost of use of the Storage Unit(s) equipment in accordance with the requirements of the CAISO</w:t>
      </w:r>
      <w:r>
        <w:t xml:space="preserve">. </w:t>
      </w:r>
      <w:r w:rsidR="00D8575F">
        <w:t>If</w:t>
      </w:r>
      <w:r w:rsidRPr="0027789B">
        <w:t xml:space="preserve"> the </w:t>
      </w:r>
      <w:r w:rsidRPr="0027789B">
        <w:lastRenderedPageBreak/>
        <w:t>independent engineer, after analyzing such information in light of the requirements of the CAISO, recommends a change in: (</w:t>
      </w:r>
      <w:r w:rsidR="00925301">
        <w:t>x</w:t>
      </w:r>
      <w:r w:rsidRPr="0027789B">
        <w:t xml:space="preserve">) the upper or lower boundary of a </w:t>
      </w:r>
      <w:r w:rsidRPr="00D01883">
        <w:t>Tier Level; or (</w:t>
      </w:r>
      <w:r w:rsidR="00925301">
        <w:t>y</w:t>
      </w:r>
      <w:r w:rsidRPr="00D01883">
        <w:t xml:space="preserve">) the amount in dollars per megawatt-hour that should apply to Tier Level 1 or Tier Level 2, the Parties agree to amend </w:t>
      </w:r>
      <w:r w:rsidR="00CF10CD">
        <w:rPr>
          <w:u w:val="single"/>
        </w:rPr>
        <w:t>Exhibit G</w:t>
      </w:r>
      <w:r w:rsidRPr="00D01883">
        <w:t xml:space="preserve"> to reflect such recommendation; provided that, notwithstanding the foregoing, the amount in dollars per megawatt-hour for Tier Level 1 or Tier Level 2 shall not exceed the amounts set forth in </w:t>
      </w:r>
      <w:r w:rsidR="00CF10CD">
        <w:rPr>
          <w:u w:val="single"/>
        </w:rPr>
        <w:t>Exhibit G</w:t>
      </w:r>
      <w:r w:rsidRPr="00D01883">
        <w:t xml:space="preserve"> as</w:t>
      </w:r>
      <w:r w:rsidRPr="00C600E0">
        <w:t xml:space="preserve"> of the Effective Date. Seller shall be solely </w:t>
      </w:r>
      <w:r w:rsidRPr="00504642">
        <w:t>responsible for compensating the independent engineer for services rendered pursuant to this Section</w:t>
      </w:r>
      <w:r w:rsidR="00504642" w:rsidRPr="00504642">
        <w:t xml:space="preserve"> 4</w:t>
      </w:r>
      <w:r w:rsidRPr="00504642">
        <w:t>.01.</w:t>
      </w:r>
    </w:p>
    <w:p w14:paraId="57A66C96" w14:textId="77777777" w:rsidR="0081451C" w:rsidRPr="00504642" w:rsidRDefault="0081451C" w:rsidP="0081451C">
      <w:pPr>
        <w:pStyle w:val="Heading2"/>
        <w:keepNext w:val="0"/>
        <w:keepLines w:val="0"/>
        <w:rPr>
          <w:u w:val="none"/>
        </w:rPr>
      </w:pPr>
      <w:bookmarkStart w:id="139" w:name="_Toc510788247"/>
      <w:r w:rsidRPr="00504642">
        <w:t>Changes in Operational Characteristics</w:t>
      </w:r>
      <w:r w:rsidRPr="00504642">
        <w:rPr>
          <w:u w:val="none"/>
        </w:rPr>
        <w:t>.</w:t>
      </w:r>
      <w:bookmarkEnd w:id="130"/>
      <w:bookmarkEnd w:id="131"/>
      <w:bookmarkEnd w:id="132"/>
      <w:bookmarkEnd w:id="139"/>
    </w:p>
    <w:p w14:paraId="26A09B46" w14:textId="77777777" w:rsidR="0081451C" w:rsidRPr="00504642" w:rsidRDefault="0081451C" w:rsidP="0081451C">
      <w:pPr>
        <w:jc w:val="center"/>
        <w:rPr>
          <w:i/>
          <w:color w:val="FF0000"/>
        </w:rPr>
      </w:pPr>
      <w:r w:rsidRPr="00DB7FE0">
        <w:rPr>
          <w:i/>
          <w:color w:val="0000FF"/>
        </w:rPr>
        <w:t>[Subject To Change Based On Technology]</w:t>
      </w:r>
    </w:p>
    <w:p w14:paraId="7A719A0D" w14:textId="6C89EF0C" w:rsidR="0081451C" w:rsidRPr="0027789B" w:rsidRDefault="0081451C" w:rsidP="0081451C">
      <w:pPr>
        <w:pStyle w:val="Heading2Text"/>
      </w:pPr>
      <w:r w:rsidRPr="00504642">
        <w:t xml:space="preserve">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Section </w:t>
      </w:r>
      <w:r w:rsidR="00504642" w:rsidRPr="00504642">
        <w:t>4</w:t>
      </w:r>
      <w:r w:rsidRPr="00504642">
        <w:t>.02 is for</w:t>
      </w:r>
      <w:r w:rsidRPr="0027789B">
        <w:t xml:space="preserve"> SCE’s information only and that by receiving such Notice, SCE makes no representation as to the economic or technical feasibility, operational capacity or reliability of any changes in the operational characteristics of the Project.</w:t>
      </w:r>
    </w:p>
    <w:p w14:paraId="1F8DEBDA" w14:textId="77777777" w:rsidR="00461C7B" w:rsidRDefault="00461C7B" w:rsidP="00461C7B">
      <w:pPr>
        <w:pStyle w:val="Heading2"/>
        <w:keepNext w:val="0"/>
        <w:keepLines w:val="0"/>
        <w:rPr>
          <w:u w:val="none"/>
        </w:rPr>
      </w:pPr>
      <w:bookmarkStart w:id="140" w:name="_Toc510788248"/>
      <w:r w:rsidRPr="0027789B">
        <w:t>EPC Contractor</w:t>
      </w:r>
      <w:r w:rsidRPr="00FF157D">
        <w:rPr>
          <w:u w:val="none"/>
        </w:rPr>
        <w:t>.</w:t>
      </w:r>
      <w:bookmarkEnd w:id="133"/>
      <w:bookmarkEnd w:id="134"/>
      <w:bookmarkEnd w:id="135"/>
      <w:bookmarkEnd w:id="140"/>
    </w:p>
    <w:p w14:paraId="229DD294" w14:textId="77777777" w:rsidR="00461C7B" w:rsidRPr="00DB7FE0" w:rsidRDefault="00461C7B" w:rsidP="00461C7B">
      <w:pPr>
        <w:jc w:val="center"/>
        <w:rPr>
          <w:i/>
          <w:color w:val="0000FF"/>
        </w:rPr>
      </w:pPr>
      <w:r w:rsidRPr="00DB7FE0">
        <w:rPr>
          <w:i/>
          <w:color w:val="0000FF"/>
        </w:rPr>
        <w:t>[Subject To Change Based On Technology]</w:t>
      </w:r>
    </w:p>
    <w:p w14:paraId="1BA44894" w14:textId="77777777" w:rsidR="00461C7B" w:rsidRPr="0027789B" w:rsidRDefault="00461C7B" w:rsidP="00461C7B">
      <w:pPr>
        <w:pStyle w:val="Heading2Text"/>
      </w:pPr>
      <w:r w:rsidRPr="0027789B">
        <w:t xml:space="preserve">Seller shall provide SCE with Notice of the name and address of Seller’s EPC Contractor on the later of the Effective Date or the first (1st) Business Day after Seller enters into a contract with an EPC Contractor. </w:t>
      </w:r>
    </w:p>
    <w:p w14:paraId="7245B0EC" w14:textId="77777777" w:rsidR="00A6128D" w:rsidRPr="0027789B" w:rsidRDefault="00A6128D" w:rsidP="00A6128D">
      <w:pPr>
        <w:pStyle w:val="Heading2"/>
        <w:keepNext w:val="0"/>
        <w:keepLines w:val="0"/>
      </w:pPr>
      <w:bookmarkStart w:id="141" w:name="_Toc497310294"/>
      <w:bookmarkStart w:id="142" w:name="_Toc497310427"/>
      <w:bookmarkStart w:id="143" w:name="_Toc497468407"/>
      <w:bookmarkStart w:id="144" w:name="_Toc497310295"/>
      <w:bookmarkStart w:id="145" w:name="_Toc497310428"/>
      <w:bookmarkStart w:id="146" w:name="_Toc497468408"/>
      <w:bookmarkStart w:id="147" w:name="_Toc510788249"/>
      <w:bookmarkStart w:id="148" w:name="_Toc467577499"/>
      <w:bookmarkStart w:id="149" w:name="_Toc470014759"/>
      <w:bookmarkStart w:id="150" w:name="_Toc470855950"/>
      <w:bookmarkStart w:id="151" w:name="_Toc467577500"/>
      <w:bookmarkStart w:id="152" w:name="_Toc470014760"/>
      <w:bookmarkStart w:id="153" w:name="_Toc470855951"/>
      <w:bookmarkEnd w:id="136"/>
      <w:bookmarkEnd w:id="137"/>
      <w:bookmarkEnd w:id="138"/>
      <w:bookmarkEnd w:id="141"/>
      <w:bookmarkEnd w:id="142"/>
      <w:bookmarkEnd w:id="143"/>
      <w:bookmarkEnd w:id="144"/>
      <w:bookmarkEnd w:id="145"/>
      <w:bookmarkEnd w:id="146"/>
      <w:r w:rsidRPr="0027789B">
        <w:t>Provision of Information</w:t>
      </w:r>
      <w:r w:rsidRPr="00FF157D">
        <w:rPr>
          <w:u w:val="none"/>
        </w:rPr>
        <w:t>.</w:t>
      </w:r>
      <w:bookmarkEnd w:id="147"/>
    </w:p>
    <w:p w14:paraId="76A14E3C" w14:textId="77777777" w:rsidR="00A6128D" w:rsidRPr="0027789B" w:rsidRDefault="00A6128D" w:rsidP="00A6128D">
      <w:pPr>
        <w:pStyle w:val="Heading2Text"/>
      </w:pPr>
      <w:r w:rsidRPr="0027789B">
        <w:t>During the Term, Seller shall promptly provide SCE copies of:</w:t>
      </w:r>
    </w:p>
    <w:p w14:paraId="2543416B" w14:textId="472B470E" w:rsidR="00A6128D" w:rsidRPr="0027789B" w:rsidRDefault="00A6128D" w:rsidP="00A6128D">
      <w:pPr>
        <w:pStyle w:val="Heading3"/>
      </w:pPr>
      <w:r w:rsidRPr="0027789B">
        <w:t xml:space="preserve">Within ten (10) Business Days </w:t>
      </w:r>
      <w:r w:rsidR="00792601">
        <w:t>after</w:t>
      </w:r>
      <w:r w:rsidR="00792601" w:rsidRPr="0027789B">
        <w:t xml:space="preserve"> </w:t>
      </w:r>
      <w:r w:rsidRPr="0027789B">
        <w:t>receipt thereof, any Interconnection Study or the interconnection agreement tendered to Seller by the Transmission Provider;</w:t>
      </w:r>
    </w:p>
    <w:p w14:paraId="203175D2" w14:textId="77777777" w:rsidR="00A6128D" w:rsidRPr="0027789B" w:rsidRDefault="00A6128D" w:rsidP="00A6128D">
      <w:pPr>
        <w:pStyle w:val="Heading3"/>
      </w:pPr>
      <w:r w:rsidRPr="0027789B">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14:paraId="2481CBDD" w14:textId="77777777" w:rsidR="00A6128D" w:rsidRPr="0027789B" w:rsidRDefault="00A6128D" w:rsidP="00A6128D">
      <w:pPr>
        <w:pStyle w:val="Heading3"/>
      </w:pPr>
      <w:r w:rsidRPr="0027789B">
        <w:lastRenderedPageBreak/>
        <w:t>Any reports, studies, or assessments done for Seller by an independent engineer; and</w:t>
      </w:r>
    </w:p>
    <w:p w14:paraId="22769735" w14:textId="1236CD66" w:rsidR="00A6128D" w:rsidRPr="0027789B" w:rsidRDefault="00A6128D" w:rsidP="00A6128D">
      <w:pPr>
        <w:pStyle w:val="Heading3"/>
      </w:pPr>
      <w:r w:rsidRPr="0027789B">
        <w:t xml:space="preserve">No later than twenty (20) days after each semi-annual period ending on June 30th and December 31st, a report listing all </w:t>
      </w:r>
      <w:r w:rsidR="00EB62CC" w:rsidRPr="0027789B">
        <w:t>women, minority, disabled veteran, lesbian, gay, bisexual and/or transgender business enterprise</w:t>
      </w:r>
      <w:r w:rsidR="00EB62CC">
        <w:t>s</w:t>
      </w:r>
      <w:r w:rsidR="00EB62CC" w:rsidRPr="0027789B">
        <w:t>, as more particularly set forth in CPUC General Order 156</w:t>
      </w:r>
      <w:r w:rsidR="00EB62CC">
        <w:t xml:space="preserve"> (“</w:t>
      </w:r>
      <w:r w:rsidRPr="00DB7FE0">
        <w:rPr>
          <w:u w:val="single"/>
        </w:rPr>
        <w:t>Diverse Business Enterprises</w:t>
      </w:r>
      <w:r w:rsidR="00EB62CC">
        <w:t>”)</w:t>
      </w:r>
      <w:r w:rsidRPr="0027789B">
        <w:t xml:space="preserve"> that supplied goods or services to Seller during such period, including any certifications or other documentation of such Diverse Business Enterprises’ status as such and the aggregate amount paid to Diverse Business Enterprises during such period.</w:t>
      </w:r>
    </w:p>
    <w:p w14:paraId="3A938F64" w14:textId="6251CEB5" w:rsidR="00A6128D" w:rsidRPr="00504642" w:rsidRDefault="00A6128D" w:rsidP="00A6128D">
      <w:pPr>
        <w:pStyle w:val="Heading4"/>
      </w:pPr>
      <w:r w:rsidRPr="009676F1">
        <w:t xml:space="preserve">SCE has the right to </w:t>
      </w:r>
      <w:r w:rsidRPr="00504642">
        <w:t>disclose to the CPUC all such information provided by Seller pursuant to this Section</w:t>
      </w:r>
      <w:r w:rsidR="00504642" w:rsidRPr="00504642">
        <w:t xml:space="preserve"> 4.0</w:t>
      </w:r>
      <w:r w:rsidR="00D07E46">
        <w:t>4</w:t>
      </w:r>
      <w:r w:rsidRPr="00504642">
        <w:t>(d).</w:t>
      </w:r>
    </w:p>
    <w:p w14:paraId="49F0BF93" w14:textId="7773E1CC" w:rsidR="00A6128D" w:rsidRPr="00504642" w:rsidRDefault="00A6128D" w:rsidP="00A6128D">
      <w:pPr>
        <w:pStyle w:val="Heading4"/>
      </w:pPr>
      <w:r w:rsidRPr="00504642">
        <w:t>Seller shall make reasonable efforts to accommodate requests by the CPUC (or by SCE in response to a request by the CPUC) to audit Seller in order to verify data provided by Seller pursuant to this Section</w:t>
      </w:r>
      <w:r w:rsidR="00504642" w:rsidRPr="00504642">
        <w:t xml:space="preserve"> 4.0</w:t>
      </w:r>
      <w:r w:rsidR="00D07E46">
        <w:t>4</w:t>
      </w:r>
      <w:r w:rsidRPr="00504642">
        <w:t>(d).</w:t>
      </w:r>
    </w:p>
    <w:p w14:paraId="33F258D9" w14:textId="77777777" w:rsidR="00A6128D" w:rsidRPr="009676F1" w:rsidRDefault="00A6128D" w:rsidP="00A6128D">
      <w:pPr>
        <w:pStyle w:val="Heading2"/>
        <w:keepNext w:val="0"/>
        <w:keepLines w:val="0"/>
        <w:rPr>
          <w:u w:val="none"/>
        </w:rPr>
      </w:pPr>
      <w:bookmarkStart w:id="154" w:name="_Toc510788250"/>
      <w:r w:rsidRPr="009676F1">
        <w:t>Inspection Rights</w:t>
      </w:r>
      <w:r w:rsidRPr="009676F1">
        <w:rPr>
          <w:u w:val="none"/>
        </w:rPr>
        <w:t>.</w:t>
      </w:r>
      <w:bookmarkEnd w:id="148"/>
      <w:bookmarkEnd w:id="149"/>
      <w:bookmarkEnd w:id="150"/>
      <w:bookmarkEnd w:id="154"/>
    </w:p>
    <w:p w14:paraId="73474CA1" w14:textId="77777777" w:rsidR="00A6128D" w:rsidRPr="009676F1" w:rsidRDefault="00A6128D" w:rsidP="00A6128D">
      <w:pPr>
        <w:pStyle w:val="Heading2Text"/>
      </w:pPr>
      <w:r w:rsidRPr="009676F1">
        <w:t>SCE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14:paraId="1153A77D" w14:textId="77777777" w:rsidR="00A6128D" w:rsidRPr="009676F1" w:rsidRDefault="00A6128D" w:rsidP="00A6128D">
      <w:pPr>
        <w:pStyle w:val="Heading3"/>
      </w:pPr>
      <w:r w:rsidRPr="009676F1">
        <w:t>Seller has obtained and maintained all Permits, and that such Permits do not contain Permit Requirements that might restrict SCE’s ability to charge or discharge, or store energy in, the Project as provided for in this Agreement;</w:t>
      </w:r>
    </w:p>
    <w:p w14:paraId="514D2892" w14:textId="274446BA" w:rsidR="00A6128D" w:rsidRPr="0027789B" w:rsidRDefault="00A6128D" w:rsidP="00A6128D">
      <w:pPr>
        <w:pStyle w:val="Heading3"/>
      </w:pPr>
      <w:r w:rsidRPr="009676F1">
        <w:t xml:space="preserve">All contracts described </w:t>
      </w:r>
      <w:r w:rsidRPr="00504642">
        <w:t>in Section</w:t>
      </w:r>
      <w:r w:rsidR="00504642" w:rsidRPr="00504642">
        <w:t xml:space="preserve"> 4</w:t>
      </w:r>
      <w:r w:rsidRPr="00504642">
        <w:t>.0</w:t>
      </w:r>
      <w:r w:rsidR="00D07E46">
        <w:t>4</w:t>
      </w:r>
      <w:r w:rsidRPr="00504642">
        <w:t xml:space="preserve">(a) and </w:t>
      </w:r>
      <w:r w:rsidR="00504642" w:rsidRPr="00504642">
        <w:t>4</w:t>
      </w:r>
      <w:r w:rsidRPr="00504642">
        <w:t>.0</w:t>
      </w:r>
      <w:r w:rsidR="00D07E46">
        <w:t>4</w:t>
      </w:r>
      <w:r w:rsidRPr="00504642">
        <w:t>(b) have</w:t>
      </w:r>
      <w:r w:rsidRPr="009676F1">
        <w:t xml:space="preserve"> been entered into and become effective on a timely basis and Seller is</w:t>
      </w:r>
      <w:r w:rsidRPr="0027789B">
        <w:t xml:space="preserve"> not in default thereunder; </w:t>
      </w:r>
    </w:p>
    <w:p w14:paraId="181A51CB" w14:textId="26EF3DCC" w:rsidR="00A6128D" w:rsidRPr="0027789B" w:rsidRDefault="00A6128D" w:rsidP="00A6128D">
      <w:pPr>
        <w:pStyle w:val="Heading3"/>
      </w:pPr>
      <w:r w:rsidRPr="0027789B">
        <w:t xml:space="preserve">All contracts or other arrangements necessary to </w:t>
      </w:r>
      <w:r w:rsidRPr="0084576D">
        <w:t xml:space="preserve">interconnect the Project (including transmission arrangements as contemplated in </w:t>
      </w:r>
      <w:r w:rsidR="00504642">
        <w:t>Section 5.01</w:t>
      </w:r>
      <w:r w:rsidRPr="0084576D">
        <w:t>, electrical, water supply and waste disposal) have been entered into and become</w:t>
      </w:r>
      <w:r w:rsidRPr="0027789B">
        <w:t xml:space="preserve"> effective on a timely basis pursuant to the Milestone Schedule and Seller is not in default thereunder; and </w:t>
      </w:r>
    </w:p>
    <w:p w14:paraId="44C089AD" w14:textId="77777777" w:rsidR="00A6128D" w:rsidRPr="0027789B" w:rsidRDefault="00A6128D" w:rsidP="00A6128D">
      <w:pPr>
        <w:pStyle w:val="Heading3"/>
      </w:pPr>
      <w:r w:rsidRPr="0027789B">
        <w:t xml:space="preserve">All contracts or other arrangements necessary to deliver electric energy to the Storage Unit(s) for purposes of charging the Storage Units have been entered </w:t>
      </w:r>
      <w:r w:rsidRPr="0027789B">
        <w:lastRenderedPageBreak/>
        <w:t>into and become effective on a timely basis and Seller is not in default thereunder</w:t>
      </w:r>
      <w:r>
        <w:t xml:space="preserve">. </w:t>
      </w:r>
    </w:p>
    <w:p w14:paraId="133A9B3D" w14:textId="77777777" w:rsidR="00D07E46" w:rsidRPr="00FF157D" w:rsidRDefault="00D07E46" w:rsidP="00D07E46">
      <w:pPr>
        <w:pStyle w:val="Heading2"/>
        <w:keepNext w:val="0"/>
        <w:keepLines w:val="0"/>
        <w:rPr>
          <w:u w:val="none"/>
        </w:rPr>
      </w:pPr>
      <w:bookmarkStart w:id="155" w:name="_Toc510788251"/>
      <w:r w:rsidRPr="0027789B">
        <w:t>Milestone Schedule</w:t>
      </w:r>
      <w:r w:rsidRPr="00FF157D">
        <w:rPr>
          <w:u w:val="none"/>
        </w:rPr>
        <w:t>.</w:t>
      </w:r>
      <w:bookmarkEnd w:id="155"/>
    </w:p>
    <w:p w14:paraId="4A622776" w14:textId="75086AA6" w:rsidR="00D07E46" w:rsidRPr="00561154" w:rsidRDefault="00D07E46" w:rsidP="00CF10CD">
      <w:pPr>
        <w:pStyle w:val="Heading2Text"/>
        <w:rPr>
          <w:u w:val="single"/>
        </w:rPr>
      </w:pPr>
      <w:r w:rsidRPr="0027789B">
        <w:t xml:space="preserve">In order </w:t>
      </w:r>
      <w:r w:rsidRPr="00C600E0">
        <w:t xml:space="preserve">to meet the Expected Initial Delivery Date, Seller shall use reasonable efforts during the construction period to meet the various Project related milestones set forth in </w:t>
      </w:r>
      <w:r w:rsidRPr="00482B73">
        <w:rPr>
          <w:u w:val="single"/>
        </w:rPr>
        <w:t xml:space="preserve">Exhibit </w:t>
      </w:r>
      <w:r w:rsidR="00CF10CD">
        <w:rPr>
          <w:u w:val="single"/>
        </w:rPr>
        <w:t>H</w:t>
      </w:r>
      <w:r w:rsidRPr="00C600E0">
        <w:t xml:space="preserve"> (“</w:t>
      </w:r>
      <w:r w:rsidRPr="00C600E0">
        <w:rPr>
          <w:u w:val="single"/>
        </w:rPr>
        <w:t>Milestone Schedule</w:t>
      </w:r>
      <w:r w:rsidRPr="00C600E0">
        <w:t xml:space="preserve">”) and avoid or minimize any delays in meeting such Milestone Schedule. No later than the tenth (10th) day of each month while the Project has not yet met its Initial Delivery Date, or within five (5) days </w:t>
      </w:r>
      <w:r>
        <w:t>after</w:t>
      </w:r>
      <w:r w:rsidRPr="00C600E0">
        <w:t xml:space="preserve"> SCE’s request, Seller shall deliver to SCE a monthly progress report, substantially in the form set forth in </w:t>
      </w:r>
      <w:r w:rsidRPr="00482B73">
        <w:rPr>
          <w:u w:val="single"/>
        </w:rPr>
        <w:t xml:space="preserve">Exhibit </w:t>
      </w:r>
      <w:r w:rsidR="00CF10CD">
        <w:rPr>
          <w:u w:val="single"/>
        </w:rPr>
        <w:t>I</w:t>
      </w:r>
      <w:r w:rsidRPr="00C600E0">
        <w:t xml:space="preserve"> (“</w:t>
      </w:r>
      <w:r w:rsidRPr="00C600E0">
        <w:rPr>
          <w:u w:val="single"/>
        </w:rPr>
        <w:t>Construction Report</w:t>
      </w:r>
      <w:r w:rsidRPr="00C600E0">
        <w:t>”), describing its progress in relation to the Milestone Schedule, including</w:t>
      </w:r>
      <w:r w:rsidRPr="0027789B">
        <w:t xml:space="preserve"> projected time to completion of any milestones, for each Storage Unit and the Project</w:t>
      </w:r>
      <w:r>
        <w:t xml:space="preserve">. </w:t>
      </w:r>
      <w:r w:rsidRPr="0027789B">
        <w:t>Seller shall include in any Construction Report a list of all letters, notices, applications, approvals, authorizations and filings referring or relating to Permits, and shall provide any such documents as may be reasonably requested by SCE</w:t>
      </w:r>
      <w:r>
        <w:t xml:space="preserve">. </w:t>
      </w:r>
      <w:r w:rsidRPr="0027789B">
        <w:t>In addition, Seller shall advise SCE, as soon as reasonably practicable, of any problems or issues of which Seller is aware which could materially impact its ability to meet the Milestone Schedule.</w:t>
      </w:r>
    </w:p>
    <w:p w14:paraId="7A1F7A90" w14:textId="77777777" w:rsidR="00461C7B" w:rsidRPr="00FF157D" w:rsidRDefault="00461C7B" w:rsidP="00461C7B">
      <w:pPr>
        <w:pStyle w:val="Heading2"/>
        <w:keepNext w:val="0"/>
        <w:keepLines w:val="0"/>
        <w:rPr>
          <w:u w:val="none"/>
        </w:rPr>
      </w:pPr>
      <w:bookmarkStart w:id="156" w:name="_Toc510788252"/>
      <w:r w:rsidRPr="0027789B">
        <w:t>Critical Path Development Milestones</w:t>
      </w:r>
      <w:r w:rsidRPr="00FF157D">
        <w:rPr>
          <w:u w:val="none"/>
        </w:rPr>
        <w:t>.</w:t>
      </w:r>
      <w:bookmarkEnd w:id="151"/>
      <w:bookmarkEnd w:id="152"/>
      <w:bookmarkEnd w:id="153"/>
      <w:bookmarkEnd w:id="156"/>
    </w:p>
    <w:p w14:paraId="1E72B5DE" w14:textId="5EF06ABF" w:rsidR="00AE5EA7" w:rsidRDefault="00461C7B" w:rsidP="00D01E0D">
      <w:pPr>
        <w:pStyle w:val="Heading2Text"/>
      </w:pPr>
      <w:r w:rsidRPr="0027789B">
        <w:t xml:space="preserve">Seller </w:t>
      </w:r>
      <w:r w:rsidR="00D55637">
        <w:t>shall</w:t>
      </w:r>
      <w:r w:rsidR="00D55637" w:rsidRPr="0027789B">
        <w:t xml:space="preserve"> </w:t>
      </w:r>
      <w:r w:rsidRPr="0027789B">
        <w:t xml:space="preserve">achieve each Critical Path Development Milestone on or before the applicable </w:t>
      </w:r>
      <w:r w:rsidRPr="00C600E0">
        <w:t>deadline for achieving such Critical Path Development Milestone</w:t>
      </w:r>
      <w:r w:rsidR="00AE5EA7">
        <w:t xml:space="preserve"> specified </w:t>
      </w:r>
      <w:r w:rsidR="00D01E0D">
        <w:t>below</w:t>
      </w:r>
      <w:r w:rsidRPr="00504642">
        <w:t>.</w:t>
      </w:r>
      <w:r w:rsidRPr="00C600E0">
        <w:t xml:space="preserve"> Seller shall provide to SCE, on or before the applicable deadline to achieve each Critical</w:t>
      </w:r>
      <w:r w:rsidRPr="0027789B">
        <w:t xml:space="preserve"> Path Development Milestone, evidence that the Critical Path Development Milestone has been achieved</w:t>
      </w:r>
      <w:r>
        <w:t xml:space="preserve">. </w:t>
      </w:r>
      <w:r w:rsidRPr="0027789B">
        <w:t>Seller shall also provide any additional evidence reasonably requested by SCE that the Critical Path Development Milestone has been achieved</w:t>
      </w:r>
      <w:r>
        <w:t xml:space="preserve">. </w:t>
      </w:r>
    </w:p>
    <w:tbl>
      <w:tblPr>
        <w:tblStyle w:val="TableGrid2"/>
        <w:tblW w:w="0" w:type="auto"/>
        <w:tblLook w:val="04A0" w:firstRow="1" w:lastRow="0" w:firstColumn="1" w:lastColumn="0" w:noHBand="0" w:noVBand="1"/>
      </w:tblPr>
      <w:tblGrid>
        <w:gridCol w:w="6411"/>
        <w:gridCol w:w="2939"/>
      </w:tblGrid>
      <w:tr w:rsidR="00410B6C" w:rsidRPr="00D179FA" w14:paraId="41DA91C4" w14:textId="77777777" w:rsidTr="00DE74E5">
        <w:tc>
          <w:tcPr>
            <w:tcW w:w="0" w:type="auto"/>
          </w:tcPr>
          <w:p w14:paraId="1A1EBB8F" w14:textId="77777777" w:rsidR="00DE74E5" w:rsidRPr="008564FD" w:rsidRDefault="00DE74E5" w:rsidP="00DE74E5">
            <w:pPr>
              <w:jc w:val="center"/>
              <w:rPr>
                <w:rFonts w:ascii="Times New Roman" w:hAnsi="Times New Roman" w:cs="Times New Roman"/>
                <w:b/>
              </w:rPr>
            </w:pPr>
            <w:r w:rsidRPr="008564FD">
              <w:rPr>
                <w:b/>
              </w:rPr>
              <w:t>Critical Path Development Milestone</w:t>
            </w:r>
          </w:p>
        </w:tc>
        <w:tc>
          <w:tcPr>
            <w:tcW w:w="0" w:type="auto"/>
          </w:tcPr>
          <w:p w14:paraId="280E2628" w14:textId="77777777" w:rsidR="00DE74E5" w:rsidRPr="008564FD" w:rsidRDefault="00DE74E5" w:rsidP="00DE74E5">
            <w:pPr>
              <w:jc w:val="center"/>
              <w:rPr>
                <w:rFonts w:ascii="Times New Roman" w:hAnsi="Times New Roman" w:cs="Times New Roman"/>
                <w:b/>
              </w:rPr>
            </w:pPr>
            <w:r w:rsidRPr="008564FD">
              <w:rPr>
                <w:b/>
              </w:rPr>
              <w:t>Deadline to achieve Critical Path Development Milestone</w:t>
            </w:r>
          </w:p>
        </w:tc>
      </w:tr>
      <w:tr w:rsidR="00410B6C" w:rsidRPr="00D179FA" w14:paraId="7ABF8BD7" w14:textId="77777777" w:rsidTr="00DE74E5">
        <w:trPr>
          <w:trHeight w:val="935"/>
        </w:trPr>
        <w:tc>
          <w:tcPr>
            <w:tcW w:w="0" w:type="auto"/>
          </w:tcPr>
          <w:p w14:paraId="7916DFBF" w14:textId="77777777" w:rsidR="00DE74E5" w:rsidRPr="008564FD" w:rsidRDefault="00DE74E5" w:rsidP="00DE74E5">
            <w:pPr>
              <w:rPr>
                <w:rFonts w:ascii="Times New Roman" w:hAnsi="Times New Roman" w:cs="Times New Roman"/>
                <w:iCs/>
              </w:rPr>
            </w:pPr>
            <w:r w:rsidRPr="008564FD">
              <w:rPr>
                <w:iCs/>
              </w:rPr>
              <w:t>Receive a completed Phase I Interconnection Study (or equivalent) that can meet the Contract Capacity of the Project</w:t>
            </w:r>
          </w:p>
        </w:tc>
        <w:tc>
          <w:tcPr>
            <w:tcW w:w="0" w:type="auto"/>
          </w:tcPr>
          <w:p w14:paraId="7D929087" w14:textId="77777777" w:rsidR="00DE74E5" w:rsidRPr="008564FD" w:rsidRDefault="00DE74E5" w:rsidP="00DE74E5">
            <w:pPr>
              <w:rPr>
                <w:rFonts w:ascii="Times New Roman" w:hAnsi="Times New Roman" w:cs="Times New Roman"/>
              </w:rPr>
            </w:pPr>
            <w:r w:rsidRPr="008564FD">
              <w:rPr>
                <w:iCs/>
              </w:rPr>
              <w:t>Eighteen (18) months prior to the Expected Initial Delivery Date</w:t>
            </w:r>
          </w:p>
        </w:tc>
      </w:tr>
      <w:tr w:rsidR="00410B6C" w:rsidRPr="00D179FA" w14:paraId="224CF737" w14:textId="77777777" w:rsidTr="00DE74E5">
        <w:trPr>
          <w:trHeight w:val="728"/>
        </w:trPr>
        <w:tc>
          <w:tcPr>
            <w:tcW w:w="0" w:type="auto"/>
          </w:tcPr>
          <w:p w14:paraId="2164C09A" w14:textId="77777777" w:rsidR="00DE74E5" w:rsidRPr="008564FD" w:rsidRDefault="00DE74E5" w:rsidP="00DE74E5">
            <w:pPr>
              <w:rPr>
                <w:rFonts w:ascii="Times New Roman" w:hAnsi="Times New Roman" w:cs="Times New Roman"/>
                <w:iCs/>
              </w:rPr>
            </w:pPr>
            <w:r w:rsidRPr="008564FD">
              <w:rPr>
                <w:iCs/>
              </w:rPr>
              <w:t>File for all material Permits for the Project needed to meet the Contract Capacity</w:t>
            </w:r>
          </w:p>
        </w:tc>
        <w:tc>
          <w:tcPr>
            <w:tcW w:w="0" w:type="auto"/>
          </w:tcPr>
          <w:p w14:paraId="313D9369" w14:textId="77777777" w:rsidR="00DE74E5" w:rsidRPr="008564FD" w:rsidRDefault="00DE74E5" w:rsidP="00DE74E5">
            <w:pPr>
              <w:rPr>
                <w:rFonts w:ascii="Times New Roman" w:hAnsi="Times New Roman" w:cs="Times New Roman"/>
                <w:b/>
              </w:rPr>
            </w:pPr>
            <w:r w:rsidRPr="008564FD">
              <w:rPr>
                <w:iCs/>
              </w:rPr>
              <w:t>Twelve (12) months prior to the Expected Initial Delivery Date</w:t>
            </w:r>
          </w:p>
        </w:tc>
      </w:tr>
      <w:tr w:rsidR="00410B6C" w:rsidRPr="00D179FA" w14:paraId="7D12ECE8" w14:textId="77777777" w:rsidTr="00DE74E5">
        <w:trPr>
          <w:trHeight w:val="1322"/>
        </w:trPr>
        <w:tc>
          <w:tcPr>
            <w:tcW w:w="0" w:type="auto"/>
          </w:tcPr>
          <w:p w14:paraId="7DB4CB2C" w14:textId="77777777" w:rsidR="00DE74E5" w:rsidRPr="008564FD" w:rsidRDefault="00DE74E5" w:rsidP="00DE74E5">
            <w:pPr>
              <w:rPr>
                <w:rFonts w:ascii="Times New Roman" w:hAnsi="Times New Roman" w:cs="Times New Roman"/>
                <w:iCs/>
              </w:rPr>
            </w:pPr>
            <w:r w:rsidRPr="008564FD">
              <w:rPr>
                <w:iCs/>
              </w:rPr>
              <w:lastRenderedPageBreak/>
              <w:t>Receive a completed Phase II Interconnection Study (or equivalent) that can meet the Contract Capacity of the Project</w:t>
            </w:r>
          </w:p>
        </w:tc>
        <w:tc>
          <w:tcPr>
            <w:tcW w:w="0" w:type="auto"/>
          </w:tcPr>
          <w:p w14:paraId="1BE36128" w14:textId="77777777" w:rsidR="00DE74E5" w:rsidRPr="008564FD" w:rsidRDefault="00DE74E5" w:rsidP="00DE74E5">
            <w:pPr>
              <w:rPr>
                <w:rFonts w:ascii="Times New Roman" w:hAnsi="Times New Roman" w:cs="Times New Roman"/>
                <w:b/>
              </w:rPr>
            </w:pPr>
            <w:r w:rsidRPr="008564FD">
              <w:rPr>
                <w:iCs/>
              </w:rPr>
              <w:t>Twelve (12) months prior to the Expected Initial Delivery Date</w:t>
            </w:r>
          </w:p>
        </w:tc>
      </w:tr>
      <w:tr w:rsidR="00410B6C" w:rsidRPr="00D179FA" w14:paraId="4C9870B4" w14:textId="77777777" w:rsidTr="00DE74E5">
        <w:trPr>
          <w:trHeight w:val="1070"/>
        </w:trPr>
        <w:tc>
          <w:tcPr>
            <w:tcW w:w="0" w:type="auto"/>
          </w:tcPr>
          <w:p w14:paraId="5A177505" w14:textId="77777777" w:rsidR="00DE74E5" w:rsidRPr="008564FD" w:rsidRDefault="00DE74E5" w:rsidP="00DE74E5">
            <w:pPr>
              <w:rPr>
                <w:rFonts w:ascii="Times New Roman" w:hAnsi="Times New Roman" w:cs="Times New Roman"/>
                <w:iCs/>
              </w:rPr>
            </w:pPr>
            <w:r w:rsidRPr="008564FD">
              <w:rPr>
                <w:iCs/>
              </w:rPr>
              <w:t>Execute an interconnection agreement with Transmission Provider that can meet the Contract Capacity for the Project</w:t>
            </w:r>
          </w:p>
        </w:tc>
        <w:tc>
          <w:tcPr>
            <w:tcW w:w="0" w:type="auto"/>
          </w:tcPr>
          <w:p w14:paraId="50F11AA8" w14:textId="4A820714" w:rsidR="00DE74E5" w:rsidRPr="008564FD" w:rsidRDefault="00DE74E5" w:rsidP="00DE74E5">
            <w:pPr>
              <w:rPr>
                <w:rFonts w:ascii="Times New Roman" w:hAnsi="Times New Roman" w:cs="Times New Roman"/>
                <w:b/>
              </w:rPr>
            </w:pPr>
            <w:r w:rsidRPr="008564FD">
              <w:rPr>
                <w:iCs/>
              </w:rPr>
              <w:t>Nine (9) months prior to the Expected Initial Delivery Date</w:t>
            </w:r>
          </w:p>
        </w:tc>
      </w:tr>
      <w:tr w:rsidR="00410B6C" w:rsidRPr="00D179FA" w14:paraId="1FE4A9DB" w14:textId="77777777" w:rsidTr="00DE74E5">
        <w:trPr>
          <w:trHeight w:val="980"/>
        </w:trPr>
        <w:tc>
          <w:tcPr>
            <w:tcW w:w="0" w:type="auto"/>
          </w:tcPr>
          <w:p w14:paraId="0F2882C9" w14:textId="5E00F582" w:rsidR="00DE74E5" w:rsidRPr="008564FD" w:rsidRDefault="00DE74E5" w:rsidP="00DE74E5">
            <w:pPr>
              <w:rPr>
                <w:rFonts w:ascii="Times New Roman" w:hAnsi="Times New Roman" w:cs="Times New Roman"/>
                <w:iCs/>
              </w:rPr>
            </w:pPr>
            <w:r w:rsidRPr="008564FD">
              <w:rPr>
                <w:iCs/>
              </w:rPr>
              <w:t>Execute purchase order for</w:t>
            </w:r>
            <w:r w:rsidR="00410B6C">
              <w:rPr>
                <w:iCs/>
              </w:rPr>
              <w:t xml:space="preserve"> </w:t>
            </w:r>
            <w:r w:rsidR="00C75B05">
              <w:rPr>
                <w:iCs/>
              </w:rPr>
              <w:t xml:space="preserve">the </w:t>
            </w:r>
            <w:r w:rsidR="00410B6C">
              <w:rPr>
                <w:iCs/>
              </w:rPr>
              <w:t>battery system, inverter(s) and transformer(s)</w:t>
            </w:r>
            <w:r w:rsidRPr="008564FD">
              <w:rPr>
                <w:iCs/>
              </w:rPr>
              <w:t xml:space="preserve"> </w:t>
            </w:r>
            <w:r w:rsidR="005A37EB" w:rsidRPr="008564FD">
              <w:rPr>
                <w:i/>
                <w:color w:val="0000FF"/>
              </w:rPr>
              <w:t>{SCE Note: TBD Major Equipment}</w:t>
            </w:r>
            <w:r w:rsidRPr="008564FD">
              <w:rPr>
                <w:iCs/>
              </w:rPr>
              <w:t xml:space="preserve"> needed to construct the Project at a size equal to the Contract Capacity</w:t>
            </w:r>
          </w:p>
        </w:tc>
        <w:tc>
          <w:tcPr>
            <w:tcW w:w="0" w:type="auto"/>
          </w:tcPr>
          <w:p w14:paraId="202E00E2" w14:textId="77777777" w:rsidR="00DE74E5" w:rsidRPr="008564FD" w:rsidRDefault="00DE74E5" w:rsidP="00DE74E5">
            <w:pPr>
              <w:rPr>
                <w:rFonts w:ascii="Times New Roman" w:hAnsi="Times New Roman" w:cs="Times New Roman"/>
                <w:i/>
                <w:iCs/>
                <w:color w:val="0000FF"/>
              </w:rPr>
            </w:pPr>
            <w:r w:rsidRPr="008564FD">
              <w:rPr>
                <w:iCs/>
              </w:rPr>
              <w:t>Six (6) months prior to the Expected Initial Delivery Date</w:t>
            </w:r>
          </w:p>
        </w:tc>
      </w:tr>
      <w:tr w:rsidR="00410B6C" w:rsidRPr="00D179FA" w14:paraId="20F13530" w14:textId="77777777" w:rsidTr="00DE74E5">
        <w:trPr>
          <w:trHeight w:val="791"/>
        </w:trPr>
        <w:tc>
          <w:tcPr>
            <w:tcW w:w="0" w:type="auto"/>
          </w:tcPr>
          <w:p w14:paraId="2255028A" w14:textId="77777777" w:rsidR="00DE74E5" w:rsidRPr="008564FD" w:rsidRDefault="00DE74E5" w:rsidP="00DE74E5">
            <w:pPr>
              <w:rPr>
                <w:rFonts w:ascii="Times New Roman" w:hAnsi="Times New Roman" w:cs="Times New Roman"/>
                <w:iCs/>
              </w:rPr>
            </w:pPr>
            <w:r w:rsidRPr="008564FD">
              <w:rPr>
                <w:iCs/>
              </w:rPr>
              <w:t>Obtain all material Permits for the Project needed to meet the Contract Capacity</w:t>
            </w:r>
          </w:p>
        </w:tc>
        <w:tc>
          <w:tcPr>
            <w:tcW w:w="0" w:type="auto"/>
          </w:tcPr>
          <w:p w14:paraId="324F22A7" w14:textId="77777777" w:rsidR="00DE74E5" w:rsidRPr="008564FD" w:rsidRDefault="00DE74E5" w:rsidP="00DE74E5">
            <w:pPr>
              <w:rPr>
                <w:rFonts w:ascii="Times New Roman" w:hAnsi="Times New Roman" w:cs="Times New Roman"/>
                <w:i/>
                <w:iCs/>
                <w:color w:val="0000FF"/>
              </w:rPr>
            </w:pPr>
            <w:r w:rsidRPr="008564FD">
              <w:rPr>
                <w:iCs/>
              </w:rPr>
              <w:t>One (1) month prior to the Expected Initial Delivery Date</w:t>
            </w:r>
          </w:p>
        </w:tc>
      </w:tr>
    </w:tbl>
    <w:p w14:paraId="42A37DDF" w14:textId="77777777" w:rsidR="00D01E0D" w:rsidRPr="00635483" w:rsidRDefault="00D01E0D" w:rsidP="00D01E0D">
      <w:pPr>
        <w:pStyle w:val="Heading2Text"/>
      </w:pPr>
      <w:bookmarkStart w:id="157" w:name="_Toc470855938"/>
      <w:r>
        <w:t xml:space="preserve">If </w:t>
      </w:r>
      <w:r w:rsidRPr="00635483">
        <w:t xml:space="preserve">Seller fails to achieve a Critical Path Development Milestone on or before the applicable deadline Seller may cure such failure; provided, that </w:t>
      </w:r>
    </w:p>
    <w:p w14:paraId="1520B426" w14:textId="2DDDC5CB" w:rsidR="00D01E0D" w:rsidRDefault="00D01E0D" w:rsidP="00D01E0D">
      <w:pPr>
        <w:pStyle w:val="Heading3"/>
        <w:rPr>
          <w:rFonts w:eastAsia="Fd177276-Identity-H"/>
        </w:rPr>
      </w:pPr>
      <w:r>
        <w:rPr>
          <w:rFonts w:eastAsia="Fd177276-Identity-H"/>
        </w:rPr>
        <w:t>W</w:t>
      </w:r>
      <w:r w:rsidRPr="00867921">
        <w:rPr>
          <w:rFonts w:eastAsia="Fd177276-Identity-H"/>
        </w:rPr>
        <w:t>ithin ten (10) Business Days after any such failure, Seller either (</w:t>
      </w:r>
      <w:r>
        <w:rPr>
          <w:rFonts w:eastAsia="Fd177276-Identity-H"/>
        </w:rPr>
        <w:t>i</w:t>
      </w:r>
      <w:r w:rsidRPr="00867921">
        <w:rPr>
          <w:rFonts w:eastAsia="Fd177276-Identity-H"/>
        </w:rPr>
        <w:t>) completes the Critical Path Development Milestone or (</w:t>
      </w:r>
      <w:r>
        <w:rPr>
          <w:rFonts w:eastAsia="Fd177276-Identity-H"/>
        </w:rPr>
        <w:t>ii</w:t>
      </w:r>
      <w:r w:rsidRPr="00867921">
        <w:rPr>
          <w:rFonts w:eastAsia="Fd177276-Identity-H"/>
        </w:rPr>
        <w:t>) submits to SCE (</w:t>
      </w:r>
      <w:r>
        <w:rPr>
          <w:rFonts w:eastAsia="Fd177276-Identity-H"/>
        </w:rPr>
        <w:t>A</w:t>
      </w:r>
      <w:r w:rsidRPr="00867921">
        <w:rPr>
          <w:rFonts w:eastAsia="Fd177276-Identity-H"/>
        </w:rPr>
        <w:t>) a written description of the reason for the failure, (</w:t>
      </w:r>
      <w:r>
        <w:rPr>
          <w:rFonts w:eastAsia="Fd177276-Identity-H"/>
        </w:rPr>
        <w:t>B</w:t>
      </w:r>
      <w:r w:rsidRPr="00867921">
        <w:rPr>
          <w:rFonts w:eastAsia="Fd177276-Identity-H"/>
        </w:rPr>
        <w:t>) the date Seller expects it will achieve completion of the missed Critical Path Development Milestone (“</w:t>
      </w:r>
      <w:r w:rsidR="00D55637">
        <w:rPr>
          <w:u w:val="single"/>
        </w:rPr>
        <w:t>CPD</w:t>
      </w:r>
      <w:r w:rsidRPr="00FF157D">
        <w:rPr>
          <w:u w:val="single"/>
        </w:rPr>
        <w:t xml:space="preserve"> Milestone Extension Date</w:t>
      </w:r>
      <w:r w:rsidRPr="00867921">
        <w:rPr>
          <w:rFonts w:eastAsia="Fd177276-Identity-H"/>
        </w:rPr>
        <w:t>”), and (</w:t>
      </w:r>
      <w:r>
        <w:rPr>
          <w:rFonts w:eastAsia="Fd177276-Identity-H"/>
        </w:rPr>
        <w:t>C</w:t>
      </w:r>
      <w:r w:rsidRPr="00867921">
        <w:rPr>
          <w:rFonts w:eastAsia="Fd177276-Identity-H"/>
        </w:rPr>
        <w:t>) a written recovery plan for completing all necessary work to achieve completion of the missed Critical Path Development Milestone, the remaining Critical Path Development Milestones, and Initial Delivery by the Expected Initial Delivery Date (the “</w:t>
      </w:r>
      <w:r w:rsidRPr="00FF157D">
        <w:rPr>
          <w:u w:val="single"/>
        </w:rPr>
        <w:t>Recovery Plan</w:t>
      </w:r>
      <w:r w:rsidRPr="00867921">
        <w:rPr>
          <w:rFonts w:eastAsia="Fd177276-Identity-H"/>
        </w:rPr>
        <w:t>”)</w:t>
      </w:r>
      <w:r>
        <w:rPr>
          <w:rFonts w:eastAsia="Fd177276-Identity-H"/>
        </w:rPr>
        <w:t xml:space="preserve">. </w:t>
      </w:r>
      <w:r w:rsidR="00B058DD">
        <w:t xml:space="preserve">The Recovery Plan shall also include an updated </w:t>
      </w:r>
      <w:r w:rsidR="00B058DD">
        <w:rPr>
          <w:u w:val="single"/>
        </w:rPr>
        <w:t>milestone schedule</w:t>
      </w:r>
      <w:r w:rsidR="00B058DD">
        <w:t xml:space="preserve"> with revised dates for each remaining Critical Path Development Milestone, which updated </w:t>
      </w:r>
      <w:r w:rsidR="00B058DD">
        <w:rPr>
          <w:u w:val="single"/>
        </w:rPr>
        <w:t>milestone schedule</w:t>
      </w:r>
      <w:r w:rsidR="00B058DD">
        <w:t xml:space="preserve"> shall be subject to acceptance by SCE, in its reasonable discretion.</w:t>
      </w:r>
    </w:p>
    <w:p w14:paraId="22ABCB02" w14:textId="77777777" w:rsidR="00D01E0D" w:rsidRDefault="00D01E0D" w:rsidP="00D01E0D">
      <w:pPr>
        <w:pStyle w:val="Heading3"/>
        <w:rPr>
          <w:rFonts w:eastAsia="Fd177276-Identity-H"/>
        </w:rPr>
      </w:pPr>
      <w:r w:rsidRPr="00867921">
        <w:rPr>
          <w:rFonts w:eastAsia="Fd177276-Identity-H"/>
        </w:rPr>
        <w:t>Seller shall commence the work contemplated by the Recovery Plan within five (5) days after submitting such Recovery Plan to SCE</w:t>
      </w:r>
      <w:r>
        <w:rPr>
          <w:rFonts w:eastAsia="Fd177276-Identity-H"/>
        </w:rPr>
        <w:t xml:space="preserve">. </w:t>
      </w:r>
    </w:p>
    <w:p w14:paraId="3397BDDB" w14:textId="77777777" w:rsidR="00D01E0D" w:rsidRDefault="00D01E0D" w:rsidP="00D01E0D">
      <w:pPr>
        <w:pStyle w:val="Heading3"/>
      </w:pPr>
      <w:r w:rsidRPr="002F5C7B">
        <w:t xml:space="preserve">Seller shall be solely responsible for any costs or expenses incurred by Seller as a result of the formulation and implementation of the Recovery Plan. </w:t>
      </w:r>
    </w:p>
    <w:p w14:paraId="5F5B41E4" w14:textId="39BB112E" w:rsidR="00D01E0D" w:rsidRDefault="00D01E0D" w:rsidP="00D01E0D">
      <w:pPr>
        <w:pStyle w:val="Heading3"/>
      </w:pPr>
      <w:r w:rsidRPr="00867921">
        <w:t>If Seller fails in any material respect</w:t>
      </w:r>
      <w:r>
        <w:t xml:space="preserve">, </w:t>
      </w:r>
      <w:r w:rsidRPr="002F5C7B">
        <w:t>as reasonably determined by SCE,</w:t>
      </w:r>
      <w:r w:rsidRPr="00867921">
        <w:t xml:space="preserve"> to: (</w:t>
      </w:r>
      <w:r>
        <w:t>i</w:t>
      </w:r>
      <w:r w:rsidRPr="00867921">
        <w:t xml:space="preserve">) meet the requirements of the Recovery </w:t>
      </w:r>
      <w:r w:rsidRPr="009676F1">
        <w:t>Plan; (</w:t>
      </w:r>
      <w:r>
        <w:t>ii</w:t>
      </w:r>
      <w:r w:rsidRPr="009676F1">
        <w:t>) make sufficient progress in effecting the Recovery Plan; or (</w:t>
      </w:r>
      <w:r>
        <w:t>iii</w:t>
      </w:r>
      <w:r w:rsidRPr="009676F1">
        <w:t xml:space="preserve">) achieve completion of the missed Critical Path Development Milestone by the </w:t>
      </w:r>
      <w:r w:rsidR="00D55637">
        <w:t>CPD</w:t>
      </w:r>
      <w:r w:rsidRPr="009676F1">
        <w:t xml:space="preserve"> Milestone Extension Dat</w:t>
      </w:r>
      <w:r w:rsidRPr="002F5C7B">
        <w:t>e, such failure shall not be subject to a further attempt to cure</w:t>
      </w:r>
      <w:r w:rsidR="008E6FCF">
        <w:t>.</w:t>
      </w:r>
    </w:p>
    <w:p w14:paraId="4AFB9EAB" w14:textId="77777777" w:rsidR="00D01E0D" w:rsidRDefault="00D01E0D" w:rsidP="00D01E0D">
      <w:pPr>
        <w:pStyle w:val="Heading3"/>
      </w:pPr>
      <w:r w:rsidRPr="002F5C7B">
        <w:lastRenderedPageBreak/>
        <w:t xml:space="preserve">Seller may cure </w:t>
      </w:r>
      <w:r>
        <w:t>a failure under</w:t>
      </w:r>
      <w:r w:rsidRPr="002F5C7B">
        <w:t xml:space="preserve"> this Section </w:t>
      </w:r>
      <w:r>
        <w:t>4.07</w:t>
      </w:r>
      <w:r w:rsidRPr="009676F1">
        <w:t xml:space="preserve"> only once during the Term</w:t>
      </w:r>
      <w:r>
        <w:t>.</w:t>
      </w:r>
    </w:p>
    <w:p w14:paraId="71BB459F" w14:textId="588EF13E" w:rsidR="00D01E0D" w:rsidRDefault="00D01E0D" w:rsidP="00DB7FE0">
      <w:pPr>
        <w:pStyle w:val="Heading2Text"/>
      </w:pPr>
      <w:r w:rsidRPr="002F5C7B">
        <w:t xml:space="preserve">Nothing in this Section </w:t>
      </w:r>
      <w:r>
        <w:t>4.07</w:t>
      </w:r>
      <w:r w:rsidRPr="002F5C7B">
        <w:t xml:space="preserve"> shall be construed to: (</w:t>
      </w:r>
      <w:r>
        <w:t>x</w:t>
      </w:r>
      <w:r w:rsidRPr="002F5C7B">
        <w:t>) relieve Seller of its obligations under this Agreement; (</w:t>
      </w:r>
      <w:r>
        <w:t>y</w:t>
      </w:r>
      <w:r w:rsidRPr="002F5C7B">
        <w:t>) modify the deadlines for achieving the remaining Critical Path Development Milestones (</w:t>
      </w:r>
      <w:r w:rsidR="008E6FCF">
        <w:t xml:space="preserve">except for the one-time update to the milestone schedule pursuant to Section 4.07(a) above and </w:t>
      </w:r>
      <w:r w:rsidRPr="002F5C7B">
        <w:t xml:space="preserve">the missed Critical Path Development Milestone which Seller is attempting to cure under this Section </w:t>
      </w:r>
      <w:r>
        <w:t>4.07</w:t>
      </w:r>
      <w:r w:rsidR="008E6FCF">
        <w:t>)</w:t>
      </w:r>
      <w:r w:rsidRPr="002F5C7B">
        <w:t>; or (</w:t>
      </w:r>
      <w:r>
        <w:t>z</w:t>
      </w:r>
      <w:r w:rsidRPr="002F5C7B">
        <w:t>) relieve Seller of its obligation to timely achieve Initial Delivery by the Expected Initial Delivery Date.</w:t>
      </w:r>
    </w:p>
    <w:p w14:paraId="3EFC5B2B" w14:textId="42228A16" w:rsidR="00461C7B" w:rsidRPr="0027789B" w:rsidRDefault="00461C7B" w:rsidP="00461C7B">
      <w:pPr>
        <w:pStyle w:val="Heading1"/>
        <w:keepNext w:val="0"/>
        <w:keepLines w:val="0"/>
      </w:pPr>
      <w:bookmarkStart w:id="158" w:name="_Toc510788253"/>
      <w:r w:rsidRPr="0027789B">
        <w:t>interconnection</w:t>
      </w:r>
      <w:bookmarkEnd w:id="157"/>
      <w:r>
        <w:t xml:space="preserve">; </w:t>
      </w:r>
      <w:r w:rsidR="00EF566B">
        <w:t>Metering; T</w:t>
      </w:r>
      <w:r>
        <w:t>esting</w:t>
      </w:r>
      <w:bookmarkEnd w:id="158"/>
    </w:p>
    <w:p w14:paraId="2862E4E6" w14:textId="650B98B2" w:rsidR="00461C7B" w:rsidRDefault="00461C7B" w:rsidP="00461C7B">
      <w:pPr>
        <w:pStyle w:val="Heading2"/>
        <w:keepNext w:val="0"/>
        <w:keepLines w:val="0"/>
        <w:rPr>
          <w:u w:val="none"/>
        </w:rPr>
      </w:pPr>
      <w:bookmarkStart w:id="159" w:name="_Toc510788254"/>
      <w:bookmarkStart w:id="160" w:name="_Toc467577487"/>
      <w:bookmarkStart w:id="161" w:name="_Toc470014747"/>
      <w:bookmarkStart w:id="162" w:name="_Toc470855939"/>
      <w:bookmarkStart w:id="163" w:name="_Toc467577489"/>
      <w:bookmarkStart w:id="164" w:name="_Toc470014749"/>
      <w:bookmarkStart w:id="165" w:name="_Toc470855941"/>
      <w:r w:rsidRPr="00461C7B">
        <w:t>Transmiss</w:t>
      </w:r>
      <w:r>
        <w:t>ion and Interconnection</w:t>
      </w:r>
      <w:r>
        <w:rPr>
          <w:u w:val="none"/>
        </w:rPr>
        <w:t>.</w:t>
      </w:r>
      <w:bookmarkEnd w:id="159"/>
    </w:p>
    <w:p w14:paraId="4CBBEC9E" w14:textId="77777777" w:rsidR="00461C7B" w:rsidRPr="00DB7FE0" w:rsidRDefault="00461C7B" w:rsidP="00461C7B">
      <w:pPr>
        <w:jc w:val="center"/>
        <w:rPr>
          <w:i/>
          <w:color w:val="0000FF"/>
        </w:rPr>
      </w:pPr>
      <w:bookmarkStart w:id="166" w:name="_Toc467577486"/>
      <w:bookmarkStart w:id="167" w:name="_Toc470014746"/>
      <w:r w:rsidRPr="00DB7FE0">
        <w:rPr>
          <w:i/>
          <w:color w:val="0000FF"/>
        </w:rPr>
        <w:t>[Subject To Change Based On Technology]</w:t>
      </w:r>
      <w:bookmarkEnd w:id="166"/>
      <w:bookmarkEnd w:id="167"/>
    </w:p>
    <w:p w14:paraId="7A89477D" w14:textId="77777777" w:rsidR="00461C7B" w:rsidRDefault="00461C7B" w:rsidP="00461C7B">
      <w:pPr>
        <w:pStyle w:val="Heading3"/>
      </w:pPr>
      <w:r w:rsidRPr="006A0011">
        <w:rPr>
          <w:u w:val="single"/>
        </w:rPr>
        <w:t>Interconnection Studies</w:t>
      </w:r>
      <w:r w:rsidRPr="00FF157D">
        <w:t>.</w:t>
      </w:r>
      <w:bookmarkEnd w:id="160"/>
      <w:bookmarkEnd w:id="161"/>
      <w:bookmarkEnd w:id="162"/>
    </w:p>
    <w:p w14:paraId="325C3579" w14:textId="26DA0DD5" w:rsidR="00461C7B" w:rsidRPr="0027789B" w:rsidRDefault="00461C7B" w:rsidP="00897FCC">
      <w:pPr>
        <w:pStyle w:val="Heading3Text"/>
      </w:pPr>
      <w:r w:rsidRPr="0027789B">
        <w:t>Seller represents and warrants that, as of the Effective Date, Seller has provided SCE with true and correct, up-to-date copies of all of the Interconnection Studies</w:t>
      </w:r>
      <w:r w:rsidR="00AD3D73">
        <w:t>, if any,</w:t>
      </w:r>
      <w:r w:rsidRPr="0027789B">
        <w:t xml:space="preserve"> to enable delivery of the Storage Unit(s)’ output to the Interconnection Point pursuant to Applicable Laws and to enable Seller to provide the Product to SCE</w:t>
      </w:r>
      <w:r>
        <w:t xml:space="preserve">. </w:t>
      </w:r>
      <w:r w:rsidRPr="0027789B">
        <w:t>Seller shall be responsible for all fees and costs associated with the following:</w:t>
      </w:r>
    </w:p>
    <w:p w14:paraId="167C2951" w14:textId="77777777" w:rsidR="00461C7B" w:rsidRPr="0027789B" w:rsidRDefault="00461C7B" w:rsidP="00461C7B">
      <w:pPr>
        <w:pStyle w:val="Heading4"/>
      </w:pPr>
      <w:r w:rsidRPr="0027789B">
        <w:t>Obtaining all Interconnection Studies;</w:t>
      </w:r>
    </w:p>
    <w:p w14:paraId="3449D168" w14:textId="77777777" w:rsidR="00461C7B" w:rsidRPr="0027789B" w:rsidRDefault="00461C7B" w:rsidP="00461C7B">
      <w:pPr>
        <w:pStyle w:val="Heading4"/>
      </w:pPr>
      <w:r w:rsidRPr="0027789B">
        <w:t>Maintaining, complying with and performing Seller’s obligations under all agreements associated with the Interconnection Facilities</w:t>
      </w:r>
      <w:r w:rsidRPr="0027789B" w:rsidDel="00A539D7">
        <w:t xml:space="preserve"> </w:t>
      </w:r>
      <w:r w:rsidRPr="0027789B">
        <w:t>and related documents throughout the Delivery Period;</w:t>
      </w:r>
    </w:p>
    <w:p w14:paraId="0EF3597A" w14:textId="0198F981" w:rsidR="00461C7B" w:rsidRPr="0027789B" w:rsidRDefault="00461C7B" w:rsidP="00461C7B">
      <w:pPr>
        <w:pStyle w:val="Heading4"/>
      </w:pPr>
      <w:r w:rsidRPr="0027789B">
        <w:t xml:space="preserve">Funding for any </w:t>
      </w:r>
      <w:r w:rsidR="00F8550B" w:rsidRPr="0027789B">
        <w:t>apparatus, modifications, and upgrades to the Transmission Provider’s electric system, the CAISO Controlled Grid or, if applicable, participating transmission owner’s system that are required at or beyond the Interconnection Point to accommodate the Project’s output</w:t>
      </w:r>
      <w:r w:rsidR="00CE6835">
        <w:t xml:space="preserve"> (“</w:t>
      </w:r>
      <w:r w:rsidRPr="00DB7FE0">
        <w:rPr>
          <w:u w:val="single"/>
        </w:rPr>
        <w:t>Network Upgrades</w:t>
      </w:r>
      <w:r w:rsidR="00CE6835">
        <w:t>”)</w:t>
      </w:r>
      <w:r w:rsidRPr="0027789B">
        <w:t xml:space="preserve"> (any refund of such fees and costs will be consistent with the CAISO Tariff);</w:t>
      </w:r>
    </w:p>
    <w:p w14:paraId="28BC56DE" w14:textId="2CD7DB8F" w:rsidR="00461C7B" w:rsidRPr="0027789B" w:rsidRDefault="00461C7B" w:rsidP="00461C7B">
      <w:pPr>
        <w:pStyle w:val="Heading4"/>
      </w:pPr>
      <w:r w:rsidRPr="0027789B">
        <w:t>Any Interconnection Facilities; and</w:t>
      </w:r>
    </w:p>
    <w:p w14:paraId="5C5D494E" w14:textId="77777777" w:rsidR="00461C7B" w:rsidRPr="0027789B" w:rsidRDefault="00461C7B" w:rsidP="00461C7B">
      <w:pPr>
        <w:pStyle w:val="Heading4"/>
      </w:pPr>
      <w:r w:rsidRPr="0027789B">
        <w:t>All costs (including interconnection costs and transmission losses) arising from, relating to or associated with any interconnection agreement under which Energy from the Project is transmitted to the CAISO Controlled Grid.</w:t>
      </w:r>
    </w:p>
    <w:p w14:paraId="01D21A32" w14:textId="77777777" w:rsidR="00461C7B" w:rsidRDefault="00461C7B" w:rsidP="00461C7B">
      <w:pPr>
        <w:pStyle w:val="Heading3"/>
      </w:pPr>
      <w:bookmarkStart w:id="168" w:name="_Toc467577488"/>
      <w:bookmarkStart w:id="169" w:name="_Toc470014748"/>
      <w:bookmarkStart w:id="170" w:name="_Toc470855940"/>
      <w:r w:rsidRPr="006A0011">
        <w:rPr>
          <w:u w:val="single"/>
        </w:rPr>
        <w:lastRenderedPageBreak/>
        <w:t>SCE Termination Right – Excess Network Upgrade Costs</w:t>
      </w:r>
      <w:r w:rsidRPr="00FF157D">
        <w:t>.</w:t>
      </w:r>
      <w:bookmarkEnd w:id="168"/>
      <w:bookmarkEnd w:id="169"/>
      <w:bookmarkEnd w:id="170"/>
    </w:p>
    <w:p w14:paraId="5EF87E22" w14:textId="77777777" w:rsidR="00461C7B" w:rsidRPr="0027789B" w:rsidRDefault="00461C7B" w:rsidP="00DB7FE0">
      <w:pPr>
        <w:pStyle w:val="Heading4"/>
      </w:pPr>
      <w:r w:rsidRPr="0027789B">
        <w:t xml:space="preserve">SCE has the right to terminate this Agreement on Notice, which will be effective five (5) Business Days after such Notice is given to Seller, on or before the date that is sixty (60) days after Seller provides to SCE the results of any Interconnection Study or interconnection agreement tendered to Seller (including any agreement </w:t>
      </w:r>
      <w:r w:rsidRPr="00897FCC">
        <w:t>tendered</w:t>
      </w:r>
      <w:r w:rsidRPr="0027789B">
        <w:t xml:space="preserve"> for interconnecting, or establishing service for, the Project for purposes of charging the Project with electric energy) by the Transmission Provider if:</w:t>
      </w:r>
    </w:p>
    <w:p w14:paraId="7E0BD45C" w14:textId="77777777" w:rsidR="00461C7B" w:rsidRPr="0027789B" w:rsidRDefault="00461C7B" w:rsidP="00DB7FE0">
      <w:pPr>
        <w:pStyle w:val="Heading5"/>
      </w:pPr>
      <w:r w:rsidRPr="0027789B">
        <w:t>Such Interconnection Study or agreement as of the date of the termination Notice, estimates, includes, specifies or reflects that the maximum total cost of transmission upgrades or new transmission facilities that are, or may become, reimbursable by SCE, the CAISO, or any Transmission Provider under the jurisdiction of the CAISO, to Seller (“</w:t>
      </w:r>
      <w:r w:rsidRPr="00681382">
        <w:rPr>
          <w:u w:val="single"/>
        </w:rPr>
        <w:t>Aggregate Network Upgrade Costs</w:t>
      </w:r>
      <w:r w:rsidRPr="00681382">
        <w:t xml:space="preserve">”), may in the aggregate exceed </w:t>
      </w:r>
      <w:r w:rsidRPr="00DB7FE0">
        <w:rPr>
          <w:i/>
          <w:color w:val="0000FF"/>
        </w:rPr>
        <w:t>[dollar amount text]</w:t>
      </w:r>
      <w:r w:rsidRPr="00681382">
        <w:t xml:space="preserve"> dollars ($</w:t>
      </w:r>
      <w:r w:rsidRPr="00DB7FE0">
        <w:rPr>
          <w:i/>
          <w:color w:val="0000FF"/>
        </w:rPr>
        <w:t>[Number]</w:t>
      </w:r>
      <w:r w:rsidRPr="00681382">
        <w:t>) (“</w:t>
      </w:r>
      <w:r w:rsidRPr="00681382">
        <w:rPr>
          <w:u w:val="single"/>
        </w:rPr>
        <w:t>Network Upgrades Cap</w:t>
      </w:r>
      <w:r w:rsidRPr="00681382">
        <w:t xml:space="preserve">”), irrespective of any subsequent amendments of such Interconnection Study or agreement or any contingencies or assumptions upon which such Interconnection Study or agreement is based; or </w:t>
      </w:r>
      <w:r w:rsidRPr="00DB7FE0">
        <w:rPr>
          <w:i/>
          <w:color w:val="0000FF"/>
        </w:rPr>
        <w:t>{SCE Note:  Monetary threshold to be based upon transmission-related costs allocated to the Project that SCE would incur as estimated in the most recent Interconnection Study, or, if applicable, on value included in Seller’s offer.}</w:t>
      </w:r>
    </w:p>
    <w:p w14:paraId="26DED0D9" w14:textId="77777777" w:rsidR="00461C7B" w:rsidRPr="0027789B" w:rsidRDefault="00461C7B" w:rsidP="00DB7FE0">
      <w:pPr>
        <w:pStyle w:val="Heading5"/>
      </w:pPr>
      <w:r w:rsidRPr="0027789B">
        <w:t>SCE must procure transmission service from any other participating transmission owner to allow SCE to Schedule electric energy from the Project and the cost for such transmission service is not reimbursed or paid by Seller.</w:t>
      </w:r>
    </w:p>
    <w:p w14:paraId="77715C84" w14:textId="77777777" w:rsidR="001D4632" w:rsidRPr="00504642" w:rsidRDefault="001D4632" w:rsidP="00DB7FE0">
      <w:pPr>
        <w:pStyle w:val="Heading4"/>
        <w:numPr>
          <w:ilvl w:val="0"/>
          <w:numId w:val="0"/>
        </w:numPr>
        <w:ind w:left="2592"/>
      </w:pPr>
      <w:r w:rsidRPr="00504642">
        <w:t>If SCE exercises its termination right pursuant to this Section 5.01(b), no Termination Payment will be due or owing by either Party and Seller will be entitled to a return of any Development Security provided to SCE.</w:t>
      </w:r>
    </w:p>
    <w:p w14:paraId="12FE0057" w14:textId="7B145CB7" w:rsidR="00D374D7" w:rsidRDefault="00461C7B" w:rsidP="00DB7FE0">
      <w:pPr>
        <w:pStyle w:val="Heading4"/>
      </w:pPr>
      <w:r w:rsidRPr="00504642">
        <w:t>Notwithstanding anything to the contrary in this Section</w:t>
      </w:r>
      <w:r w:rsidR="00504642" w:rsidRPr="00504642">
        <w:t xml:space="preserve"> 5</w:t>
      </w:r>
      <w:r w:rsidRPr="00504642">
        <w:t>.0</w:t>
      </w:r>
      <w:r w:rsidR="00504642" w:rsidRPr="00504642">
        <w:t>1(b)</w:t>
      </w:r>
      <w:r w:rsidRPr="00504642">
        <w:t>, SCE shall have no right to terminate this Agreement under this Section</w:t>
      </w:r>
      <w:r w:rsidR="00504642" w:rsidRPr="00504642">
        <w:t xml:space="preserve"> 5.01(b)</w:t>
      </w:r>
      <w:r w:rsidRPr="00504642">
        <w:t xml:space="preserve"> if Seller, concurrently with its provision of the </w:t>
      </w:r>
      <w:r w:rsidR="0019472E" w:rsidRPr="0027789B">
        <w:t xml:space="preserve">first Interconnection Study or interconnection agreement tendered to </w:t>
      </w:r>
      <w:r w:rsidR="0019472E" w:rsidRPr="0084576D">
        <w:t xml:space="preserve">Seller by the Transmission Provider that may give rise to a termination right </w:t>
      </w:r>
      <w:r w:rsidR="0019472E" w:rsidRPr="0084576D">
        <w:lastRenderedPageBreak/>
        <w:t xml:space="preserve">of SCE </w:t>
      </w:r>
      <w:r w:rsidR="0019472E" w:rsidRPr="00504642">
        <w:t xml:space="preserve">under </w:t>
      </w:r>
      <w:r w:rsidR="0019472E">
        <w:t xml:space="preserve">this </w:t>
      </w:r>
      <w:r w:rsidR="0019472E" w:rsidRPr="00504642">
        <w:t>Section 5.01(b)</w:t>
      </w:r>
      <w:r w:rsidRPr="00504642">
        <w:t xml:space="preserve">, </w:t>
      </w:r>
      <w:r w:rsidR="0019472E">
        <w:t xml:space="preserve">provides Notice to SCE that Seller </w:t>
      </w:r>
      <w:r w:rsidRPr="00504642">
        <w:t xml:space="preserve">irrevocably </w:t>
      </w:r>
      <w:r w:rsidR="0019472E">
        <w:t>elects</w:t>
      </w:r>
      <w:r w:rsidR="0019472E" w:rsidRPr="00504642">
        <w:t xml:space="preserve"> </w:t>
      </w:r>
      <w:r w:rsidR="0019472E">
        <w:t>to</w:t>
      </w:r>
      <w:r w:rsidRPr="00504642">
        <w:t xml:space="preserve"> owe to SCE</w:t>
      </w:r>
      <w:r w:rsidR="0019472E">
        <w:t>:</w:t>
      </w:r>
    </w:p>
    <w:p w14:paraId="5E8F3F9D" w14:textId="432906F6" w:rsidR="00D374D7" w:rsidRDefault="00461C7B" w:rsidP="00DB7FE0">
      <w:pPr>
        <w:pStyle w:val="Heading5"/>
      </w:pPr>
      <w:r w:rsidRPr="00504642">
        <w:t>the amount by which the Aggregate Network Upgrade Costs exceed the Network Upgrades Cap (“</w:t>
      </w:r>
      <w:r w:rsidRPr="00504642">
        <w:rPr>
          <w:u w:val="single"/>
        </w:rPr>
        <w:t>Excess Network Upgrade Costs</w:t>
      </w:r>
      <w:r w:rsidRPr="00504642">
        <w:t>”)</w:t>
      </w:r>
      <w:r w:rsidR="0019472E">
        <w:t xml:space="preserve">, </w:t>
      </w:r>
      <w:r w:rsidR="0019472E" w:rsidRPr="00504642">
        <w:t xml:space="preserve">provided, </w:t>
      </w:r>
      <w:r w:rsidR="0019472E">
        <w:t xml:space="preserve">(I) </w:t>
      </w:r>
      <w:r w:rsidR="0019472E" w:rsidRPr="00504642">
        <w:t xml:space="preserve">with respect to </w:t>
      </w:r>
      <w:r w:rsidR="0019472E">
        <w:t>this Section</w:t>
      </w:r>
      <w:r w:rsidR="0019472E" w:rsidRPr="00504642">
        <w:t xml:space="preserve"> </w:t>
      </w:r>
      <w:r w:rsidR="0019472E">
        <w:t>5.01(b)(ii)</w:t>
      </w:r>
      <w:r w:rsidR="0019472E" w:rsidRPr="00504642">
        <w:t>(</w:t>
      </w:r>
      <w:r w:rsidR="0019472E">
        <w:t>A</w:t>
      </w:r>
      <w:r w:rsidR="0019472E" w:rsidRPr="00504642">
        <w:t xml:space="preserve">), and solely for the purpose of calculating Excess Network Upgrade Costs, Aggregate Network Upgrade Costs shall be updated to reflect the latest interconnection agreement (including any amendments or modifications thereto) tendered to Seller; </w:t>
      </w:r>
      <w:r w:rsidR="0019472E">
        <w:t xml:space="preserve">and (II) </w:t>
      </w:r>
      <w:r w:rsidR="0019472E" w:rsidRPr="00504642">
        <w:t>under no circumstance shall the calculation of Excess Network Upgrade Costs be less than zero dollars ($0)</w:t>
      </w:r>
      <w:r w:rsidRPr="00504642">
        <w:t xml:space="preserve">, and </w:t>
      </w:r>
    </w:p>
    <w:p w14:paraId="3D0C6582" w14:textId="17FCDCF8" w:rsidR="00D374D7" w:rsidRDefault="00461C7B" w:rsidP="00DB7FE0">
      <w:pPr>
        <w:pStyle w:val="Heading5"/>
      </w:pPr>
      <w:r w:rsidRPr="00504642">
        <w:t xml:space="preserve">any costs for transmission services specified in Section </w:t>
      </w:r>
      <w:r w:rsidR="00504642" w:rsidRPr="00504642">
        <w:t>5</w:t>
      </w:r>
      <w:r w:rsidRPr="00504642">
        <w:t>.0</w:t>
      </w:r>
      <w:r w:rsidR="00504642" w:rsidRPr="00504642">
        <w:t>1</w:t>
      </w:r>
      <w:r w:rsidRPr="00504642">
        <w:t>(b)</w:t>
      </w:r>
      <w:r w:rsidR="00504642" w:rsidRPr="00504642">
        <w:t>(i)</w:t>
      </w:r>
      <w:r w:rsidR="00D374D7">
        <w:t>(B)</w:t>
      </w:r>
      <w:r w:rsidRPr="00504642">
        <w:t xml:space="preserve">; </w:t>
      </w:r>
    </w:p>
    <w:p w14:paraId="370F0B35" w14:textId="3234AF94" w:rsidR="0019472E" w:rsidRPr="00504642" w:rsidRDefault="0019472E" w:rsidP="0019472E">
      <w:pPr>
        <w:pStyle w:val="Heading3Text"/>
        <w:ind w:left="2592"/>
      </w:pPr>
      <w:r>
        <w:t>Seller’s</w:t>
      </w:r>
      <w:r w:rsidRPr="0084576D">
        <w:t xml:space="preserve"> failure to provide an election</w:t>
      </w:r>
      <w:r>
        <w:t xml:space="preserve"> pursuant to this</w:t>
      </w:r>
      <w:r w:rsidRPr="0084576D">
        <w:t xml:space="preserve"> </w:t>
      </w:r>
      <w:r>
        <w:t xml:space="preserve">Section 5.01(b)(ii) shall be </w:t>
      </w:r>
      <w:r w:rsidRPr="0084576D">
        <w:t>deemed to be an election not to exercise such</w:t>
      </w:r>
      <w:r w:rsidRPr="0027789B">
        <w:t xml:space="preserve"> rights</w:t>
      </w:r>
      <w:r w:rsidR="00D700F7">
        <w:t>.</w:t>
      </w:r>
    </w:p>
    <w:p w14:paraId="4CFEDF63" w14:textId="59DA6431" w:rsidR="00461C7B" w:rsidRDefault="00461C7B" w:rsidP="00DB7FE0">
      <w:pPr>
        <w:pStyle w:val="Heading3Text"/>
        <w:ind w:left="2592"/>
      </w:pPr>
      <w:r w:rsidRPr="00504642">
        <w:t>If Seller elects to pay, without reimbursement, for the Excess Network Upgrade Costs pursuant to this Section</w:t>
      </w:r>
      <w:r w:rsidR="00504642" w:rsidRPr="00504642">
        <w:t xml:space="preserve"> 5</w:t>
      </w:r>
      <w:r w:rsidRPr="00504642">
        <w:t>.0</w:t>
      </w:r>
      <w:r w:rsidR="00504642" w:rsidRPr="00504642">
        <w:t>1(b)</w:t>
      </w:r>
      <w:r w:rsidRPr="00504642">
        <w:t>, in no event shall Seller have any interest in or rights or title to any Network Upgrades or Congestion Revenue Rights in connection with the development of the Project or the delivery of Product to SCE pursuant to this Agreement.</w:t>
      </w:r>
    </w:p>
    <w:p w14:paraId="0E6A8C3B" w14:textId="029574FA" w:rsidR="00461C7B" w:rsidRPr="0027789B" w:rsidRDefault="00461C7B" w:rsidP="00DB7FE0">
      <w:pPr>
        <w:pStyle w:val="Heading4"/>
      </w:pPr>
      <w:r w:rsidRPr="00504642">
        <w:t xml:space="preserve">The Parties agree and acknowledge that there may be an Interconnection Study and interconnection agreement for charging electric energy to the Project, and a separate Interconnection Study and interconnection agreement for discharging electric energy from the Project. </w:t>
      </w:r>
      <w:r w:rsidR="00D8575F">
        <w:t xml:space="preserve">If </w:t>
      </w:r>
      <w:r w:rsidRPr="00504642">
        <w:t>there are two separate studies and agreements for charging and discharging electric energy, the Parties agree that for purposes of Section</w:t>
      </w:r>
      <w:r w:rsidR="00504642" w:rsidRPr="00504642">
        <w:t xml:space="preserve"> 5.01</w:t>
      </w:r>
      <w:r w:rsidRPr="00504642">
        <w:t>(</w:t>
      </w:r>
      <w:r w:rsidR="00504642" w:rsidRPr="00504642">
        <w:t>b)(i</w:t>
      </w:r>
      <w:r w:rsidRPr="009676F1">
        <w:t>)</w:t>
      </w:r>
      <w:r w:rsidR="0019472E">
        <w:t>(A)</w:t>
      </w:r>
      <w:r w:rsidRPr="009676F1">
        <w:t>, the Aggregate Network Upgrade Costs shall reflect the aggregate maximum cost estimates for the total cost of transmission upgrades or new transmission facilities that are, or may become, reimbursable by SCE</w:t>
      </w:r>
      <w:r w:rsidRPr="0027789B">
        <w:t>, or any Transmission Provider under the jurisdiction of the CAISO, including costs reimbursed by SCE, or any Transmission Provider under the jurisdiction of the CAISO, to Seller as set forth in the Interconnection Study and/or interconnection agreement, as applicable, for both charging and discharging electric energy</w:t>
      </w:r>
      <w:r>
        <w:t xml:space="preserve">. </w:t>
      </w:r>
    </w:p>
    <w:p w14:paraId="1F8C0DAE" w14:textId="77777777" w:rsidR="00461C7B" w:rsidRDefault="00461C7B" w:rsidP="00461C7B">
      <w:pPr>
        <w:pStyle w:val="Heading3"/>
      </w:pPr>
      <w:bookmarkStart w:id="171" w:name="_Toc363050392"/>
      <w:bookmarkStart w:id="172" w:name="_Toc467577502"/>
      <w:bookmarkStart w:id="173" w:name="_Toc470014762"/>
      <w:bookmarkStart w:id="174" w:name="_Toc470855953"/>
      <w:bookmarkEnd w:id="163"/>
      <w:bookmarkEnd w:id="164"/>
      <w:bookmarkEnd w:id="165"/>
      <w:r w:rsidRPr="006A0011">
        <w:rPr>
          <w:u w:val="single"/>
        </w:rPr>
        <w:lastRenderedPageBreak/>
        <w:t>Establishment of Charging Energy Service</w:t>
      </w:r>
      <w:r w:rsidRPr="00FF157D">
        <w:t>.</w:t>
      </w:r>
    </w:p>
    <w:p w14:paraId="1827897D" w14:textId="0C986785" w:rsidR="00461C7B" w:rsidRPr="0027789B" w:rsidRDefault="00461C7B" w:rsidP="00897FCC">
      <w:pPr>
        <w:pStyle w:val="Heading3Text"/>
      </w:pPr>
      <w:r w:rsidRPr="0027789B">
        <w:t>Seller shall take all action</w:t>
      </w:r>
      <w:r w:rsidR="00FC0CC5">
        <w:t>s</w:t>
      </w:r>
      <w:r w:rsidRPr="0027789B">
        <w:t xml:space="preserve"> necessary, including, if required, requesting and obtaining retail electrical service, to enable the delivery of Charging Energy Requirements to the Storage Unit(s), including the ability to charge the Storage Unit(s) with electric energy without restrictions or limitations at any time and at a rate equal to at least the Charging Capacity</w:t>
      </w:r>
      <w:r>
        <w:t xml:space="preserve">. </w:t>
      </w:r>
      <w:r w:rsidRPr="0027789B">
        <w:t>Seller shall be responsible for all fees and costs associated with and arising from the establishment of the ability to deliver Charging Energy Requirements to the Storage Unit(s)</w:t>
      </w:r>
      <w:r>
        <w:t xml:space="preserve">. </w:t>
      </w:r>
    </w:p>
    <w:p w14:paraId="3FD250A9" w14:textId="77777777" w:rsidR="00461C7B" w:rsidRDefault="00461C7B" w:rsidP="00461C7B">
      <w:pPr>
        <w:pStyle w:val="Heading3"/>
      </w:pPr>
      <w:bookmarkStart w:id="175" w:name="_Toc467577490"/>
      <w:bookmarkStart w:id="176" w:name="_Toc470014750"/>
      <w:bookmarkStart w:id="177" w:name="_Toc470855942"/>
      <w:r w:rsidRPr="006A0011">
        <w:rPr>
          <w:u w:val="single"/>
        </w:rPr>
        <w:t>Acknowledgment</w:t>
      </w:r>
      <w:r w:rsidRPr="00FF157D">
        <w:t>.</w:t>
      </w:r>
      <w:bookmarkEnd w:id="175"/>
      <w:bookmarkEnd w:id="176"/>
      <w:bookmarkEnd w:id="177"/>
    </w:p>
    <w:p w14:paraId="3129B71F" w14:textId="3AB559B0" w:rsidR="00461C7B" w:rsidRPr="0027789B" w:rsidRDefault="00461C7B" w:rsidP="00897FCC">
      <w:pPr>
        <w:pStyle w:val="Heading3Text"/>
      </w:pPr>
      <w:r w:rsidRPr="0027789B">
        <w:t xml:space="preserve">Seller acknowledges and agrees that nothing in this </w:t>
      </w:r>
      <w:r w:rsidR="00504642">
        <w:t>Section 5.01</w:t>
      </w:r>
      <w:r w:rsidRPr="009676F1">
        <w:t xml:space="preserve"> is intended</w:t>
      </w:r>
      <w:r w:rsidRPr="0027789B">
        <w:t xml:space="preserve"> to abrogate, amend or modify the terms of any other agreement between it and SCE, including </w:t>
      </w:r>
      <w:r w:rsidR="00FC0CC5">
        <w:t>any</w:t>
      </w:r>
      <w:r w:rsidR="00FC0CC5" w:rsidRPr="0027789B">
        <w:t xml:space="preserve"> </w:t>
      </w:r>
      <w:r w:rsidRPr="0027789B">
        <w:t>interconnection agreement, and that no breach under such other agreement shall excuse a Party’s nonperformance under this Agreement, unless the breach of such other agreement is also an Event of Default under this Agreement.</w:t>
      </w:r>
    </w:p>
    <w:p w14:paraId="02F7D1A1" w14:textId="5A3E77A0" w:rsidR="00C81A39" w:rsidRPr="0027789B" w:rsidRDefault="00C81A39" w:rsidP="00C81A39">
      <w:pPr>
        <w:pStyle w:val="Heading2"/>
      </w:pPr>
      <w:bookmarkStart w:id="178" w:name="_Toc510788255"/>
      <w:bookmarkStart w:id="179" w:name="_Toc467577505"/>
      <w:bookmarkStart w:id="180" w:name="_Toc470014765"/>
      <w:bookmarkStart w:id="181" w:name="_Toc470855956"/>
      <w:bookmarkEnd w:id="171"/>
      <w:bookmarkEnd w:id="172"/>
      <w:bookmarkEnd w:id="173"/>
      <w:bookmarkEnd w:id="174"/>
      <w:r>
        <w:t>Metering</w:t>
      </w:r>
      <w:r w:rsidRPr="0027789B">
        <w:t xml:space="preserve">, </w:t>
      </w:r>
      <w:r>
        <w:t xml:space="preserve">Communications and Telemetry </w:t>
      </w:r>
      <w:r w:rsidRPr="00CC7744">
        <w:t>(</w:t>
      </w:r>
      <w:r>
        <w:t>Put Periods</w:t>
      </w:r>
      <w:r w:rsidRPr="00CC7744">
        <w:t>)</w:t>
      </w:r>
      <w:r w:rsidRPr="00C81A39">
        <w:rPr>
          <w:u w:val="none"/>
        </w:rPr>
        <w:t>.</w:t>
      </w:r>
      <w:bookmarkEnd w:id="178"/>
    </w:p>
    <w:p w14:paraId="7831BB44" w14:textId="298018EE" w:rsidR="00C81A39" w:rsidRPr="00FF157D" w:rsidRDefault="005D2D2D" w:rsidP="00C81A39">
      <w:pPr>
        <w:pStyle w:val="Heading3"/>
      </w:pPr>
      <w:r>
        <w:rPr>
          <w:u w:val="single"/>
        </w:rPr>
        <w:t>Distributed Control System</w:t>
      </w:r>
      <w:r w:rsidR="00C81A39" w:rsidRPr="00FF157D">
        <w:t>.</w:t>
      </w:r>
    </w:p>
    <w:p w14:paraId="26EA1F3C" w14:textId="3E4AAB44" w:rsidR="00C81A39" w:rsidRPr="0027789B" w:rsidRDefault="00C81A39" w:rsidP="00C81A39">
      <w:pPr>
        <w:pStyle w:val="Heading3Text"/>
      </w:pPr>
      <w:r w:rsidRPr="0027789B">
        <w:t>All communication, metering, telemetry, and associated operation equipment will be centralized into the Project’s Distributed Control System (“</w:t>
      </w:r>
      <w:r w:rsidRPr="00FF157D">
        <w:rPr>
          <w:u w:val="single"/>
        </w:rPr>
        <w:t>DCS</w:t>
      </w:r>
      <w:r w:rsidRPr="0027789B">
        <w:t>”)</w:t>
      </w:r>
      <w:r>
        <w:t xml:space="preserve">. </w:t>
      </w:r>
      <w:r w:rsidRPr="0027789B">
        <w:t xml:space="preserve">Seller shall configure each Storage Unit’s DCS so that SCE may access it during any Put Period via </w:t>
      </w:r>
      <w:r w:rsidR="00595CE9">
        <w:t>an</w:t>
      </w:r>
      <w:r w:rsidR="00595CE9" w:rsidRPr="0027789B">
        <w:t xml:space="preserve"> automated system employed by SCE real time operations to remotely monitor, dispatch, and control each Storage Unit</w:t>
      </w:r>
      <w:r w:rsidRPr="0027789B">
        <w:t xml:space="preserve"> </w:t>
      </w:r>
      <w:r w:rsidR="00595CE9">
        <w:t>(“</w:t>
      </w:r>
      <w:r w:rsidRPr="00DB7FE0">
        <w:rPr>
          <w:u w:val="single"/>
        </w:rPr>
        <w:t>Generation Management System</w:t>
      </w:r>
      <w:r w:rsidR="00595CE9">
        <w:t>”)</w:t>
      </w:r>
      <w:r w:rsidRPr="0027789B">
        <w:t xml:space="preserve"> from SCE’s Generation Operations Center</w:t>
      </w:r>
      <w:r>
        <w:t xml:space="preserve">. </w:t>
      </w:r>
      <w:r w:rsidRPr="0027789B">
        <w:t>Seller shall ensure that the access link will provide a monitoring and control interface to enable automatic control for charging and discharging of each Storage Unit and provide real-time information regarding each Storage Unit(s)’ Stored Energy Level to SCE</w:t>
      </w:r>
      <w:r>
        <w:t xml:space="preserve">. </w:t>
      </w:r>
      <w:r w:rsidRPr="0027789B">
        <w:t>Seller shall link the systems via an approved SCE communication network, utilizing existing industry standard network protocol, as approved by SCE</w:t>
      </w:r>
      <w:r>
        <w:t xml:space="preserve">. </w:t>
      </w:r>
      <w:r w:rsidRPr="0027789B">
        <w:t>The connection will be bidirectional in nature and used by the Parties to exchange all data points to and from the G</w:t>
      </w:r>
      <w:r w:rsidR="00FC0CC5">
        <w:t xml:space="preserve">eneration </w:t>
      </w:r>
      <w:r w:rsidRPr="0027789B">
        <w:t>O</w:t>
      </w:r>
      <w:r w:rsidR="00FC0CC5">
        <w:t xml:space="preserve">perations </w:t>
      </w:r>
      <w:r w:rsidRPr="0027789B">
        <w:t>C</w:t>
      </w:r>
      <w:r w:rsidR="00FC0CC5">
        <w:t>enter</w:t>
      </w:r>
      <w:r w:rsidRPr="0027789B">
        <w:t>.</w:t>
      </w:r>
    </w:p>
    <w:p w14:paraId="7EBD1131" w14:textId="77777777" w:rsidR="00C81A39" w:rsidRPr="00FF157D" w:rsidRDefault="00C81A39" w:rsidP="00C81A39">
      <w:pPr>
        <w:pStyle w:val="Heading3"/>
      </w:pPr>
      <w:r w:rsidRPr="006A0011">
        <w:rPr>
          <w:u w:val="single"/>
        </w:rPr>
        <w:t>Control Logic</w:t>
      </w:r>
      <w:r w:rsidRPr="00FF157D">
        <w:t>.</w:t>
      </w:r>
    </w:p>
    <w:p w14:paraId="3649812F" w14:textId="77777777" w:rsidR="00C81A39" w:rsidRPr="0027789B" w:rsidRDefault="00C81A39" w:rsidP="00C81A39">
      <w:pPr>
        <w:pStyle w:val="Heading3Text"/>
      </w:pPr>
      <w:r w:rsidRPr="0027789B">
        <w:t>Seller will ensure that each Storage Unit’s DCS control logic will be configured to control the Storage Unit in multiple configurations</w:t>
      </w:r>
      <w:r>
        <w:t xml:space="preserve">. </w:t>
      </w:r>
      <w:r w:rsidRPr="0027789B">
        <w:t xml:space="preserve">Each Storage Unit’s control logic will incorporate control signals from multiple locations to perform Energy dispatch, charging, Ancillary Services, and Supplemental </w:t>
      </w:r>
      <w:r w:rsidRPr="0027789B">
        <w:lastRenderedPageBreak/>
        <w:t>Energy functions</w:t>
      </w:r>
      <w:r>
        <w:t xml:space="preserve">. </w:t>
      </w:r>
      <w:r w:rsidRPr="0027789B">
        <w:t>Control logic will perform all coordinated megawatt control and Automatic Generation Control (“</w:t>
      </w:r>
      <w:r w:rsidRPr="0027789B">
        <w:rPr>
          <w:u w:val="single"/>
        </w:rPr>
        <w:t>AGC</w:t>
      </w:r>
      <w:r w:rsidRPr="0027789B">
        <w:t>”) independently for each Storage Unit.</w:t>
      </w:r>
    </w:p>
    <w:p w14:paraId="5924A247" w14:textId="77777777" w:rsidR="00C81A39" w:rsidRPr="00FF157D" w:rsidRDefault="00C81A39" w:rsidP="00C81A39">
      <w:pPr>
        <w:pStyle w:val="Heading3"/>
      </w:pPr>
      <w:r w:rsidRPr="006A0011">
        <w:rPr>
          <w:u w:val="single"/>
        </w:rPr>
        <w:t>Satellite Communication System</w:t>
      </w:r>
      <w:r w:rsidRPr="00FF157D">
        <w:t>.</w:t>
      </w:r>
    </w:p>
    <w:p w14:paraId="6D7263B1" w14:textId="4F42E896" w:rsidR="00C81A39" w:rsidRPr="0027789B" w:rsidRDefault="00C81A39" w:rsidP="00C81A39">
      <w:pPr>
        <w:pStyle w:val="Heading3Text"/>
      </w:pPr>
      <w:r w:rsidRPr="0027789B">
        <w:t xml:space="preserve">Seller is responsible for installing, testing, commissioning and maintaining </w:t>
      </w:r>
      <w:r w:rsidR="00E246C5" w:rsidRPr="0027789B">
        <w:t xml:space="preserve">a system provided to Seller by SCE at SCE’s cost for emergency voice communications between SCE and Seller’s operating staff </w:t>
      </w:r>
      <w:r w:rsidRPr="0027789B">
        <w:t>(“</w:t>
      </w:r>
      <w:r w:rsidRPr="00FF157D">
        <w:rPr>
          <w:u w:val="single"/>
        </w:rPr>
        <w:t>SCS</w:t>
      </w:r>
      <w:r w:rsidRPr="0027789B">
        <w:t>”) at the Project in accordance with instructions provided by SCE and the SCS vendor</w:t>
      </w:r>
      <w:r>
        <w:t xml:space="preserve">. </w:t>
      </w:r>
    </w:p>
    <w:p w14:paraId="3F80981E" w14:textId="58D73345" w:rsidR="00DF31B9" w:rsidRDefault="00DF31B9" w:rsidP="00C81A39">
      <w:pPr>
        <w:pStyle w:val="Heading3"/>
      </w:pPr>
      <w:r w:rsidRPr="00DB7FE0">
        <w:rPr>
          <w:u w:val="single"/>
        </w:rPr>
        <w:t>Station Use Metering Equipment</w:t>
      </w:r>
      <w:r>
        <w:t>.</w:t>
      </w:r>
    </w:p>
    <w:p w14:paraId="1B9FAB6A" w14:textId="43589588" w:rsidR="00DF31B9" w:rsidRPr="00DB7FE0" w:rsidRDefault="00DF31B9" w:rsidP="00DB7FE0">
      <w:pPr>
        <w:pStyle w:val="Heading3"/>
        <w:numPr>
          <w:ilvl w:val="0"/>
          <w:numId w:val="0"/>
        </w:numPr>
        <w:ind w:left="1728"/>
      </w:pPr>
      <w:r w:rsidRPr="000678FD">
        <w:t xml:space="preserve">Seller shall separately meter Station Use with </w:t>
      </w:r>
      <w:r w:rsidRPr="0027789B">
        <w:t>a revenue quality meter or meters, installed in accordance with and conforming to the retail provider’s electrical service requirements, metering and applicable tariffs sufficient for recording all electric energy consumed by the Project for Station Use</w:t>
      </w:r>
      <w:r>
        <w:t>.</w:t>
      </w:r>
    </w:p>
    <w:p w14:paraId="58677EB3" w14:textId="77777777" w:rsidR="00C81A39" w:rsidRPr="00FF157D" w:rsidRDefault="00C81A39" w:rsidP="00C81A39">
      <w:pPr>
        <w:pStyle w:val="Heading3"/>
      </w:pPr>
      <w:r w:rsidRPr="006A0011">
        <w:rPr>
          <w:u w:val="single"/>
        </w:rPr>
        <w:t>SCE Access</w:t>
      </w:r>
      <w:r w:rsidRPr="00FF157D">
        <w:t>.</w:t>
      </w:r>
    </w:p>
    <w:p w14:paraId="1B45263D" w14:textId="71923E72" w:rsidR="00C81A39" w:rsidRPr="00C81A39" w:rsidRDefault="00C81A39" w:rsidP="00C81A39">
      <w:pPr>
        <w:pStyle w:val="Heading3Text"/>
      </w:pPr>
      <w:r w:rsidRPr="0027789B">
        <w:t xml:space="preserve">Seller </w:t>
      </w:r>
      <w:r w:rsidRPr="009676F1">
        <w:t xml:space="preserve">shall take all actions and execute all documents reasonably necessary to grant SCE access to the metering, communications, and telemetry systems specified in this </w:t>
      </w:r>
      <w:r w:rsidR="006179DF">
        <w:t>Section 5.02</w:t>
      </w:r>
      <w:r w:rsidRPr="009676F1">
        <w:t xml:space="preserve"> during</w:t>
      </w:r>
      <w:r w:rsidRPr="0027789B">
        <w:t xml:space="preserve"> a Put Period.</w:t>
      </w:r>
      <w:r w:rsidR="005D2D2D">
        <w:t xml:space="preserve"> </w:t>
      </w:r>
      <w:r w:rsidR="005D2D2D" w:rsidRPr="0027789B">
        <w:t>Seller shall grant SCE reasonable access to the Site for routine calibration and maintenance of the SCS during a Put Period.</w:t>
      </w:r>
    </w:p>
    <w:p w14:paraId="37BC8A10" w14:textId="46D8B72B" w:rsidR="00C81A39" w:rsidRPr="00C81A39" w:rsidRDefault="00C81A39" w:rsidP="00461C7B">
      <w:pPr>
        <w:pStyle w:val="Heading2"/>
        <w:keepNext w:val="0"/>
        <w:keepLines w:val="0"/>
        <w:rPr>
          <w:u w:val="none"/>
        </w:rPr>
      </w:pPr>
      <w:bookmarkStart w:id="182" w:name="_Toc510788256"/>
      <w:r w:rsidRPr="00C81A39">
        <w:t>Testing</w:t>
      </w:r>
      <w:r>
        <w:rPr>
          <w:u w:val="none"/>
        </w:rPr>
        <w:t>.</w:t>
      </w:r>
      <w:bookmarkEnd w:id="182"/>
    </w:p>
    <w:p w14:paraId="28C196D3" w14:textId="77777777" w:rsidR="00461C7B" w:rsidRPr="00FF157D" w:rsidRDefault="00461C7B" w:rsidP="00C81A39">
      <w:pPr>
        <w:pStyle w:val="Heading3"/>
      </w:pPr>
      <w:r w:rsidRPr="000D0A41">
        <w:rPr>
          <w:u w:val="single"/>
        </w:rPr>
        <w:t>Initial Commercial Operation Test</w:t>
      </w:r>
      <w:r w:rsidRPr="00FF157D">
        <w:t>.</w:t>
      </w:r>
    </w:p>
    <w:p w14:paraId="64A9CCEF" w14:textId="24C93CC2" w:rsidR="00461C7B" w:rsidRPr="0027789B" w:rsidRDefault="00461C7B" w:rsidP="001E7D5A">
      <w:pPr>
        <w:pStyle w:val="Heading3Text"/>
      </w:pPr>
      <w:r w:rsidRPr="0027789B">
        <w:t>At least thirty (30) days prior to the Expected Initial Delivery Date, Seller shall schedule and complete an Initial Commercial Operation Test for each Storage Unit</w:t>
      </w:r>
      <w:r>
        <w:t xml:space="preserve">. </w:t>
      </w:r>
      <w:r w:rsidRPr="0027789B">
        <w:t xml:space="preserve">Such Initial Commercial </w:t>
      </w:r>
      <w:r w:rsidRPr="00E335BC">
        <w:t xml:space="preserve">Operation Test shall be scheduled and conducted in </w:t>
      </w:r>
      <w:r w:rsidRPr="00D01883">
        <w:t xml:space="preserve">accordance with </w:t>
      </w:r>
      <w:r w:rsidR="00CF10CD">
        <w:rPr>
          <w:u w:val="single"/>
        </w:rPr>
        <w:t>Exhibit C</w:t>
      </w:r>
      <w:r w:rsidRPr="00D01883">
        <w:t>. Seller</w:t>
      </w:r>
      <w:r w:rsidRPr="00E335BC">
        <w:t xml:space="preserve"> shall undertake such activities in sufficient time to achieve Commercial Operation of each Storage Unit by the Expected Initial Delivery Date and SCE will reasonably cooperate with Seller to meet such deadline. The Initial Commercial Operation Test shall establish the Contract Capacity for purposes of calculating the Monthly Capacity Payment, and </w:t>
      </w:r>
      <w:r w:rsidR="00CF10CD">
        <w:rPr>
          <w:u w:val="single"/>
        </w:rPr>
        <w:t>Exhibit D</w:t>
      </w:r>
      <w:r w:rsidRPr="00482B73">
        <w:t xml:space="preserve"> and</w:t>
      </w:r>
      <w:r w:rsidRPr="00E335BC">
        <w:t xml:space="preserve"> </w:t>
      </w:r>
      <w:r w:rsidR="00CF10CD">
        <w:rPr>
          <w:u w:val="single"/>
        </w:rPr>
        <w:t>Exhibit E</w:t>
      </w:r>
      <w:r w:rsidRPr="00D01883">
        <w:t xml:space="preserve"> shall</w:t>
      </w:r>
      <w:r w:rsidRPr="00E335BC">
        <w:t xml:space="preserve"> be deemed to be amended to reflect the Contract Capacity certified during such test by</w:t>
      </w:r>
      <w:r w:rsidRPr="0027789B">
        <w:t xml:space="preserve"> SCE test personnel.</w:t>
      </w:r>
      <w:r w:rsidR="001E7D5A">
        <w:t xml:space="preserve"> </w:t>
      </w:r>
      <w:r w:rsidRPr="0027789B">
        <w:t xml:space="preserve">This test shall be deemed a Seller Initiated Test. </w:t>
      </w:r>
    </w:p>
    <w:p w14:paraId="6127D619" w14:textId="77777777" w:rsidR="00461C7B" w:rsidRPr="00FF157D" w:rsidRDefault="00461C7B" w:rsidP="00C81A39">
      <w:pPr>
        <w:pStyle w:val="Heading3"/>
      </w:pPr>
      <w:bookmarkStart w:id="183" w:name="_Toc363050393"/>
      <w:bookmarkStart w:id="184" w:name="_Toc467577503"/>
      <w:bookmarkStart w:id="185" w:name="_Toc470014763"/>
      <w:bookmarkStart w:id="186" w:name="_Toc470855954"/>
      <w:r w:rsidRPr="000D0A41">
        <w:rPr>
          <w:u w:val="single"/>
        </w:rPr>
        <w:t>Periodic Testing</w:t>
      </w:r>
      <w:r w:rsidRPr="00FF157D">
        <w:t>.</w:t>
      </w:r>
      <w:bookmarkEnd w:id="183"/>
      <w:bookmarkEnd w:id="184"/>
      <w:bookmarkEnd w:id="185"/>
      <w:bookmarkEnd w:id="186"/>
    </w:p>
    <w:p w14:paraId="50FDAB07" w14:textId="77777777" w:rsidR="000D0A41" w:rsidRDefault="00461C7B" w:rsidP="00C81A39">
      <w:pPr>
        <w:pStyle w:val="Heading4"/>
      </w:pPr>
      <w:r w:rsidRPr="0027789B">
        <w:rPr>
          <w:u w:val="single"/>
        </w:rPr>
        <w:t>Seller Testing</w:t>
      </w:r>
      <w:r>
        <w:t xml:space="preserve">. </w:t>
      </w:r>
    </w:p>
    <w:p w14:paraId="504D5ECA" w14:textId="6879FAAD" w:rsidR="00461C7B" w:rsidRPr="0027789B" w:rsidRDefault="00461C7B" w:rsidP="00DB7FE0">
      <w:pPr>
        <w:pStyle w:val="Heading4Text"/>
      </w:pPr>
      <w:r w:rsidRPr="0027789B">
        <w:lastRenderedPageBreak/>
        <w:t>Seller shall schedule and complete any RA Capacity Qualification Tests required by the CPUC</w:t>
      </w:r>
      <w:r w:rsidR="006E7922">
        <w:t>,</w:t>
      </w:r>
      <w:r w:rsidRPr="0027789B">
        <w:t xml:space="preserve"> any other applicable Governmental Authority</w:t>
      </w:r>
      <w:r w:rsidR="006E7922">
        <w:t>, or the CAISO</w:t>
      </w:r>
      <w:r>
        <w:t xml:space="preserve">. </w:t>
      </w:r>
      <w:r w:rsidRPr="002D26FA">
        <w:t xml:space="preserve">Seller may also elect to test any Storage Unit at any time, subject to Section </w:t>
      </w:r>
      <w:r w:rsidR="002D26FA" w:rsidRPr="002D26FA">
        <w:t>5</w:t>
      </w:r>
      <w:r w:rsidRPr="002D26FA">
        <w:t>.03</w:t>
      </w:r>
      <w:r w:rsidR="002D26FA" w:rsidRPr="002D26FA">
        <w:t>(c)</w:t>
      </w:r>
      <w:r w:rsidRPr="002D26FA">
        <w:t>.</w:t>
      </w:r>
    </w:p>
    <w:p w14:paraId="72DCDA28" w14:textId="0BA809E8" w:rsidR="000D0A41" w:rsidRDefault="00461C7B" w:rsidP="00C81A39">
      <w:pPr>
        <w:pStyle w:val="Heading4"/>
      </w:pPr>
      <w:r w:rsidRPr="0027789B">
        <w:rPr>
          <w:u w:val="single"/>
        </w:rPr>
        <w:t>SCE RA Capacity Qualification Testing</w:t>
      </w:r>
      <w:r w:rsidR="000D0A41">
        <w:rPr>
          <w:u w:val="single"/>
        </w:rPr>
        <w:t xml:space="preserve"> (RA Periods)</w:t>
      </w:r>
      <w:r w:rsidRPr="0027789B">
        <w:t xml:space="preserve">. </w:t>
      </w:r>
    </w:p>
    <w:p w14:paraId="433A3FD4" w14:textId="568237E4" w:rsidR="00461C7B" w:rsidRPr="0027789B" w:rsidRDefault="00461C7B" w:rsidP="00DB7FE0">
      <w:pPr>
        <w:pStyle w:val="Heading4"/>
        <w:numPr>
          <w:ilvl w:val="0"/>
          <w:numId w:val="0"/>
        </w:numPr>
        <w:ind w:left="2592"/>
      </w:pPr>
      <w:r w:rsidRPr="0027789B">
        <w:t>Once per each Contract Year during a</w:t>
      </w:r>
      <w:r w:rsidR="004A2082">
        <w:t>n</w:t>
      </w:r>
      <w:r w:rsidRPr="0027789B">
        <w:t xml:space="preserve"> RA Period (after the initial Contract Year), upon SCE’s request, Seller shall, or shall cause each Storage Unit’s SC to, schedule and complete, at Seller’s cost, an RA Capacity Qualification Test for each Storage Unit and provide all information required by the CAISO, the CPUC or </w:t>
      </w:r>
      <w:r w:rsidR="00604852">
        <w:t xml:space="preserve">by </w:t>
      </w:r>
      <w:r w:rsidRPr="0027789B">
        <w:t>Applicable Laws in order for each Storage Unit to obtain an updated Unit NQC and Unit EFC</w:t>
      </w:r>
      <w:r>
        <w:t xml:space="preserve">. </w:t>
      </w:r>
      <w:r w:rsidRPr="0027789B">
        <w:t>In connection with such a request, SCE may request that Seller shall cause each Storage Unit’s SC to propose to the CAISO that the Unit NQC or Unit EFC for any Storage Unit be changed</w:t>
      </w:r>
      <w:r>
        <w:t xml:space="preserve">. </w:t>
      </w:r>
      <w:r w:rsidRPr="0027789B">
        <w:t>Seller agrees that in such a case Seller shall, or shall cause each Storage Unit’s SC to, take all actions required under the CAISO Tariff to obtain a new Unit NQC and Unit EFC for such Storage Units, including providing any documentation necessary to justify and support such request in accordance with the CAISO Tariff.</w:t>
      </w:r>
    </w:p>
    <w:p w14:paraId="1311526F" w14:textId="3230E578" w:rsidR="000D0A41" w:rsidRDefault="00461C7B" w:rsidP="00C81A39">
      <w:pPr>
        <w:pStyle w:val="Heading4"/>
      </w:pPr>
      <w:r w:rsidRPr="0027789B">
        <w:rPr>
          <w:u w:val="single"/>
        </w:rPr>
        <w:t>SCE Contract Capacity and Ancillary Services Testing</w:t>
      </w:r>
      <w:r w:rsidR="000D0A41">
        <w:rPr>
          <w:u w:val="single"/>
        </w:rPr>
        <w:t xml:space="preserve"> (Put Periods)</w:t>
      </w:r>
      <w:r>
        <w:t xml:space="preserve">. </w:t>
      </w:r>
    </w:p>
    <w:p w14:paraId="2CAF76B1" w14:textId="0F3AA2D2" w:rsidR="00461C7B" w:rsidRPr="0027789B" w:rsidRDefault="00461C7B" w:rsidP="00DB7FE0">
      <w:pPr>
        <w:pStyle w:val="Heading4Text"/>
      </w:pPr>
      <w:r w:rsidRPr="0027789B">
        <w:t>Once per each Contract Year during a Put Period (after the initial Contract Year), Seller shall, upon SCE’s request, schedule a</w:t>
      </w:r>
      <w:r w:rsidRPr="00C600E0">
        <w:t xml:space="preserve">nd complete a Contract Capacity and Ancillary Services Test in accordance with </w:t>
      </w:r>
      <w:r w:rsidR="00CF10CD">
        <w:rPr>
          <w:u w:val="single"/>
        </w:rPr>
        <w:t>Exhibit C</w:t>
      </w:r>
      <w:r w:rsidRPr="00D01883">
        <w:t>. This</w:t>
      </w:r>
      <w:r w:rsidRPr="00C600E0">
        <w:t xml:space="preserve"> test shall be deemed a</w:t>
      </w:r>
      <w:r w:rsidR="004A2082">
        <w:t>n</w:t>
      </w:r>
      <w:r w:rsidRPr="00C600E0">
        <w:t xml:space="preserve"> SCE Dispatched Test.</w:t>
      </w:r>
    </w:p>
    <w:p w14:paraId="5FE89A1B" w14:textId="77777777" w:rsidR="000D0A41" w:rsidRDefault="00461C7B" w:rsidP="00C81A39">
      <w:pPr>
        <w:pStyle w:val="Heading4"/>
      </w:pPr>
      <w:r w:rsidRPr="0027789B">
        <w:rPr>
          <w:u w:val="single"/>
        </w:rPr>
        <w:t>No Adjustment to Contract Capacity</w:t>
      </w:r>
      <w:r>
        <w:t xml:space="preserve">. </w:t>
      </w:r>
    </w:p>
    <w:p w14:paraId="62693380" w14:textId="796CE0B6" w:rsidR="00461C7B" w:rsidRPr="0027789B" w:rsidRDefault="00461C7B" w:rsidP="00DB7FE0">
      <w:pPr>
        <w:pStyle w:val="Heading4Text"/>
      </w:pPr>
      <w:r w:rsidRPr="0027789B">
        <w:t xml:space="preserve">Notwithstanding any other provision in this Agreement, the Contract Capacity shall not be adjusted to conform to the results of any RA Capacity Qualification Test or Contract Capacity </w:t>
      </w:r>
      <w:r>
        <w:t>and</w:t>
      </w:r>
      <w:r w:rsidRPr="0027789B">
        <w:t xml:space="preserve"> Ancillary Services Test</w:t>
      </w:r>
      <w:r>
        <w:t xml:space="preserve">. </w:t>
      </w:r>
    </w:p>
    <w:p w14:paraId="78E98F1C" w14:textId="77777777" w:rsidR="00461C7B" w:rsidRPr="00FF157D" w:rsidRDefault="00461C7B" w:rsidP="00C81A39">
      <w:pPr>
        <w:pStyle w:val="Heading3"/>
      </w:pPr>
      <w:bookmarkStart w:id="187" w:name="_Toc467577504"/>
      <w:bookmarkStart w:id="188" w:name="_Toc470014764"/>
      <w:bookmarkStart w:id="189" w:name="_Toc470855955"/>
      <w:r w:rsidRPr="000D0A41">
        <w:rPr>
          <w:u w:val="single"/>
        </w:rPr>
        <w:t>Testing Costs</w:t>
      </w:r>
      <w:r w:rsidRPr="00FF157D">
        <w:t>.</w:t>
      </w:r>
      <w:bookmarkEnd w:id="187"/>
      <w:bookmarkEnd w:id="188"/>
      <w:bookmarkEnd w:id="189"/>
    </w:p>
    <w:p w14:paraId="52ADEA3F" w14:textId="77777777" w:rsidR="000D0A41" w:rsidRDefault="00461C7B" w:rsidP="00C81A39">
      <w:pPr>
        <w:pStyle w:val="Heading4"/>
      </w:pPr>
      <w:r w:rsidRPr="0027789B">
        <w:rPr>
          <w:u w:val="single"/>
        </w:rPr>
        <w:t>RA Capacity Qualification Tests</w:t>
      </w:r>
      <w:r>
        <w:t xml:space="preserve">. </w:t>
      </w:r>
    </w:p>
    <w:p w14:paraId="33242EAB" w14:textId="0E09C525" w:rsidR="00461C7B" w:rsidRPr="0027789B" w:rsidRDefault="00461C7B" w:rsidP="00DB7FE0">
      <w:pPr>
        <w:pStyle w:val="Heading4Text"/>
      </w:pPr>
      <w:r w:rsidRPr="0027789B">
        <w:t>Seller is responsible for all costs associated with all RA Capacity Qualification Tests and all costs associated with providing any information related to all RA Capacity Qualification Tests</w:t>
      </w:r>
      <w:r>
        <w:t xml:space="preserve">. </w:t>
      </w:r>
    </w:p>
    <w:p w14:paraId="123916A1" w14:textId="39DAFA2F" w:rsidR="000D0A41" w:rsidRDefault="00461C7B" w:rsidP="00C81A39">
      <w:pPr>
        <w:pStyle w:val="Heading4"/>
      </w:pPr>
      <w:r w:rsidRPr="0027789B">
        <w:rPr>
          <w:u w:val="single"/>
        </w:rPr>
        <w:lastRenderedPageBreak/>
        <w:t>SCE Dispatched Test</w:t>
      </w:r>
      <w:r w:rsidR="00F94662">
        <w:rPr>
          <w:u w:val="single"/>
        </w:rPr>
        <w:t xml:space="preserve"> (Put Periods)</w:t>
      </w:r>
      <w:r>
        <w:t xml:space="preserve">. </w:t>
      </w:r>
    </w:p>
    <w:p w14:paraId="0E1F1597" w14:textId="5C8EA2A3" w:rsidR="00461C7B" w:rsidRPr="0027789B" w:rsidRDefault="00461C7B" w:rsidP="00DB7FE0">
      <w:pPr>
        <w:pStyle w:val="Heading4Text"/>
      </w:pPr>
      <w:r w:rsidRPr="0027789B">
        <w:t>During a Put Period, if Seller testing is conducted during a Settlement Interval in which Seller receives a Dispatch Notice or Charging Notice for the Storage Unit(s) being tested, but only if such testing does not interfere with the Storage Unit(s)</w:t>
      </w:r>
      <w:r w:rsidR="004A2082">
        <w:t>’</w:t>
      </w:r>
      <w:r w:rsidRPr="0027789B">
        <w:t xml:space="preserve"> ability to meet the applicable Dispatch Notice or Charging Notice, or SCE orders Seller to initiate such testing (each, a “</w:t>
      </w:r>
      <w:r w:rsidRPr="0084576D">
        <w:rPr>
          <w:u w:val="single"/>
        </w:rPr>
        <w:t>SCE Dispatched Test</w:t>
      </w:r>
      <w:r w:rsidRPr="0084576D">
        <w:t xml:space="preserve">”), Seller shall not (other than as set forth in </w:t>
      </w:r>
      <w:r w:rsidR="003B3D2A">
        <w:t>Section 6.0</w:t>
      </w:r>
      <w:r w:rsidR="00D01E0D">
        <w:t>8</w:t>
      </w:r>
      <w:r w:rsidR="003B3D2A">
        <w:t xml:space="preserve"> (Charging Energy Management and Payments)</w:t>
      </w:r>
      <w:r w:rsidRPr="0084576D">
        <w:t>, or pursuant</w:t>
      </w:r>
      <w:r w:rsidRPr="0027789B">
        <w:t xml:space="preserve"> to any Energy Adjustment Payment or Energy Efficiency Capacity Payment Reduction) be obligated to pay for </w:t>
      </w:r>
      <w:r w:rsidR="002A0D66" w:rsidRPr="0027789B">
        <w:t xml:space="preserve">electric energy costs associated with providing the Charging Energy Requirements to the Energy Delivery Point </w:t>
      </w:r>
      <w:r w:rsidR="002A0D66">
        <w:t>(“</w:t>
      </w:r>
      <w:r w:rsidRPr="00DB7FE0">
        <w:rPr>
          <w:u w:val="single"/>
        </w:rPr>
        <w:t>Charging Energy Costs</w:t>
      </w:r>
      <w:r w:rsidR="002A0D66">
        <w:t>”)</w:t>
      </w:r>
      <w:r w:rsidRPr="0027789B">
        <w:t xml:space="preserve"> relating to such SCE Dispatched Test, and Energy shall be treated as dispatched by SCE hereunder.</w:t>
      </w:r>
    </w:p>
    <w:p w14:paraId="77570C9C" w14:textId="770C63AC" w:rsidR="000D0A41" w:rsidRDefault="00461C7B" w:rsidP="00C81A39">
      <w:pPr>
        <w:pStyle w:val="Heading4"/>
      </w:pPr>
      <w:r w:rsidRPr="0027789B">
        <w:rPr>
          <w:u w:val="single"/>
        </w:rPr>
        <w:t>Seller Initiated Test</w:t>
      </w:r>
      <w:r w:rsidR="00F94662">
        <w:rPr>
          <w:u w:val="single"/>
        </w:rPr>
        <w:t xml:space="preserve"> (Put Periods)</w:t>
      </w:r>
      <w:r>
        <w:t xml:space="preserve">. </w:t>
      </w:r>
    </w:p>
    <w:p w14:paraId="39A754C6" w14:textId="7DD3B155" w:rsidR="004A2082" w:rsidRDefault="00461C7B" w:rsidP="00DB7FE0">
      <w:pPr>
        <w:pStyle w:val="Heading4Text"/>
      </w:pPr>
      <w:r w:rsidRPr="0027789B">
        <w:t xml:space="preserve">During a Put Period, if Seller schedules or conducts </w:t>
      </w:r>
      <w:r w:rsidR="0096331F">
        <w:t>a</w:t>
      </w:r>
      <w:r w:rsidRPr="0027789B">
        <w:t xml:space="preserve"> </w:t>
      </w:r>
      <w:r w:rsidRPr="00DB7FE0">
        <w:t>Seller Initiated Test</w:t>
      </w:r>
      <w:r w:rsidRPr="0027789B">
        <w:t xml:space="preserve">, </w:t>
      </w:r>
    </w:p>
    <w:p w14:paraId="337DE01D" w14:textId="328EC745" w:rsidR="004A2082" w:rsidRDefault="00461C7B" w:rsidP="00DB7FE0">
      <w:pPr>
        <w:pStyle w:val="Heading5"/>
      </w:pPr>
      <w:r w:rsidRPr="0027789B">
        <w:t>Seller shall pay for all costs</w:t>
      </w:r>
      <w:r w:rsidR="004111BA">
        <w:t xml:space="preserve"> </w:t>
      </w:r>
      <w:r w:rsidR="004111BA" w:rsidRPr="0027789B">
        <w:t>relating to such Seller Initiated Test</w:t>
      </w:r>
      <w:r w:rsidRPr="0027789B">
        <w:t xml:space="preserve"> (including Charging Energy Costs needed to </w:t>
      </w:r>
      <w:r w:rsidR="004111BA">
        <w:t xml:space="preserve">(I) </w:t>
      </w:r>
      <w:r w:rsidRPr="0027789B">
        <w:t xml:space="preserve">conduct the Seller Initiated Test and </w:t>
      </w:r>
      <w:r w:rsidR="004111BA">
        <w:t>(II)</w:t>
      </w:r>
      <w:r w:rsidRPr="0027789B">
        <w:t xml:space="preserve"> charge the Storage Unit(s) to the same Stored Energy Level such Storage Unit had prior to such Seller Initiated Test) and,</w:t>
      </w:r>
    </w:p>
    <w:p w14:paraId="3CB0BCFB" w14:textId="21EFCF62" w:rsidR="004A2082" w:rsidRDefault="004A2082" w:rsidP="00DB7FE0">
      <w:pPr>
        <w:pStyle w:val="Heading5"/>
      </w:pPr>
      <w:r>
        <w:t>I</w:t>
      </w:r>
      <w:r w:rsidR="00461C7B" w:rsidRPr="0027789B">
        <w:t>f SCE is the SC for the Project during the Seller Initiated Test, SCE shall pay to Seller, in the month following SCE’s receipt of CAISO revenues associated with such Seller Initiated Test, such revenues net of any (</w:t>
      </w:r>
      <w:r>
        <w:t>I</w:t>
      </w:r>
      <w:r w:rsidR="00461C7B" w:rsidRPr="0027789B">
        <w:t>) resource specific charge codes, (</w:t>
      </w:r>
      <w:r>
        <w:t>II</w:t>
      </w:r>
      <w:r w:rsidR="00461C7B" w:rsidRPr="0027789B">
        <w:t>) Charging Energy Costs, (</w:t>
      </w:r>
      <w:r>
        <w:t>III</w:t>
      </w:r>
      <w:r w:rsidR="00461C7B" w:rsidRPr="0027789B">
        <w:t>) penalties, or (</w:t>
      </w:r>
      <w:r>
        <w:t>IV</w:t>
      </w:r>
      <w:r w:rsidR="00461C7B" w:rsidRPr="0027789B">
        <w:t>) sanctions associated with the Energy charged or discharged during such Seller Initiated Test</w:t>
      </w:r>
      <w:r w:rsidR="00461C7B">
        <w:t xml:space="preserve">. </w:t>
      </w:r>
    </w:p>
    <w:p w14:paraId="3DC5DC8B" w14:textId="15D71EC8" w:rsidR="000D0A41" w:rsidRDefault="00461C7B" w:rsidP="00DB7FE0">
      <w:pPr>
        <w:pStyle w:val="Heading4Text"/>
      </w:pPr>
      <w:r w:rsidRPr="0027789B">
        <w:t xml:space="preserve">Moreover, there shall be no Qualifying Delivered Energy, Variable O&amp;M Payment, Variable Asset Replacement Payment, Energy Adjustment Payment, SDD Charge, </w:t>
      </w:r>
      <w:r w:rsidR="00D700F7">
        <w:t xml:space="preserve">or </w:t>
      </w:r>
      <w:r w:rsidRPr="0027789B">
        <w:t>SDD Administrative Charge for any Settlement Interval during which a Seller Initiated Test takes place</w:t>
      </w:r>
      <w:r>
        <w:t xml:space="preserve">. </w:t>
      </w:r>
      <w:r w:rsidRPr="0027789B">
        <w:t>To the extent such Seller Initiated Test prevents SCE from charging or discharging the applicable Storage Units(s</w:t>
      </w:r>
      <w:r w:rsidRPr="000678FD">
        <w:t xml:space="preserve">) as would have occurred absent such test, then, in accordance with </w:t>
      </w:r>
      <w:r w:rsidR="00DD6D8B">
        <w:t>Sections 3.11 and 3.12</w:t>
      </w:r>
      <w:r w:rsidRPr="000678FD">
        <w:t xml:space="preserve">, such Storage Unit(s) will be deemed unavailable. </w:t>
      </w:r>
    </w:p>
    <w:p w14:paraId="1116483B" w14:textId="258E5E20" w:rsidR="000D0A41" w:rsidRDefault="00461C7B" w:rsidP="00DB7FE0">
      <w:pPr>
        <w:pStyle w:val="Heading4Text"/>
      </w:pPr>
      <w:r w:rsidRPr="000678FD">
        <w:lastRenderedPageBreak/>
        <w:t>Except as otherwise provided</w:t>
      </w:r>
      <w:r w:rsidRPr="00FD0EDB">
        <w:t xml:space="preserve"> in </w:t>
      </w:r>
      <w:r w:rsidRPr="002D26FA">
        <w:t>Section</w:t>
      </w:r>
      <w:r w:rsidR="002D26FA" w:rsidRPr="002D26FA">
        <w:t>s 5</w:t>
      </w:r>
      <w:r w:rsidRPr="002D26FA">
        <w:t>.0</w:t>
      </w:r>
      <w:r w:rsidR="002D26FA" w:rsidRPr="002D26FA">
        <w:t>3(a)</w:t>
      </w:r>
      <w:r w:rsidRPr="002D26FA">
        <w:t xml:space="preserve"> and </w:t>
      </w:r>
      <w:r w:rsidR="002D26FA" w:rsidRPr="002D26FA">
        <w:t>5</w:t>
      </w:r>
      <w:r w:rsidRPr="002D26FA">
        <w:t>.0</w:t>
      </w:r>
      <w:r w:rsidR="002D26FA" w:rsidRPr="002D26FA">
        <w:t>3(b)</w:t>
      </w:r>
      <w:r w:rsidRPr="002D26FA">
        <w:t>(</w:t>
      </w:r>
      <w:r w:rsidR="002D26FA" w:rsidRPr="002D26FA">
        <w:t>iii</w:t>
      </w:r>
      <w:r w:rsidRPr="002D26FA">
        <w:t xml:space="preserve">) and </w:t>
      </w:r>
      <w:r w:rsidR="00CF10CD">
        <w:rPr>
          <w:u w:val="single"/>
        </w:rPr>
        <w:t>Exhibit C</w:t>
      </w:r>
      <w:r w:rsidRPr="002D26FA">
        <w:t>, Seller must notify SCE of any test</w:t>
      </w:r>
      <w:r w:rsidRPr="00FD0EDB">
        <w:t xml:space="preserve"> at least eight</w:t>
      </w:r>
      <w:r w:rsidRPr="0027789B">
        <w:t xml:space="preserve"> (8) days in advance of the Trading Day for the date on which Seller proposes to conduct such test</w:t>
      </w:r>
      <w:r>
        <w:t xml:space="preserve">. </w:t>
      </w:r>
    </w:p>
    <w:p w14:paraId="598BEF8F" w14:textId="39FAFDE6" w:rsidR="00461C7B" w:rsidRPr="0027789B" w:rsidRDefault="00461C7B" w:rsidP="00DB7FE0">
      <w:pPr>
        <w:pStyle w:val="Heading4Text"/>
      </w:pPr>
      <w:r w:rsidRPr="0027789B">
        <w:t xml:space="preserve">With respect to any test performed after the Initial Delivery Date, Seller shall return any applicable Storage Unit(s) </w:t>
      </w:r>
      <w:r w:rsidRPr="009676F1">
        <w:t xml:space="preserve">at the end of the Seller Initiated Test to the same Stored Energy Level the Storage Units had immediately prior to the </w:t>
      </w:r>
      <w:r w:rsidRPr="002D26FA">
        <w:t>Seller Initiated Test set forth in this Section</w:t>
      </w:r>
      <w:r w:rsidR="002D26FA" w:rsidRPr="002D26FA">
        <w:t xml:space="preserve"> 5</w:t>
      </w:r>
      <w:r w:rsidRPr="002D26FA">
        <w:t>.03(c)</w:t>
      </w:r>
      <w:r w:rsidR="002D26FA" w:rsidRPr="002D26FA">
        <w:t>(iii)</w:t>
      </w:r>
      <w:r w:rsidRPr="002D26FA">
        <w:t>, and the Seller Initiated Test shall not be deemed completed</w:t>
      </w:r>
      <w:r w:rsidRPr="0027789B">
        <w:t xml:space="preserve"> until the Storage Unit has been returned to such Stored Energy Level.</w:t>
      </w:r>
    </w:p>
    <w:p w14:paraId="045D55DF" w14:textId="34C6424C" w:rsidR="000D0A41" w:rsidRDefault="00461C7B" w:rsidP="00C81A39">
      <w:pPr>
        <w:pStyle w:val="Heading4"/>
      </w:pPr>
      <w:r w:rsidRPr="0027789B">
        <w:rPr>
          <w:u w:val="single"/>
        </w:rPr>
        <w:t>Additional Seller Obligations</w:t>
      </w:r>
      <w:r w:rsidR="00F94662">
        <w:rPr>
          <w:u w:val="single"/>
        </w:rPr>
        <w:t xml:space="preserve"> (Put Periods)</w:t>
      </w:r>
      <w:r>
        <w:t xml:space="preserve">. </w:t>
      </w:r>
    </w:p>
    <w:p w14:paraId="26E28DD2" w14:textId="59B117E3" w:rsidR="00F94662" w:rsidRDefault="00461C7B" w:rsidP="00DB7FE0">
      <w:pPr>
        <w:pStyle w:val="Heading4Text"/>
      </w:pPr>
      <w:r w:rsidRPr="0027789B">
        <w:t>When requesting a Seller Initiated Test during a Put Period, Seller shall</w:t>
      </w:r>
      <w:r w:rsidR="00F94662">
        <w:t>:</w:t>
      </w:r>
    </w:p>
    <w:p w14:paraId="3A4CC57B" w14:textId="7EC9C810" w:rsidR="00E3729B" w:rsidRDefault="00F94662" w:rsidP="00DB7FE0">
      <w:pPr>
        <w:pStyle w:val="Heading5"/>
      </w:pPr>
      <w:r>
        <w:t>E</w:t>
      </w:r>
      <w:r w:rsidR="00461C7B" w:rsidRPr="0027789B">
        <w:t xml:space="preserve">nter information into the </w:t>
      </w:r>
      <w:r w:rsidR="008D3FF9">
        <w:t>Web Client</w:t>
      </w:r>
      <w:r w:rsidR="00E3729B">
        <w:t>;</w:t>
      </w:r>
    </w:p>
    <w:p w14:paraId="6447A0D9" w14:textId="3529F2A6" w:rsidR="00F94662" w:rsidRDefault="00E3729B" w:rsidP="00DB7FE0">
      <w:pPr>
        <w:pStyle w:val="Heading5"/>
      </w:pPr>
      <w:r>
        <w:t xml:space="preserve">Provide a Self-Schedule Request to SCE’s Outage Desk, substantially in the form set forth in </w:t>
      </w:r>
      <w:r>
        <w:rPr>
          <w:u w:val="single"/>
        </w:rPr>
        <w:t xml:space="preserve">Exhibit </w:t>
      </w:r>
      <w:r w:rsidR="00367C93">
        <w:rPr>
          <w:u w:val="single"/>
        </w:rPr>
        <w:t>J</w:t>
      </w:r>
      <w:r>
        <w:t>,</w:t>
      </w:r>
      <w:r>
        <w:rPr>
          <w:u w:val="single"/>
        </w:rPr>
        <w:t xml:space="preserve"> </w:t>
      </w:r>
      <w:r>
        <w:t xml:space="preserve">according to the protocols in </w:t>
      </w:r>
      <w:r w:rsidR="00367C93">
        <w:t>Exhibit K</w:t>
      </w:r>
      <w:r>
        <w:t>;</w:t>
      </w:r>
      <w:r w:rsidR="00F94662">
        <w:t xml:space="preserve"> and</w:t>
      </w:r>
      <w:r w:rsidR="00461C7B" w:rsidRPr="0027789B">
        <w:t xml:space="preserve"> </w:t>
      </w:r>
    </w:p>
    <w:p w14:paraId="68723982" w14:textId="096B96A1" w:rsidR="00461C7B" w:rsidRDefault="00F94662" w:rsidP="00DB7FE0">
      <w:pPr>
        <w:pStyle w:val="Heading5"/>
      </w:pPr>
      <w:r>
        <w:t>P</w:t>
      </w:r>
      <w:r w:rsidR="00461C7B" w:rsidRPr="0027789B">
        <w:t xml:space="preserve">rovide Availability Notices reflecting such Seller Initiated Test, as set forth in </w:t>
      </w:r>
      <w:r w:rsidR="006179DF">
        <w:t>Section 6.07 (Operational Notices)</w:t>
      </w:r>
      <w:r w:rsidR="00461C7B" w:rsidRPr="00FD0EDB">
        <w:t>.</w:t>
      </w:r>
    </w:p>
    <w:p w14:paraId="5E084021" w14:textId="5F714CE4" w:rsidR="000F3889" w:rsidRPr="000F3889" w:rsidRDefault="00A87C19" w:rsidP="00DB7FE0">
      <w:pPr>
        <w:pStyle w:val="Heading3"/>
      </w:pPr>
      <w:r>
        <w:rPr>
          <w:u w:val="single"/>
        </w:rPr>
        <w:t>Testing Records</w:t>
      </w:r>
      <w:r>
        <w:t xml:space="preserve">. </w:t>
      </w:r>
      <w:r w:rsidR="000F3889" w:rsidRPr="0027789B">
        <w:t xml:space="preserve">Seller shall maintain and provide to SCE, within fifteen (15) days </w:t>
      </w:r>
      <w:r w:rsidR="000F3889">
        <w:t>after</w:t>
      </w:r>
      <w:r w:rsidR="000F3889" w:rsidRPr="0027789B">
        <w:t xml:space="preserve"> SCE’s request, accurate records with respect to each Storage Unit(s)’ Initial Commercial Operation Test, RA Capacity Qualification Tests, and Contract Capacity </w:t>
      </w:r>
      <w:r w:rsidR="000F3889">
        <w:t>and</w:t>
      </w:r>
      <w:r w:rsidR="000F3889" w:rsidRPr="0027789B">
        <w:t xml:space="preserve"> Ancillary Services Tests</w:t>
      </w:r>
      <w:r w:rsidR="000F3889" w:rsidRPr="0027789B">
        <w:rPr>
          <w:iCs/>
        </w:rPr>
        <w:t>,</w:t>
      </w:r>
      <w:r w:rsidR="000F3889" w:rsidRPr="0027789B">
        <w:t xml:space="preserve"> including the outcomes of such tests.</w:t>
      </w:r>
    </w:p>
    <w:p w14:paraId="7436360B" w14:textId="77777777" w:rsidR="007F0C43" w:rsidRPr="00FF157D" w:rsidRDefault="007F0C43" w:rsidP="00DB7FE0">
      <w:pPr>
        <w:pStyle w:val="Heading3"/>
      </w:pPr>
      <w:bookmarkStart w:id="190" w:name="_Toc467577506"/>
      <w:bookmarkStart w:id="191" w:name="_Toc470014766"/>
      <w:bookmarkStart w:id="192" w:name="_Toc470855957"/>
      <w:bookmarkStart w:id="193" w:name="_Toc467577507"/>
      <w:bookmarkStart w:id="194" w:name="_Toc470014767"/>
      <w:bookmarkStart w:id="195" w:name="_Toc470855958"/>
      <w:bookmarkEnd w:id="179"/>
      <w:bookmarkEnd w:id="180"/>
      <w:bookmarkEnd w:id="181"/>
      <w:r w:rsidRPr="007F0C43">
        <w:rPr>
          <w:u w:val="single"/>
        </w:rPr>
        <w:t>Additional Requirements for RA Capacity Qualification Tests</w:t>
      </w:r>
      <w:r w:rsidRPr="00FF157D">
        <w:t>.</w:t>
      </w:r>
    </w:p>
    <w:p w14:paraId="5EC44625" w14:textId="77777777" w:rsidR="007F0C43" w:rsidRDefault="007F0C43" w:rsidP="00DB7FE0">
      <w:pPr>
        <w:pStyle w:val="Heading4"/>
      </w:pPr>
      <w:r w:rsidRPr="00DB7FE0">
        <w:rPr>
          <w:u w:val="single"/>
        </w:rPr>
        <w:t>Testing Notification and Attendance</w:t>
      </w:r>
      <w:r>
        <w:t xml:space="preserve">. </w:t>
      </w:r>
    </w:p>
    <w:p w14:paraId="2AC3E6EA" w14:textId="48788E4F" w:rsidR="007F0C43" w:rsidRPr="0027789B" w:rsidRDefault="007F0C43" w:rsidP="00DB7FE0">
      <w:pPr>
        <w:pStyle w:val="Heading4Text"/>
      </w:pPr>
      <w:r w:rsidRPr="0027789B">
        <w:t>Seller shall provide SCE with at least seven (7) Business Days’ Notice of Seller’s proposed dates for all RA Capacity Qualification Tests, including any RA Capacity Qualification Tests required by the CPUC</w:t>
      </w:r>
      <w:r w:rsidR="006E7922">
        <w:t>,</w:t>
      </w:r>
      <w:r w:rsidRPr="0027789B">
        <w:t xml:space="preserve"> any other applicable Governmental Authority</w:t>
      </w:r>
      <w:r w:rsidR="006E7922">
        <w:t>, or the CAISO</w:t>
      </w:r>
      <w:r w:rsidRPr="0027789B">
        <w:t xml:space="preserve">. SCE shall be entitled to have at least one (1) representative from SCE and one (1) independent third party witness present to witness each RA Capacity Qualification Test and such persons shall be allowed </w:t>
      </w:r>
      <w:r w:rsidRPr="0027789B">
        <w:lastRenderedPageBreak/>
        <w:t>unrestricted access to the area from where the plant is being controlled (e.g., plant control room), and unrestricted access to inspect the instrumentation necessary for test data acquisition prior to commencement of any test</w:t>
      </w:r>
      <w:r>
        <w:t xml:space="preserve">. </w:t>
      </w:r>
      <w:r w:rsidRPr="0027789B">
        <w:t>SCE shall be responsible for all costs, expenses and fees payable or reimbursable to the SCE representative and the third party, if any</w:t>
      </w:r>
      <w:r>
        <w:t xml:space="preserve">. </w:t>
      </w:r>
    </w:p>
    <w:p w14:paraId="387E60F2" w14:textId="77777777" w:rsidR="007F0C43" w:rsidRDefault="007F0C43" w:rsidP="00DB7FE0">
      <w:pPr>
        <w:pStyle w:val="Heading4"/>
      </w:pPr>
      <w:r w:rsidRPr="00DB7FE0">
        <w:rPr>
          <w:u w:val="single"/>
        </w:rPr>
        <w:t>Testing Results Notification</w:t>
      </w:r>
      <w:r>
        <w:t xml:space="preserve">. </w:t>
      </w:r>
    </w:p>
    <w:p w14:paraId="6359F7C2" w14:textId="77777777" w:rsidR="007F0C43" w:rsidRDefault="007F0C43" w:rsidP="00DB7FE0">
      <w:pPr>
        <w:pStyle w:val="Heading4Text"/>
      </w:pPr>
      <w:r w:rsidRPr="0027789B">
        <w:t>Seller shall provide all RA Capacity Qualification Tests results</w:t>
      </w:r>
      <w:r>
        <w:t xml:space="preserve"> throughout the Term</w:t>
      </w:r>
      <w:r w:rsidRPr="0027789B">
        <w:t xml:space="preserve"> for each Storage Unit within three (3) Business Days </w:t>
      </w:r>
      <w:r>
        <w:t>after</w:t>
      </w:r>
      <w:r w:rsidRPr="0027789B">
        <w:t xml:space="preserve"> Seller’s receipt</w:t>
      </w:r>
      <w:r>
        <w:t xml:space="preserve">. </w:t>
      </w:r>
    </w:p>
    <w:p w14:paraId="0D82B122" w14:textId="62BEF298" w:rsidR="007F0C43" w:rsidRPr="0027789B" w:rsidRDefault="007F0C43" w:rsidP="00DB7FE0">
      <w:pPr>
        <w:pStyle w:val="Heading4Text"/>
      </w:pPr>
      <w:r w:rsidRPr="0027789B">
        <w:t>Within fifteen (15) Business Days after the completion of any RA Capacity Qualification Test, Seller shall prepare and submit to SCE a written report of such test</w:t>
      </w:r>
      <w:r>
        <w:t>. T</w:t>
      </w:r>
      <w:r w:rsidRPr="0027789B">
        <w:t>he report shall include: (</w:t>
      </w:r>
      <w:r>
        <w:t>A</w:t>
      </w:r>
      <w:r w:rsidRPr="0027789B">
        <w:t>) a record of any unusual or abnormal conditions or events that occurred during such test and any actions taken in response thereto, and (</w:t>
      </w:r>
      <w:r>
        <w:t>B</w:t>
      </w:r>
      <w:r w:rsidRPr="0027789B">
        <w:t>) the measured data.</w:t>
      </w:r>
    </w:p>
    <w:p w14:paraId="69D22F27" w14:textId="77777777" w:rsidR="007F0C43" w:rsidRDefault="007F0C43" w:rsidP="00DB7FE0">
      <w:pPr>
        <w:pStyle w:val="Heading4"/>
      </w:pPr>
      <w:r w:rsidRPr="00DB7FE0">
        <w:rPr>
          <w:u w:val="single"/>
        </w:rPr>
        <w:t>Updated Unit NQC or Unit EFC</w:t>
      </w:r>
      <w:r>
        <w:t xml:space="preserve">. </w:t>
      </w:r>
    </w:p>
    <w:p w14:paraId="3F67E826" w14:textId="77777777" w:rsidR="007F0C43" w:rsidRDefault="007F0C43" w:rsidP="00DB7FE0">
      <w:pPr>
        <w:pStyle w:val="Heading4Text"/>
      </w:pPr>
      <w:r w:rsidRPr="0027789B">
        <w:t>Seller shall notify SCE within three (3) Business Days after it, or the Storage Unit’s SC, receives notice from the CAISO, or Seller or the Storage Unit’s SC becomes aware, that the Unit NQC or Unit EFC of any Storage Unit has changed, regardless of whether there is an increase or decrease in any such Unit NQC or Unit EFC.</w:t>
      </w:r>
    </w:p>
    <w:p w14:paraId="24E61910" w14:textId="77777777" w:rsidR="00A6128D" w:rsidRPr="00FD0EDB" w:rsidRDefault="00A6128D" w:rsidP="00A6128D">
      <w:pPr>
        <w:pStyle w:val="Heading2"/>
        <w:keepNext w:val="0"/>
        <w:keepLines w:val="0"/>
        <w:rPr>
          <w:u w:val="none"/>
        </w:rPr>
      </w:pPr>
      <w:bookmarkStart w:id="196" w:name="_Toc510788257"/>
      <w:r w:rsidRPr="0027789B">
        <w:t xml:space="preserve">CAISO </w:t>
      </w:r>
      <w:r w:rsidRPr="00FD0EDB">
        <w:t>Certification</w:t>
      </w:r>
      <w:r w:rsidRPr="00FD0EDB">
        <w:rPr>
          <w:u w:val="none"/>
        </w:rPr>
        <w:t>.</w:t>
      </w:r>
      <w:bookmarkEnd w:id="196"/>
    </w:p>
    <w:p w14:paraId="10902C05" w14:textId="7ED3D073" w:rsidR="000C1651" w:rsidRDefault="000C1651" w:rsidP="00A6128D">
      <w:pPr>
        <w:pStyle w:val="Heading2Text"/>
      </w:pPr>
      <w:r w:rsidRPr="000C1651">
        <w:t xml:space="preserve">Seller shall provide all CAISO Certification test results </w:t>
      </w:r>
      <w:r w:rsidR="00C03AB2">
        <w:t>for each initial or subsequent test of each Storage Unit</w:t>
      </w:r>
      <w:r w:rsidR="00C03AB2" w:rsidRPr="000C1651" w:rsidDel="00C03AB2">
        <w:t xml:space="preserve"> </w:t>
      </w:r>
      <w:r w:rsidRPr="000C1651">
        <w:t xml:space="preserve">within three (3) Business Days </w:t>
      </w:r>
      <w:r w:rsidR="005E44F5">
        <w:t>after</w:t>
      </w:r>
      <w:r w:rsidR="005E44F5" w:rsidRPr="000C1651">
        <w:t xml:space="preserve"> </w:t>
      </w:r>
      <w:r w:rsidRPr="000C1651">
        <w:t>Seller’s receipt.</w:t>
      </w:r>
      <w:r w:rsidR="00F94662">
        <w:t xml:space="preserve"> N</w:t>
      </w:r>
      <w:r w:rsidR="00F94662" w:rsidRPr="0027789B">
        <w:t xml:space="preserve">othing in this Agreement, </w:t>
      </w:r>
      <w:r w:rsidR="00F94662" w:rsidRPr="006179DF">
        <w:t>including the Exhibits and</w:t>
      </w:r>
      <w:r w:rsidR="00F94662" w:rsidRPr="009676F1">
        <w:t xml:space="preserve"> the</w:t>
      </w:r>
      <w:r w:rsidR="00F94662" w:rsidRPr="0027789B">
        <w:t xml:space="preserve"> Operating Restrictions, shall be amended to reflect the outcome of any CAISO Certification</w:t>
      </w:r>
      <w:r w:rsidR="00F94662">
        <w:t>.</w:t>
      </w:r>
    </w:p>
    <w:p w14:paraId="2A5C36FB" w14:textId="1EF0B7AD" w:rsidR="00A6128D" w:rsidRPr="0027789B" w:rsidRDefault="00A6128D" w:rsidP="00A6128D">
      <w:pPr>
        <w:pStyle w:val="Heading2Text"/>
      </w:pPr>
      <w:r w:rsidRPr="0027789B">
        <w:t xml:space="preserve">Notwithstanding the preceding </w:t>
      </w:r>
      <w:r w:rsidR="000C1651">
        <w:t>paragraph</w:t>
      </w:r>
      <w:r w:rsidRPr="0027789B">
        <w:t xml:space="preserve">, SCE has the right during any Put Period and during any Local Resource Constrained </w:t>
      </w:r>
      <w:r>
        <w:t>Day</w:t>
      </w:r>
      <w:r w:rsidRPr="0027789B">
        <w:t xml:space="preserve"> to discharge and charge the Storage Unit(s) within the parameters established by the CAISO Certification of the Storage Units and to the Storage Unit(s)’ PMAX.</w:t>
      </w:r>
    </w:p>
    <w:p w14:paraId="7E1B4EDB" w14:textId="77777777" w:rsidR="00461C7B" w:rsidRPr="0027789B" w:rsidRDefault="00461C7B" w:rsidP="00461C7B">
      <w:pPr>
        <w:pStyle w:val="Heading1"/>
        <w:keepNext w:val="0"/>
        <w:keepLines w:val="0"/>
      </w:pPr>
      <w:bookmarkStart w:id="197" w:name="_Toc510788258"/>
      <w:bookmarkEnd w:id="190"/>
      <w:bookmarkEnd w:id="191"/>
      <w:bookmarkEnd w:id="192"/>
      <w:r w:rsidRPr="0027789B">
        <w:t>SELLER’S OPERATION, MAINTENANCE AND REPAIR OBLIGATIONS</w:t>
      </w:r>
      <w:bookmarkEnd w:id="193"/>
      <w:bookmarkEnd w:id="194"/>
      <w:bookmarkEnd w:id="195"/>
      <w:bookmarkEnd w:id="197"/>
    </w:p>
    <w:p w14:paraId="583C1DA7" w14:textId="77777777" w:rsidR="00A6128D" w:rsidRDefault="00A6128D" w:rsidP="00A6128D">
      <w:pPr>
        <w:pStyle w:val="Heading2"/>
        <w:keepNext w:val="0"/>
        <w:keepLines w:val="0"/>
        <w:rPr>
          <w:u w:val="none"/>
        </w:rPr>
      </w:pPr>
      <w:bookmarkStart w:id="198" w:name="_Toc467577508"/>
      <w:bookmarkStart w:id="199" w:name="_Toc470014768"/>
      <w:bookmarkStart w:id="200" w:name="_Toc470855959"/>
      <w:bookmarkStart w:id="201" w:name="_Toc510788259"/>
      <w:bookmarkStart w:id="202" w:name="_Toc467577509"/>
      <w:bookmarkStart w:id="203" w:name="_Toc470014769"/>
      <w:bookmarkStart w:id="204" w:name="_Toc470855960"/>
      <w:r w:rsidRPr="0027789B">
        <w:t>Seller’s Operation Obligations</w:t>
      </w:r>
      <w:r w:rsidRPr="00FF157D">
        <w:rPr>
          <w:u w:val="none"/>
        </w:rPr>
        <w:t>.</w:t>
      </w:r>
      <w:bookmarkEnd w:id="198"/>
      <w:bookmarkEnd w:id="199"/>
      <w:bookmarkEnd w:id="200"/>
      <w:bookmarkEnd w:id="201"/>
    </w:p>
    <w:p w14:paraId="154A63E4" w14:textId="77777777" w:rsidR="00A6128D" w:rsidRPr="00DA2D5E" w:rsidRDefault="00A6128D" w:rsidP="00A6128D">
      <w:pPr>
        <w:jc w:val="center"/>
        <w:rPr>
          <w:i/>
          <w:color w:val="FF0000"/>
        </w:rPr>
      </w:pPr>
      <w:r w:rsidRPr="00DB7FE0">
        <w:rPr>
          <w:i/>
          <w:color w:val="0000FF"/>
        </w:rPr>
        <w:lastRenderedPageBreak/>
        <w:t>[Subject To Change Based On Technology]</w:t>
      </w:r>
    </w:p>
    <w:p w14:paraId="61E6DB99" w14:textId="53F8456A" w:rsidR="00A6128D" w:rsidRPr="009676F1" w:rsidRDefault="00A6128D" w:rsidP="00A6128D">
      <w:pPr>
        <w:pStyle w:val="Heading3"/>
      </w:pPr>
      <w:r w:rsidRPr="0027789B">
        <w:t xml:space="preserve">Seller shall operate the Project in </w:t>
      </w:r>
      <w:r w:rsidRPr="009676F1">
        <w:t xml:space="preserve">accordance with Prudent Electrical Practices, Applicable Laws, Permit Requirements, and </w:t>
      </w:r>
      <w:r w:rsidRPr="00DB7FE0">
        <w:rPr>
          <w:color w:val="000000"/>
        </w:rPr>
        <w:t>Industry Standards</w:t>
      </w:r>
      <w:r w:rsidRPr="009676F1">
        <w:rPr>
          <w:color w:val="000000"/>
        </w:rPr>
        <w:t>.</w:t>
      </w:r>
    </w:p>
    <w:p w14:paraId="44FDFB24" w14:textId="77777777" w:rsidR="00FE06DB" w:rsidRDefault="00A6128D" w:rsidP="00A6128D">
      <w:pPr>
        <w:pStyle w:val="Heading3"/>
      </w:pPr>
      <w:r w:rsidRPr="009676F1">
        <w:t xml:space="preserve">Seller shall maintain all records applicable to each Storage Unit, including the electrical characteristics of the Storage Unit(s) and settings or adjustments of the Storage Unit(s) control equipment (including the power conversion system) and protective devices, and a daily log of maintenance performed, outages, changes in operating status, inspections and any other significant events related to the operation of each Storage Unit. </w:t>
      </w:r>
    </w:p>
    <w:p w14:paraId="57617D40" w14:textId="21E30D1F" w:rsidR="00FE06DB" w:rsidRDefault="00A6128D" w:rsidP="00DB7FE0">
      <w:pPr>
        <w:pStyle w:val="Heading3Text"/>
      </w:pPr>
      <w:r w:rsidRPr="009676F1">
        <w:t>In addition, for any Put Period, Seller shall maintain a daily operations log for each Storage Unit which shall include information on charging and discharging (including charging and discharging efficiency), electric energy consumption and efficiency, Stored Energy Level, and availability (inclu</w:t>
      </w:r>
      <w:r w:rsidRPr="00B022A3">
        <w:t xml:space="preserve">ding availability to charge and discharge and its ability to store energy). </w:t>
      </w:r>
    </w:p>
    <w:p w14:paraId="70835824" w14:textId="1E7B3495" w:rsidR="00A6128D" w:rsidRPr="009676F1" w:rsidRDefault="00A6128D" w:rsidP="00DB7FE0">
      <w:pPr>
        <w:pStyle w:val="Heading3Text"/>
      </w:pPr>
      <w:r w:rsidRPr="00B022A3">
        <w:t>Information maintained pursuant to this Section</w:t>
      </w:r>
      <w:r w:rsidR="00B022A3" w:rsidRPr="00B022A3">
        <w:t xml:space="preserve"> 6</w:t>
      </w:r>
      <w:r w:rsidRPr="00B022A3">
        <w:t>.01(b) shall be</w:t>
      </w:r>
      <w:r w:rsidRPr="009676F1">
        <w:t xml:space="preserve"> provided to SCE, within fifteen (15) days </w:t>
      </w:r>
      <w:r w:rsidR="005E44F5">
        <w:t>after</w:t>
      </w:r>
      <w:r w:rsidR="005E44F5" w:rsidRPr="009676F1">
        <w:t xml:space="preserve"> </w:t>
      </w:r>
      <w:r w:rsidRPr="009676F1">
        <w:t>SCE’s request.</w:t>
      </w:r>
    </w:p>
    <w:p w14:paraId="3B246052" w14:textId="652D4D17" w:rsidR="00A6128D" w:rsidRPr="0027789B" w:rsidRDefault="00A6128D" w:rsidP="00A6128D">
      <w:pPr>
        <w:pStyle w:val="Heading3"/>
      </w:pPr>
      <w:r w:rsidRPr="0027789B">
        <w:t>At SCE’s request, during any Put Period, Seller shall make all reasonable efforts to deliver Energy to the Energy Delivery Point at an average rate of delivery at least equal to the Contract Capacity during periods of CAISO-declared system emergency for as long as necessary to respond to the CAISO-declared system emergency.</w:t>
      </w:r>
    </w:p>
    <w:p w14:paraId="7D8FF41D" w14:textId="15F34619" w:rsidR="00A6128D" w:rsidRPr="0027789B" w:rsidRDefault="00A6128D" w:rsidP="00A6128D">
      <w:pPr>
        <w:pStyle w:val="Heading3"/>
      </w:pPr>
      <w:r w:rsidRPr="0027789B">
        <w:t xml:space="preserve">SCE or the CAISO may require Seller, at Seller’s expense, to demonstrate to SCE’s reasonable satisfaction the correct calibration and operation of Seller’s Protective Apparatus any time SCE or the CAISO has reason to believe that </w:t>
      </w:r>
      <w:r w:rsidR="00293060">
        <w:t>the</w:t>
      </w:r>
      <w:r w:rsidR="00293060" w:rsidRPr="0027789B">
        <w:t xml:space="preserve"> </w:t>
      </w:r>
      <w:r w:rsidRPr="0027789B">
        <w:t>Protective Apparatus may impair the integrity of the Transmission Provider’s electric system or the CAISO Controlled Grid.</w:t>
      </w:r>
    </w:p>
    <w:p w14:paraId="169503EF" w14:textId="77777777" w:rsidR="00A6128D" w:rsidRPr="0027789B" w:rsidRDefault="00A6128D" w:rsidP="00A6128D">
      <w:pPr>
        <w:pStyle w:val="Heading3"/>
      </w:pPr>
      <w:r w:rsidRPr="00673CD7">
        <w:rPr>
          <w:u w:val="single"/>
        </w:rPr>
        <w:t>DERs</w:t>
      </w:r>
      <w:r w:rsidRPr="00FF157D">
        <w:rPr>
          <w:u w:val="single"/>
        </w:rPr>
        <w:t xml:space="preserve"> Monitoring</w:t>
      </w:r>
      <w:r>
        <w:t>.</w:t>
      </w:r>
    </w:p>
    <w:p w14:paraId="6DC4A3FD" w14:textId="383D28F0" w:rsidR="00A6128D" w:rsidRPr="0027789B" w:rsidRDefault="00A6128D" w:rsidP="00A6128D">
      <w:pPr>
        <w:pStyle w:val="Heading4"/>
      </w:pPr>
      <w:r w:rsidRPr="0027789B">
        <w:rPr>
          <w:lang w:val="en"/>
        </w:rPr>
        <w:t xml:space="preserve">The Parties acknowledge that, </w:t>
      </w:r>
      <w:r>
        <w:rPr>
          <w:lang w:val="en"/>
        </w:rPr>
        <w:t>during the Term</w:t>
      </w:r>
      <w:r w:rsidRPr="0027789B">
        <w:rPr>
          <w:lang w:val="en"/>
        </w:rPr>
        <w:t xml:space="preserve">, </w:t>
      </w:r>
      <w:r w:rsidRPr="00DB7FE0">
        <w:rPr>
          <w:lang w:val="en"/>
        </w:rPr>
        <w:t>GDERMS</w:t>
      </w:r>
      <w:r w:rsidRPr="0027789B">
        <w:rPr>
          <w:lang w:val="en"/>
        </w:rPr>
        <w:t xml:space="preserve"> may progress in a manner that allows SCE to exercise greater access to real-time monito</w:t>
      </w:r>
      <w:r w:rsidR="000B03C7">
        <w:rPr>
          <w:lang w:val="en"/>
        </w:rPr>
        <w:t>ring of grid assets, including DERs</w:t>
      </w:r>
      <w:r w:rsidRPr="0027789B">
        <w:rPr>
          <w:lang w:val="en"/>
        </w:rPr>
        <w:t>, consistent with interconnection facilities requirements (“</w:t>
      </w:r>
      <w:r w:rsidRPr="0027789B">
        <w:rPr>
          <w:u w:val="single"/>
          <w:lang w:val="en"/>
        </w:rPr>
        <w:t>DER</w:t>
      </w:r>
      <w:r>
        <w:rPr>
          <w:u w:val="single"/>
          <w:lang w:val="en"/>
        </w:rPr>
        <w:t>s</w:t>
      </w:r>
      <w:r w:rsidRPr="0027789B">
        <w:rPr>
          <w:u w:val="single"/>
          <w:lang w:val="en"/>
        </w:rPr>
        <w:t xml:space="preserve"> Monitoring</w:t>
      </w:r>
      <w:r w:rsidRPr="0027789B">
        <w:rPr>
          <w:lang w:val="en"/>
        </w:rPr>
        <w:t>”)</w:t>
      </w:r>
      <w:r>
        <w:rPr>
          <w:lang w:val="en"/>
        </w:rPr>
        <w:t xml:space="preserve">. </w:t>
      </w:r>
      <w:r w:rsidRPr="0027789B">
        <w:rPr>
          <w:lang w:val="en"/>
        </w:rPr>
        <w:t xml:space="preserve">If such GDERMS become available during the </w:t>
      </w:r>
      <w:r>
        <w:rPr>
          <w:lang w:val="en"/>
        </w:rPr>
        <w:t>Term</w:t>
      </w:r>
      <w:r w:rsidRPr="0027789B">
        <w:rPr>
          <w:lang w:val="en"/>
        </w:rPr>
        <w:t>, Seller agrees to implement new or upgraded DER to GDERMS interfacing equipment to the Project to allow for such DER</w:t>
      </w:r>
      <w:r>
        <w:rPr>
          <w:lang w:val="en"/>
        </w:rPr>
        <w:t>s</w:t>
      </w:r>
      <w:r w:rsidRPr="0027789B">
        <w:rPr>
          <w:lang w:val="en"/>
        </w:rPr>
        <w:t xml:space="preserve"> Monitoring.</w:t>
      </w:r>
    </w:p>
    <w:p w14:paraId="2BD41BA5" w14:textId="3789E463" w:rsidR="00A6128D" w:rsidRDefault="00A6128D" w:rsidP="00A6128D">
      <w:pPr>
        <w:pStyle w:val="Heading4"/>
        <w:rPr>
          <w:lang w:val="en"/>
        </w:rPr>
      </w:pPr>
      <w:r w:rsidRPr="0027789B">
        <w:rPr>
          <w:lang w:val="en"/>
        </w:rPr>
        <w:lastRenderedPageBreak/>
        <w:t xml:space="preserve">Once the </w:t>
      </w:r>
      <w:r w:rsidR="00293060">
        <w:rPr>
          <w:lang w:val="en"/>
        </w:rPr>
        <w:t>GDERMS</w:t>
      </w:r>
      <w:r w:rsidRPr="0027789B">
        <w:rPr>
          <w:lang w:val="en"/>
        </w:rPr>
        <w:t xml:space="preserve"> become available within SCE’s service territory, </w:t>
      </w:r>
      <w:r w:rsidR="00293060">
        <w:rPr>
          <w:lang w:val="en"/>
        </w:rPr>
        <w:t>as</w:t>
      </w:r>
      <w:r w:rsidRPr="0027789B">
        <w:rPr>
          <w:lang w:val="en"/>
        </w:rPr>
        <w:t xml:space="preserve"> determined by SCE, Seller agrees to change the Project to allow SCE to implement DER</w:t>
      </w:r>
      <w:r>
        <w:rPr>
          <w:lang w:val="en"/>
        </w:rPr>
        <w:t>s</w:t>
      </w:r>
      <w:r w:rsidRPr="0027789B">
        <w:rPr>
          <w:lang w:val="en"/>
        </w:rPr>
        <w:t xml:space="preserve"> Monitoring, including the installation of any necessary </w:t>
      </w:r>
      <w:r w:rsidR="008D3FF9">
        <w:rPr>
          <w:lang w:val="en"/>
        </w:rPr>
        <w:t xml:space="preserve">telemetry or </w:t>
      </w:r>
      <w:r w:rsidRPr="0027789B">
        <w:rPr>
          <w:lang w:val="en"/>
        </w:rPr>
        <w:t>equipment required for such DER</w:t>
      </w:r>
      <w:r>
        <w:rPr>
          <w:lang w:val="en"/>
        </w:rPr>
        <w:t>s</w:t>
      </w:r>
      <w:r w:rsidRPr="0027789B">
        <w:rPr>
          <w:lang w:val="en"/>
        </w:rPr>
        <w:t xml:space="preserve"> Monitoring</w:t>
      </w:r>
      <w:r w:rsidR="008D3FF9">
        <w:rPr>
          <w:lang w:val="en"/>
        </w:rPr>
        <w:t xml:space="preserve"> (“</w:t>
      </w:r>
      <w:r w:rsidR="008D3FF9" w:rsidRPr="008B3C43">
        <w:rPr>
          <w:u w:val="single"/>
          <w:lang w:val="en"/>
        </w:rPr>
        <w:t>DER Upgrade</w:t>
      </w:r>
      <w:r w:rsidR="008D3FF9">
        <w:rPr>
          <w:lang w:val="en"/>
        </w:rPr>
        <w:t>”)</w:t>
      </w:r>
      <w:r>
        <w:rPr>
          <w:lang w:val="en"/>
        </w:rPr>
        <w:t xml:space="preserve">. </w:t>
      </w:r>
      <w:r w:rsidRPr="0027789B">
        <w:rPr>
          <w:lang w:val="en"/>
        </w:rPr>
        <w:t>Prior to the purchase and installation of any equipment for the implementation of DER</w:t>
      </w:r>
      <w:r>
        <w:rPr>
          <w:lang w:val="en"/>
        </w:rPr>
        <w:t>s</w:t>
      </w:r>
      <w:r w:rsidRPr="0027789B">
        <w:rPr>
          <w:lang w:val="en"/>
        </w:rPr>
        <w:t xml:space="preserve"> Monitoring, Seller shall (A) consult with SCE regarding all proposed installation plans and equipment modifications and (B) obtain SCE approval of any such proposed installation plans and equipment modifications.</w:t>
      </w:r>
    </w:p>
    <w:p w14:paraId="10D02E16" w14:textId="49B95702" w:rsidR="000B03C7" w:rsidRDefault="000B03C7" w:rsidP="000B03C7">
      <w:pPr>
        <w:pStyle w:val="Heading4"/>
        <w:rPr>
          <w:rFonts w:eastAsia="Times New Roman"/>
        </w:rPr>
      </w:pPr>
      <w:r>
        <w:rPr>
          <w:rFonts w:eastAsia="Times New Roman"/>
        </w:rPr>
        <w:t xml:space="preserve">Subject to this Section 6.01(e), Seller shall not be responsible for any out-of-pocket expenses in order to make any DER Upgrade.  If Seller reasonably </w:t>
      </w:r>
      <w:r w:rsidRPr="000B03C7">
        <w:rPr>
          <w:lang w:val="en"/>
        </w:rPr>
        <w:t>anticipates</w:t>
      </w:r>
      <w:r>
        <w:rPr>
          <w:rFonts w:eastAsia="Times New Roman"/>
        </w:rPr>
        <w:t xml:space="preserve"> that it will incur out-of-pocket expenses to effectuate any DER Upgrade required by SCE, Seller shall provide Notice to SCE of such anticipated out-of-pocket expenses. SCE will have sixty (60) days to evaluate such Notice (during which time period Seller shall not be obligated to take any actions to implement the DER Upgrade) and shall, within such time, either:</w:t>
      </w:r>
    </w:p>
    <w:p w14:paraId="1D84B9BE" w14:textId="77777777" w:rsidR="000B03C7" w:rsidRPr="000B03C7" w:rsidRDefault="000B03C7" w:rsidP="000B03C7">
      <w:pPr>
        <w:pStyle w:val="Heading5"/>
        <w:widowControl w:val="0"/>
        <w:rPr>
          <w:rFonts w:eastAsia="Times New Roman"/>
        </w:rPr>
      </w:pPr>
      <w:r w:rsidRPr="000B03C7">
        <w:rPr>
          <w:rFonts w:eastAsia="Times New Roman"/>
        </w:rPr>
        <w:t>Agree to reimburse Seller for all or some portion of such costs (such SCE-agreed upon costs, the “</w:t>
      </w:r>
      <w:r w:rsidRPr="000B03C7">
        <w:rPr>
          <w:rFonts w:eastAsia="Times New Roman"/>
          <w:u w:val="single"/>
        </w:rPr>
        <w:t>Accepted DER Costs</w:t>
      </w:r>
      <w:r w:rsidRPr="000B03C7">
        <w:rPr>
          <w:rFonts w:eastAsia="Times New Roman"/>
        </w:rPr>
        <w:t>”). If SCE agrees to reimburse Seller for the Accepted DER Costs, then Seller shall install and implement such DER Upgrade covered by the Accepted DER Costs and SCE shall reimburse Seller for Seller’s actual costs to effect the DER Upgrade, not to exceed the Accepted DER Costs; or</w:t>
      </w:r>
    </w:p>
    <w:p w14:paraId="07D666E6" w14:textId="77777777" w:rsidR="000B03C7" w:rsidRPr="000B03C7" w:rsidRDefault="000B03C7" w:rsidP="000B03C7">
      <w:pPr>
        <w:pStyle w:val="Heading5"/>
        <w:widowControl w:val="0"/>
        <w:rPr>
          <w:rFonts w:eastAsia="Times New Roman"/>
        </w:rPr>
      </w:pPr>
      <w:r w:rsidRPr="000B03C7">
        <w:rPr>
          <w:rFonts w:eastAsia="Times New Roman"/>
        </w:rPr>
        <w:t>Waive Seller’s obligation to implement such DER Upgrade, or any part thereof for which SCE has not agreed to reimburse Seller.</w:t>
      </w:r>
    </w:p>
    <w:p w14:paraId="473633DC" w14:textId="384F9B73" w:rsidR="000B03C7" w:rsidRPr="002B18E5" w:rsidRDefault="000B03C7" w:rsidP="000B03C7">
      <w:pPr>
        <w:pStyle w:val="Heading3"/>
        <w:widowControl w:val="0"/>
        <w:numPr>
          <w:ilvl w:val="0"/>
          <w:numId w:val="0"/>
        </w:numPr>
        <w:ind w:left="2592"/>
        <w:rPr>
          <w:rFonts w:eastAsia="Times New Roman"/>
        </w:rPr>
      </w:pPr>
      <w:r>
        <w:rPr>
          <w:rFonts w:eastAsia="Times New Roman"/>
        </w:rPr>
        <w:t>Notwithstanding the foregoing, to the extent that this Agreement (other than pursuant to this Section 6.01(e)), the CAISO Tariff, Applicable Laws, Seller’s interconnection agreement, or SCE, in its capacity as participating transmission or distribution owner, requires Seller to make a DER Upgrade, Seller shall implement such DER Upgrade and shall bear the entire cost of any such DER Upgrades.</w:t>
      </w:r>
    </w:p>
    <w:p w14:paraId="768C123B" w14:textId="77777777" w:rsidR="00327DD1" w:rsidRDefault="00327DD1" w:rsidP="00327DD1">
      <w:pPr>
        <w:pStyle w:val="Heading2"/>
        <w:keepNext w:val="0"/>
        <w:keepLines w:val="0"/>
        <w:rPr>
          <w:u w:val="none"/>
        </w:rPr>
      </w:pPr>
      <w:bookmarkStart w:id="205" w:name="_Toc510788260"/>
      <w:r w:rsidRPr="0027789B">
        <w:t>Seller’s Maintenance and Repair Obligations</w:t>
      </w:r>
      <w:r w:rsidRPr="00FF157D">
        <w:rPr>
          <w:u w:val="none"/>
        </w:rPr>
        <w:t>.</w:t>
      </w:r>
      <w:bookmarkEnd w:id="202"/>
      <w:bookmarkEnd w:id="203"/>
      <w:bookmarkEnd w:id="204"/>
      <w:bookmarkEnd w:id="205"/>
    </w:p>
    <w:p w14:paraId="18909B01" w14:textId="77777777" w:rsidR="00327DD1" w:rsidRPr="00B022A3" w:rsidRDefault="00327DD1" w:rsidP="00327DD1">
      <w:pPr>
        <w:pStyle w:val="Heading3"/>
      </w:pPr>
      <w:r w:rsidRPr="00B022A3">
        <w:t xml:space="preserve">Seller shall inspect, maintain, and repair the Project and, if necessary, replace, each Storage Unit and Prevention Equipment, and any portion thereof, in accordance with applicable Industry Standards. Seller shall maintain, and </w:t>
      </w:r>
      <w:r w:rsidRPr="00B022A3">
        <w:lastRenderedPageBreak/>
        <w:t>deliver to SCE upon request, maintenance and repair records of each Storage Unit.</w:t>
      </w:r>
    </w:p>
    <w:p w14:paraId="7E97270A" w14:textId="6FE307DD" w:rsidR="00327DD1" w:rsidRPr="009676F1" w:rsidRDefault="00327DD1" w:rsidP="00327DD1">
      <w:pPr>
        <w:pStyle w:val="Heading3"/>
      </w:pPr>
      <w:r w:rsidRPr="00B022A3">
        <w:t>Subject to Section</w:t>
      </w:r>
      <w:r w:rsidR="00B022A3" w:rsidRPr="00B022A3">
        <w:t xml:space="preserve"> 6</w:t>
      </w:r>
      <w:r w:rsidRPr="00B022A3">
        <w:t>.02(c), Seller</w:t>
      </w:r>
      <w:r w:rsidRPr="009676F1">
        <w:t xml:space="preserve"> shall promptly make all necessary repairs to the Project or, if necessary, replacement of each Storage Unit, and any portion thereof, and take all actions necessary in order to provide the Product to SCE in accordance with the terms of this Agreement.</w:t>
      </w:r>
    </w:p>
    <w:p w14:paraId="07C194E3" w14:textId="08C06BFC" w:rsidR="00327DD1" w:rsidRPr="009676F1" w:rsidRDefault="00D8575F" w:rsidP="00327DD1">
      <w:pPr>
        <w:pStyle w:val="Heading3"/>
      </w:pPr>
      <w:r>
        <w:t>If</w:t>
      </w:r>
      <w:r w:rsidR="00327DD1" w:rsidRPr="009676F1">
        <w:t xml:space="preserve">: </w:t>
      </w:r>
    </w:p>
    <w:p w14:paraId="28796B75" w14:textId="086062D2" w:rsidR="00327DD1" w:rsidRPr="009676F1" w:rsidRDefault="00327DD1" w:rsidP="00327DD1">
      <w:pPr>
        <w:pStyle w:val="Heading4"/>
      </w:pPr>
      <w:r w:rsidRPr="009676F1">
        <w:t xml:space="preserve">an equipment failure (regardless of when such equipment failure occurs) with respect to any single Storage Unit results in the Expected Contract Quantity for such Storage Unit being less than or equal to </w:t>
      </w:r>
      <w:r w:rsidR="003A5B37">
        <w:t>seventy</w:t>
      </w:r>
      <w:r w:rsidRPr="009676F1">
        <w:t>-five percent (</w:t>
      </w:r>
      <w:r w:rsidR="00DC6241">
        <w:t>7</w:t>
      </w:r>
      <w:r w:rsidRPr="009676F1">
        <w:t>5%) of the applicable</w:t>
      </w:r>
      <w:r w:rsidRPr="009676F1" w:rsidDel="007879DB">
        <w:rPr>
          <w:i/>
          <w:color w:val="FF0000"/>
        </w:rPr>
        <w:t xml:space="preserve"> </w:t>
      </w:r>
      <w:r w:rsidRPr="009676F1">
        <w:t>SU Contract Capacity for such Storage Unit on average for a period of time exceeding forty-five (45) consecutive days during any RA Period,</w:t>
      </w:r>
    </w:p>
    <w:p w14:paraId="551C3AAC" w14:textId="3F2B1E51" w:rsidR="00327DD1" w:rsidRPr="009676F1" w:rsidRDefault="00327DD1" w:rsidP="00327DD1">
      <w:pPr>
        <w:pStyle w:val="Heading4"/>
      </w:pPr>
      <w:r w:rsidRPr="009676F1">
        <w:t>a Contract Capacity and Ancillary Service Test demonstrates that, during any Put Period:</w:t>
      </w:r>
    </w:p>
    <w:p w14:paraId="3703CA27" w14:textId="77777777" w:rsidR="00327DD1" w:rsidRPr="009676F1" w:rsidRDefault="00327DD1" w:rsidP="00327DD1">
      <w:pPr>
        <w:pStyle w:val="Heading5"/>
      </w:pPr>
      <w:r w:rsidRPr="009676F1">
        <w:t xml:space="preserve">the Discharging Capacity of any single Storage Unit is less than or equal to seventy-five percent (75%) of the applicable SU Contract Capacity,  </w:t>
      </w:r>
    </w:p>
    <w:p w14:paraId="276F02B3" w14:textId="7436CDAF" w:rsidR="00327DD1" w:rsidRPr="009676F1" w:rsidRDefault="00327DD1" w:rsidP="00327DD1">
      <w:pPr>
        <w:pStyle w:val="Heading5"/>
      </w:pPr>
      <w:r w:rsidRPr="009676F1">
        <w:t>the Charging Capacity of any single Storage Unit is less than or equal to seventy-five percent (75%) of the applicable SU Contract Capacity, or</w:t>
      </w:r>
    </w:p>
    <w:p w14:paraId="68C76045" w14:textId="74BBD3B3" w:rsidR="00327DD1" w:rsidRPr="009676F1" w:rsidRDefault="00327DD1" w:rsidP="00327DD1">
      <w:pPr>
        <w:pStyle w:val="Heading5"/>
      </w:pPr>
      <w:r w:rsidRPr="009676F1">
        <w:t>the Storage Capacity of any single Storage Unit is less than or equal to seventy-five percent (</w:t>
      </w:r>
      <w:r w:rsidR="007F5487">
        <w:t>7</w:t>
      </w:r>
      <w:r w:rsidRPr="009676F1">
        <w:t xml:space="preserve">5%) of the applicable Maximum Storage Level, </w:t>
      </w:r>
    </w:p>
    <w:p w14:paraId="43C52FB3" w14:textId="6F3B10E7" w:rsidR="00327DD1" w:rsidRPr="009676F1" w:rsidRDefault="00327DD1" w:rsidP="00327DD1">
      <w:pPr>
        <w:pStyle w:val="Heading4"/>
      </w:pPr>
      <w:r w:rsidRPr="009676F1">
        <w:t xml:space="preserve">an equipment failure (regardless of when such equipment failure occurs) with respect to any single Storage Unit results, during any Put Period, in: </w:t>
      </w:r>
    </w:p>
    <w:p w14:paraId="7EC3D0CC" w14:textId="48045159" w:rsidR="00327DD1" w:rsidRPr="009676F1" w:rsidRDefault="00327DD1" w:rsidP="00327DD1">
      <w:pPr>
        <w:pStyle w:val="Heading5"/>
      </w:pPr>
      <w:r w:rsidRPr="009676F1">
        <w:t xml:space="preserve">the Discharging Capacity of such Storage Unit being, less than or equal to seventy-five percent (75%) of the applicable SU Contract Capacity on average for a period of time exceeding seven (7) consecutive days, </w:t>
      </w:r>
    </w:p>
    <w:p w14:paraId="392E1C18" w14:textId="68B19EAB" w:rsidR="00327DD1" w:rsidRPr="009676F1" w:rsidRDefault="00327DD1" w:rsidP="00327DD1">
      <w:pPr>
        <w:pStyle w:val="Heading5"/>
      </w:pPr>
      <w:r w:rsidRPr="009676F1">
        <w:t xml:space="preserve">the Charging Capacity of such Storage Unit being, less than or equal to seventy-five percent (75%) of the applicable SU </w:t>
      </w:r>
      <w:r w:rsidRPr="009676F1">
        <w:lastRenderedPageBreak/>
        <w:t>Contract Capacity on average for a period of time exceeding seven (7) consecutive days,</w:t>
      </w:r>
    </w:p>
    <w:p w14:paraId="38F89378" w14:textId="0120F013" w:rsidR="00327DD1" w:rsidRPr="009676F1" w:rsidRDefault="00327DD1" w:rsidP="00327DD1">
      <w:pPr>
        <w:pStyle w:val="Heading5"/>
      </w:pPr>
      <w:r w:rsidRPr="009676F1">
        <w:t>the Storage Capacity of such Storage Unit being, less than or equal to seventy-five percent (75%) of the applicable Maximum Storage Level on average for a period of time exceeding seven (7) consecutive days,</w:t>
      </w:r>
    </w:p>
    <w:p w14:paraId="333E38C3" w14:textId="67A6B63B" w:rsidR="00327DD1" w:rsidRPr="0027789B" w:rsidRDefault="00327DD1" w:rsidP="00327DD1">
      <w:pPr>
        <w:pStyle w:val="Heading3Text"/>
      </w:pPr>
      <w:r w:rsidRPr="009676F1">
        <w:t xml:space="preserve">Seller shall repair such Storage Unit in accordance with Prudent Electrical Practices and the procedure set </w:t>
      </w:r>
      <w:r w:rsidRPr="00B022A3">
        <w:t xml:space="preserve">forth in this Section </w:t>
      </w:r>
      <w:r w:rsidR="00B022A3" w:rsidRPr="00B022A3">
        <w:t>6</w:t>
      </w:r>
      <w:r w:rsidRPr="00B022A3">
        <w:t>.02.</w:t>
      </w:r>
      <w:r w:rsidRPr="009676F1">
        <w:t xml:space="preserve"> Within fourteen (14) days </w:t>
      </w:r>
      <w:r w:rsidR="005E44F5">
        <w:t>after</w:t>
      </w:r>
      <w:r w:rsidR="005E44F5" w:rsidRPr="009676F1">
        <w:t xml:space="preserve"> </w:t>
      </w:r>
      <w:r w:rsidRPr="009676F1">
        <w:t>any such failure, Seller shall complete a Successful Repair or present to SCE a description of the reason for the failure and a plan an</w:t>
      </w:r>
      <w:r w:rsidRPr="0027789B">
        <w:t>d schedule for completing a Successful Repair (the “</w:t>
      </w:r>
      <w:r w:rsidRPr="00FF157D">
        <w:rPr>
          <w:u w:val="single"/>
        </w:rPr>
        <w:t>Repair Plan</w:t>
      </w:r>
      <w:r w:rsidRPr="0027789B">
        <w:t>”).</w:t>
      </w:r>
    </w:p>
    <w:p w14:paraId="1ABF56E0" w14:textId="77777777" w:rsidR="00293060" w:rsidRDefault="00327DD1" w:rsidP="00327DD1">
      <w:pPr>
        <w:pStyle w:val="Heading3"/>
      </w:pPr>
      <w:r w:rsidRPr="0027789B">
        <w:t>If SCE and Seller disagree about the Repair Plan, SCE may, at its expense, hire an independent third party engineering firm reasonably acceptable to Seller (the “</w:t>
      </w:r>
      <w:r w:rsidRPr="0027789B">
        <w:rPr>
          <w:u w:val="single"/>
        </w:rPr>
        <w:t>Independent Engineer</w:t>
      </w:r>
      <w:r w:rsidRPr="0027789B">
        <w:t>” or “</w:t>
      </w:r>
      <w:r w:rsidRPr="0027789B">
        <w:rPr>
          <w:u w:val="single"/>
        </w:rPr>
        <w:t>IE</w:t>
      </w:r>
      <w:r w:rsidRPr="0027789B">
        <w:t>”), to perform an on-site assessment of the situation and make recommendations for completing a Successful Repair</w:t>
      </w:r>
      <w:r>
        <w:t xml:space="preserve">. </w:t>
      </w:r>
      <w:r w:rsidRPr="0027789B">
        <w:t>Upon two (2) Business Days’ Notice by SCE, Seller shall grant the IE and SCE personnel access to the Storage Unit(s) and all relevant information including log books, maintenance records and reports, and other applicable materials</w:t>
      </w:r>
      <w:r>
        <w:t xml:space="preserve">. </w:t>
      </w:r>
    </w:p>
    <w:p w14:paraId="22DAAA27" w14:textId="726F7984" w:rsidR="00293060" w:rsidRDefault="00B939C5" w:rsidP="00DB7FE0">
      <w:pPr>
        <w:pStyle w:val="Heading3Text"/>
      </w:pPr>
      <w:r>
        <w:t>A</w:t>
      </w:r>
      <w:r w:rsidR="00327DD1" w:rsidRPr="0027789B">
        <w:t xml:space="preserve">fter seven (7) days of the delivery to Seller of the IE’s engineering report, </w:t>
      </w:r>
      <w:r>
        <w:t xml:space="preserve">if the IE determines and reports, consistent with Industry Standards, that </w:t>
      </w:r>
      <w:r w:rsidRPr="0027789B">
        <w:t>Seller fails, in any material respect to meet the IE’s recommendations</w:t>
      </w:r>
      <w:r>
        <w:t xml:space="preserve"> </w:t>
      </w:r>
      <w:r w:rsidRPr="0027789B">
        <w:t>for the Successful Repair</w:t>
      </w:r>
      <w:r>
        <w:t xml:space="preserve"> </w:t>
      </w:r>
      <w:r w:rsidRPr="0027789B">
        <w:t>(as such recommendations may be updated by the IE)</w:t>
      </w:r>
      <w:r>
        <w:t xml:space="preserve"> </w:t>
      </w:r>
      <w:r w:rsidRPr="0027789B">
        <w:t xml:space="preserve">or </w:t>
      </w:r>
      <w:r>
        <w:t xml:space="preserve">to </w:t>
      </w:r>
      <w:r w:rsidRPr="0027789B">
        <w:t xml:space="preserve">make sufficient progress </w:t>
      </w:r>
      <w:r>
        <w:t>towards a Successful Repair</w:t>
      </w:r>
      <w:r w:rsidR="00327DD1" w:rsidRPr="001E217F">
        <w:t xml:space="preserve">, SCE shall have the right in its sole discretion to (i) exercise its Storage Unit Removal Right; or (ii) declare an Event of Default pursuant to </w:t>
      </w:r>
      <w:r w:rsidR="00327DD1" w:rsidRPr="00541852">
        <w:t>Section</w:t>
      </w:r>
      <w:r w:rsidR="00541852" w:rsidRPr="00541852">
        <w:t xml:space="preserve"> </w:t>
      </w:r>
      <w:r w:rsidR="009B2ACF">
        <w:t>10</w:t>
      </w:r>
      <w:r w:rsidR="00327DD1" w:rsidRPr="00541852">
        <w:t>.01(b)(</w:t>
      </w:r>
      <w:r w:rsidR="00327DD1" w:rsidRPr="001E217F">
        <w:t xml:space="preserve">xiv). </w:t>
      </w:r>
    </w:p>
    <w:p w14:paraId="75146655" w14:textId="3CAC8590" w:rsidR="00327DD1" w:rsidRPr="001E217F" w:rsidRDefault="00327DD1" w:rsidP="00DB7FE0">
      <w:pPr>
        <w:pStyle w:val="Heading3Text"/>
      </w:pPr>
      <w:r w:rsidRPr="001E217F">
        <w:t xml:space="preserve">Until a Successful Repair is demonstrated: (x) for any Put Period, the Storage Unit will be deemed unavailable for purposes of </w:t>
      </w:r>
      <w:r w:rsidR="00DD6D8B">
        <w:t>Sections 3.11 and 3.12</w:t>
      </w:r>
      <w:r w:rsidRPr="000678FD">
        <w:t>; provided, upon</w:t>
      </w:r>
      <w:r w:rsidRPr="001E217F">
        <w:t xml:space="preserve"> Seller’s demonstration of a Successful Repair, the Storage Unit will be deemed available retroactive to the hour that such Successful Repair was completed, and (y) for any RA Period, the Expected Contract Quantity will be deemed zero (0) for purposes of </w:t>
      </w:r>
      <w:r w:rsidRPr="00B022A3">
        <w:t xml:space="preserve">Section </w:t>
      </w:r>
      <w:r w:rsidR="00B022A3" w:rsidRPr="00B022A3">
        <w:t>3</w:t>
      </w:r>
      <w:r w:rsidRPr="00B022A3">
        <w:t>.0</w:t>
      </w:r>
      <w:r w:rsidR="00B022A3" w:rsidRPr="00B022A3">
        <w:t>6</w:t>
      </w:r>
      <w:r w:rsidRPr="00B022A3">
        <w:t>(a).</w:t>
      </w:r>
    </w:p>
    <w:p w14:paraId="2AA6AE63" w14:textId="11FEB07F" w:rsidR="00327DD1" w:rsidRPr="001E217F" w:rsidRDefault="00327DD1" w:rsidP="00327DD1">
      <w:pPr>
        <w:pStyle w:val="Heading3"/>
      </w:pPr>
      <w:r w:rsidRPr="001E217F">
        <w:t xml:space="preserve">If an Event of </w:t>
      </w:r>
      <w:r w:rsidRPr="00541852">
        <w:t>Default pursuant to Section</w:t>
      </w:r>
      <w:r w:rsidR="00541852" w:rsidRPr="00541852">
        <w:t xml:space="preserve"> </w:t>
      </w:r>
      <w:r w:rsidR="009B2ACF">
        <w:t>10</w:t>
      </w:r>
      <w:r w:rsidRPr="00541852">
        <w:t>.01(b)(xiv) has occurred, then SCE shall have the right in its sole discretion to (i) exercise its Storage Unit Removal Right; or (ii) declare an Event of Default pursuant to Section</w:t>
      </w:r>
      <w:r w:rsidR="00541852" w:rsidRPr="00541852">
        <w:t> </w:t>
      </w:r>
      <w:r w:rsidR="009B2ACF">
        <w:t>10</w:t>
      </w:r>
      <w:r w:rsidRPr="00541852">
        <w:t>.01(b)(xiv</w:t>
      </w:r>
      <w:r w:rsidRPr="001E217F">
        <w:t>).</w:t>
      </w:r>
    </w:p>
    <w:p w14:paraId="0D7F28CA" w14:textId="77777777" w:rsidR="00264D69" w:rsidRPr="00266CB8" w:rsidRDefault="00264D69" w:rsidP="00264D69">
      <w:pPr>
        <w:pStyle w:val="Heading3"/>
      </w:pPr>
      <w:r w:rsidRPr="009A246D">
        <w:lastRenderedPageBreak/>
        <w:t>Seller shall not allow (i) the Unit NQC of any Storage Unit to fall below seventy-five percent (75%) of the applicable SU Capacity or (ii) the Unit EFC of any Storage Unit to fall below seventy-five percent</w:t>
      </w:r>
      <w:r w:rsidRPr="00266CB8">
        <w:t xml:space="preserve"> (75%) of the applicable SU Flexible Capacity for such Storage Unit on average for a period of:</w:t>
      </w:r>
      <w:r w:rsidRPr="0027789B">
        <w:t xml:space="preserve">  </w:t>
      </w:r>
    </w:p>
    <w:p w14:paraId="624C72C5" w14:textId="77777777" w:rsidR="00264D69" w:rsidRPr="00266CB8" w:rsidRDefault="00264D69" w:rsidP="00264D69">
      <w:pPr>
        <w:pStyle w:val="Heading4"/>
      </w:pPr>
      <w:r w:rsidRPr="00266CB8">
        <w:t>six (6) months (or such longer cure period identified as reasonable under the circumstances in the written report of an IE engaged by SCE) due to Force Majeure if the IE has determined in its written report that Seller should reasonably have been able to achieve a Successful Repair of the Storage Unit prior to the expiration of such six (6) month pe</w:t>
      </w:r>
      <w:bookmarkStart w:id="206" w:name="_Toc363050400"/>
      <w:r w:rsidRPr="00266CB8">
        <w:t>riod (or longer cure period identified in the IE’s written report); or</w:t>
      </w:r>
    </w:p>
    <w:p w14:paraId="29DBE1E9" w14:textId="77777777" w:rsidR="00264D69" w:rsidRPr="00266CB8" w:rsidRDefault="00264D69" w:rsidP="00264D69">
      <w:pPr>
        <w:pStyle w:val="Heading4"/>
      </w:pPr>
      <w:r w:rsidRPr="00266CB8">
        <w:t xml:space="preserve">sixty (60) days (whether or not consecutive) within a rolling twelve (12) month period (or </w:t>
      </w:r>
      <w:r>
        <w:t>a</w:t>
      </w:r>
      <w:r w:rsidRPr="00266CB8">
        <w:t xml:space="preserve"> </w:t>
      </w:r>
      <w:r>
        <w:t>higher number of days</w:t>
      </w:r>
      <w:r w:rsidRPr="00266CB8">
        <w:t xml:space="preserve"> identified as reasonable under the circumstances in the written report of </w:t>
      </w:r>
      <w:r w:rsidRPr="00DB6AC5">
        <w:t>an IE engaged by SCE) for any reason or circumstance</w:t>
      </w:r>
      <w:r>
        <w:t xml:space="preserve"> other than</w:t>
      </w:r>
      <w:r w:rsidRPr="00DB6AC5">
        <w:t xml:space="preserve"> </w:t>
      </w:r>
      <w:r>
        <w:t xml:space="preserve">a </w:t>
      </w:r>
      <w:r w:rsidRPr="00266CB8">
        <w:t>Planned Outage</w:t>
      </w:r>
      <w:r>
        <w:t>,</w:t>
      </w:r>
      <w:r w:rsidRPr="00266CB8">
        <w:t xml:space="preserve"> if the IE has determined in its written report that Seller should reasonably have been able to achieve a Successful Repair of the Storage Unit </w:t>
      </w:r>
      <w:r>
        <w:t>within</w:t>
      </w:r>
      <w:r w:rsidRPr="00266CB8">
        <w:t xml:space="preserve"> sixty (60) day</w:t>
      </w:r>
      <w:r>
        <w:t>s</w:t>
      </w:r>
      <w:r w:rsidRPr="00266CB8">
        <w:t xml:space="preserve"> (or </w:t>
      </w:r>
      <w:r>
        <w:t>the higher number of days</w:t>
      </w:r>
      <w:r w:rsidRPr="00266CB8">
        <w:t xml:space="preserve"> identified in the IE’s written report).</w:t>
      </w:r>
    </w:p>
    <w:bookmarkEnd w:id="206"/>
    <w:p w14:paraId="577CC7D5" w14:textId="418CB8C8" w:rsidR="00327DD1" w:rsidRPr="0027789B" w:rsidRDefault="00327DD1" w:rsidP="00327DD1">
      <w:pPr>
        <w:pStyle w:val="Heading3"/>
      </w:pPr>
      <w:r w:rsidRPr="0027789B">
        <w:t xml:space="preserve">During any Put Period, Seller shall not allow the Charging Capacity or Discharging Capacity of any Storage Unit to fall below </w:t>
      </w:r>
      <w:r>
        <w:t>seventy</w:t>
      </w:r>
      <w:r w:rsidRPr="0027789B">
        <w:t>-five percent (</w:t>
      </w:r>
      <w:r>
        <w:t>7</w:t>
      </w:r>
      <w:r w:rsidRPr="0027789B">
        <w:t xml:space="preserve">5%) of the applicable SU Contract Capacity, or the Storage Capacity of any single Storage Unit to fall below </w:t>
      </w:r>
      <w:r>
        <w:t>seventy</w:t>
      </w:r>
      <w:r w:rsidRPr="0027789B">
        <w:t>-five percent (</w:t>
      </w:r>
      <w:r>
        <w:t>7</w:t>
      </w:r>
      <w:r w:rsidRPr="0027789B">
        <w:t xml:space="preserve">5%) of the applicable Maximum Storage Level, on average for a period of:  </w:t>
      </w:r>
    </w:p>
    <w:p w14:paraId="690B153C" w14:textId="77777777" w:rsidR="00327DD1" w:rsidRPr="0027789B" w:rsidRDefault="00327DD1" w:rsidP="00327DD1">
      <w:pPr>
        <w:pStyle w:val="Heading4"/>
      </w:pPr>
      <w:r w:rsidRPr="0027789B">
        <w:t>six (6) months (or such longer cure period identified as reasonable under the circumstances in the written report of an IE engaged by SCE) due to Force Majeure if the IE has determined in its written report that Seller should reasonably have been able to achieve a Successful Repair of the Storage Unit prior to the expiration of such six (6) month period (or longer cure period identified in the IE’s written report); or</w:t>
      </w:r>
    </w:p>
    <w:p w14:paraId="693A9D59" w14:textId="77777777" w:rsidR="00327DD1" w:rsidRPr="0027789B" w:rsidRDefault="00327DD1" w:rsidP="00327DD1">
      <w:pPr>
        <w:pStyle w:val="Heading4"/>
      </w:pPr>
      <w:r w:rsidRPr="00266CB8">
        <w:t xml:space="preserve">sixty (60) days (whether or not consecutive) within a rolling twelve (12) month period (or </w:t>
      </w:r>
      <w:r>
        <w:t>a</w:t>
      </w:r>
      <w:r w:rsidRPr="00266CB8">
        <w:t xml:space="preserve"> </w:t>
      </w:r>
      <w:r>
        <w:t>higher number of days</w:t>
      </w:r>
      <w:r w:rsidRPr="00266CB8">
        <w:t xml:space="preserve"> identified as reasonable under the circumstances in the written report of </w:t>
      </w:r>
      <w:r w:rsidRPr="00DB6AC5">
        <w:t>an IE engaged by SCE) for any reason or circumstance</w:t>
      </w:r>
      <w:r>
        <w:t xml:space="preserve"> other than</w:t>
      </w:r>
      <w:r w:rsidRPr="00DB6AC5">
        <w:t xml:space="preserve"> </w:t>
      </w:r>
      <w:r>
        <w:t xml:space="preserve">a </w:t>
      </w:r>
      <w:r w:rsidRPr="00266CB8">
        <w:t>Planned Outage</w:t>
      </w:r>
      <w:r>
        <w:t>,</w:t>
      </w:r>
      <w:r w:rsidRPr="00266CB8">
        <w:t xml:space="preserve"> if the IE has determined in its written report that Seller should reasonably have been able to achieve a Successful Repair of the Storage Unit </w:t>
      </w:r>
      <w:r>
        <w:t>within</w:t>
      </w:r>
      <w:r w:rsidRPr="00266CB8">
        <w:t xml:space="preserve"> sixty (60) day</w:t>
      </w:r>
      <w:r>
        <w:t>s</w:t>
      </w:r>
      <w:r w:rsidRPr="00266CB8">
        <w:t xml:space="preserve"> (or </w:t>
      </w:r>
      <w:r>
        <w:t>the higher number of days</w:t>
      </w:r>
      <w:r w:rsidRPr="00266CB8">
        <w:t xml:space="preserve"> identified in the IE’s written report)</w:t>
      </w:r>
      <w:r w:rsidRPr="0027789B">
        <w:t>.</w:t>
      </w:r>
    </w:p>
    <w:p w14:paraId="08B35785" w14:textId="329A38EF" w:rsidR="00327DD1" w:rsidRPr="0027789B" w:rsidRDefault="004A1CDF" w:rsidP="00327DD1">
      <w:pPr>
        <w:pStyle w:val="Heading3"/>
      </w:pPr>
      <w:r>
        <w:lastRenderedPageBreak/>
        <w:t>A</w:t>
      </w:r>
      <w:r w:rsidR="00327DD1" w:rsidRPr="0027789B">
        <w:t xml:space="preserve">ll repair obligations </w:t>
      </w:r>
      <w:r w:rsidR="00327DD1" w:rsidRPr="00B022A3">
        <w:t xml:space="preserve">under this Section </w:t>
      </w:r>
      <w:r w:rsidR="00B022A3" w:rsidRPr="00B022A3">
        <w:t>6</w:t>
      </w:r>
      <w:r w:rsidR="00327DD1" w:rsidRPr="00B022A3">
        <w:t>.</w:t>
      </w:r>
      <w:r w:rsidR="00327DD1" w:rsidRPr="009676F1">
        <w:t>02 that arose during a</w:t>
      </w:r>
      <w:r w:rsidR="004A2082">
        <w:t>n</w:t>
      </w:r>
      <w:r w:rsidR="00327DD1" w:rsidRPr="009676F1">
        <w:t xml:space="preserve"> RA Period or Put Period shall remain after any transition between any RA Period and any Put Period</w:t>
      </w:r>
      <w:r w:rsidR="00327DD1" w:rsidRPr="0027789B">
        <w:t>.</w:t>
      </w:r>
    </w:p>
    <w:p w14:paraId="30C0A8A3" w14:textId="77777777" w:rsidR="00FA3F09" w:rsidRPr="00DA5487" w:rsidRDefault="00FA3F09" w:rsidP="00FA3F09">
      <w:pPr>
        <w:pStyle w:val="Heading2"/>
        <w:keepNext w:val="0"/>
        <w:keepLines w:val="0"/>
        <w:rPr>
          <w:u w:val="none"/>
        </w:rPr>
      </w:pPr>
      <w:bookmarkStart w:id="207" w:name="_Toc510788261"/>
      <w:bookmarkStart w:id="208" w:name="_Toc467577529"/>
      <w:bookmarkStart w:id="209" w:name="_Toc470014789"/>
      <w:bookmarkStart w:id="210" w:name="_Toc470855980"/>
      <w:r>
        <w:t>Delivery</w:t>
      </w:r>
      <w:r>
        <w:rPr>
          <w:u w:val="none"/>
        </w:rPr>
        <w:t>.</w:t>
      </w:r>
      <w:bookmarkEnd w:id="207"/>
    </w:p>
    <w:p w14:paraId="6A124862" w14:textId="6186FFD0" w:rsidR="00FA3F09" w:rsidRPr="0027789B" w:rsidRDefault="00FA3F09" w:rsidP="00FA3F09">
      <w:pPr>
        <w:pStyle w:val="Heading3"/>
      </w:pPr>
      <w:bookmarkStart w:id="211" w:name="_Toc366652532"/>
      <w:bookmarkStart w:id="212" w:name="_Toc363050403"/>
      <w:bookmarkStart w:id="213" w:name="_Toc467577531"/>
      <w:bookmarkStart w:id="214" w:name="_Toc470014791"/>
      <w:bookmarkStart w:id="215" w:name="_Toc470855982"/>
      <w:bookmarkEnd w:id="208"/>
      <w:bookmarkEnd w:id="209"/>
      <w:bookmarkEnd w:id="210"/>
      <w:r w:rsidRPr="00FE06DB">
        <w:rPr>
          <w:u w:val="single"/>
        </w:rPr>
        <w:t>Delivery of Product</w:t>
      </w:r>
      <w:bookmarkEnd w:id="211"/>
      <w:bookmarkEnd w:id="212"/>
      <w:bookmarkEnd w:id="213"/>
      <w:bookmarkEnd w:id="214"/>
      <w:bookmarkEnd w:id="215"/>
      <w:r w:rsidRPr="00FE06DB">
        <w:rPr>
          <w:u w:val="single"/>
        </w:rPr>
        <w:t xml:space="preserve"> (RA Periods)</w:t>
      </w:r>
      <w:r>
        <w:t>.</w:t>
      </w:r>
    </w:p>
    <w:p w14:paraId="0D89249A" w14:textId="64AF3137" w:rsidR="00FA3F09" w:rsidRPr="0027789B" w:rsidRDefault="00FA3F09" w:rsidP="00FA3F09">
      <w:pPr>
        <w:pStyle w:val="Heading3Text"/>
      </w:pPr>
      <w:r w:rsidRPr="0027789B">
        <w:t>Seller shall provide SCE with the Expected Contract Quantity for each day of each Showing Month that is part of a</w:t>
      </w:r>
      <w:r w:rsidR="004A2082">
        <w:t>n</w:t>
      </w:r>
      <w:r w:rsidRPr="0027789B">
        <w:t xml:space="preserve"> RA Period consistent with the following:</w:t>
      </w:r>
    </w:p>
    <w:p w14:paraId="614DD4D3" w14:textId="226991C2" w:rsidR="00FA3F09" w:rsidRPr="0027789B" w:rsidRDefault="00FA3F09" w:rsidP="00FA3F09">
      <w:pPr>
        <w:pStyle w:val="Heading4"/>
      </w:pPr>
      <w:r w:rsidRPr="0027789B">
        <w:t>Seller shall, on a timely basis, submit, or cause the Storage Unit’s SC to submit</w:t>
      </w:r>
      <w:r w:rsidRPr="005E0BBB">
        <w:t xml:space="preserve">, </w:t>
      </w:r>
      <w:r w:rsidR="00BA234F" w:rsidRPr="005C1365">
        <w:rPr>
          <w:rFonts w:eastAsiaTheme="minorHAnsi" w:cs="Times New Roman"/>
          <w:iCs w:val="0"/>
          <w:szCs w:val="24"/>
        </w:rPr>
        <w:t xml:space="preserve">Annual </w:t>
      </w:r>
      <w:r w:rsidRPr="005C1365">
        <w:rPr>
          <w:rFonts w:eastAsiaTheme="minorHAnsi" w:cs="Times New Roman"/>
          <w:iCs w:val="0"/>
          <w:szCs w:val="24"/>
        </w:rPr>
        <w:t xml:space="preserve">Supply Plans </w:t>
      </w:r>
      <w:r w:rsidR="00BA234F" w:rsidRPr="005C1365">
        <w:rPr>
          <w:rFonts w:eastAsiaTheme="minorHAnsi" w:cs="Times New Roman"/>
          <w:iCs w:val="0"/>
          <w:szCs w:val="24"/>
        </w:rPr>
        <w:t xml:space="preserve">and Monthly Supply Plans </w:t>
      </w:r>
      <w:r w:rsidRPr="005E0BBB">
        <w:t xml:space="preserve">in </w:t>
      </w:r>
      <w:r w:rsidRPr="0027789B">
        <w:t>accordance with the CAISO Tariff, and any other decisions or orders of the CPUC associated with providing the Product under this Agreement, to identify and confirm the Expected Contract Quantity provided to SCE for each day of each Showing Month so that the total amount of Expected Contract Quantity identified and confirmed for each day of such Showing Month equals the Expected Contract Quantity for such day of such Showing Month.</w:t>
      </w:r>
    </w:p>
    <w:p w14:paraId="01EA9B4A" w14:textId="35BB83FE" w:rsidR="00FA3F09" w:rsidRDefault="00FA3F09" w:rsidP="00FA3F09">
      <w:pPr>
        <w:pStyle w:val="Heading4"/>
      </w:pPr>
      <w:r w:rsidRPr="0027789B">
        <w:t>Seller shall or shall cause the Storage Unit’s SC to submit written notification to SCE, no later than fifteen (15) Business Days before the applicable RA Compliance Showing deadlines for each Showing Month, that SCE will be credited with the Expected Contract Quantity for each day of such Showing Month in the Storage Unit’s Supply Plan so that the credited Expected Contract Quantity for each day of the Showing Month equals the Expected Contract Quantity for such day of such Showing Month.</w:t>
      </w:r>
      <w:r w:rsidR="00BA234F">
        <w:t xml:space="preserve"> For illustrative purposes only, as of the Effective Date, the applicable Compliance Showing deadlines are as follows: (A) forty-five (45) days prior to the Showing Month covered by the Supply Plan for the Monthly Supply Plan; and (B) the last Business Day of October that is prior to commencement of the year for the Annual Supply Plan.  The Parties acknowledge and agree that such dates may be modified by the CAISO from time to time throughout the Term</w:t>
      </w:r>
    </w:p>
    <w:p w14:paraId="20542A4B" w14:textId="77777777" w:rsidR="00FA3F09" w:rsidRPr="00FF157D" w:rsidRDefault="00FA3F09" w:rsidP="00FA3F09">
      <w:pPr>
        <w:pStyle w:val="Heading4"/>
      </w:pPr>
      <w:bookmarkStart w:id="216" w:name="_Toc366652531"/>
      <w:bookmarkStart w:id="217" w:name="_Toc467577530"/>
      <w:bookmarkStart w:id="218" w:name="_Toc470014790"/>
      <w:bookmarkStart w:id="219" w:name="_Toc470855981"/>
      <w:r w:rsidRPr="00DB7FE0">
        <w:rPr>
          <w:u w:val="single"/>
        </w:rPr>
        <w:t>Adjustments to Product Provided</w:t>
      </w:r>
      <w:bookmarkEnd w:id="216"/>
      <w:r w:rsidRPr="00FF157D">
        <w:t>.</w:t>
      </w:r>
      <w:bookmarkEnd w:id="217"/>
      <w:bookmarkEnd w:id="218"/>
      <w:bookmarkEnd w:id="219"/>
    </w:p>
    <w:p w14:paraId="57E752DE" w14:textId="07AC55F2" w:rsidR="00FA3F09" w:rsidRPr="0027789B" w:rsidRDefault="00FA3F09" w:rsidP="00FA3F09">
      <w:pPr>
        <w:pStyle w:val="Heading5"/>
      </w:pPr>
      <w:r w:rsidRPr="0027789B">
        <w:rPr>
          <w:u w:val="single"/>
        </w:rPr>
        <w:t>Planned Outages</w:t>
      </w:r>
      <w:r w:rsidRPr="0027789B">
        <w:t>:  Seller’s obligation to deliver the Product for each day of each Showing Month of a</w:t>
      </w:r>
      <w:r w:rsidR="004A2082">
        <w:t>n</w:t>
      </w:r>
      <w:r w:rsidRPr="0027789B">
        <w:t xml:space="preserve"> RA Period may be reduced by the amount of any Planned Outages which exist with respect to any portion of any Storage Unit during </w:t>
      </w:r>
      <w:r w:rsidRPr="0027789B">
        <w:lastRenderedPageBreak/>
        <w:t>the applicable Showing Month for the applicable days of such Planned Outages</w:t>
      </w:r>
      <w:r>
        <w:t xml:space="preserve">. </w:t>
      </w:r>
      <w:r w:rsidRPr="0027789B">
        <w:t>Seller shall notify</w:t>
      </w:r>
      <w:r>
        <w:t xml:space="preserve"> SCE</w:t>
      </w:r>
      <w:r w:rsidRPr="0027789B">
        <w:t>, no later than fifteen (15) Business Days before the relevant deadlines for the corresponding RA Compliance Showings applicable to that Showing Month, of the amount of Product (in MWs) from the Storage Units that SCE is permitted to include in SCE’s RA Compliance Showings applicable to that month as a result of such Planned Outage.</w:t>
      </w:r>
    </w:p>
    <w:p w14:paraId="6062F466" w14:textId="6E823045" w:rsidR="00FA3F09" w:rsidRPr="00FA3F09" w:rsidRDefault="00FA3F09" w:rsidP="00FA3F09">
      <w:pPr>
        <w:pStyle w:val="Heading5"/>
      </w:pPr>
      <w:r w:rsidRPr="001E217F">
        <w:rPr>
          <w:u w:val="single"/>
        </w:rPr>
        <w:t>Reductions in Unit NQC</w:t>
      </w:r>
      <w:r w:rsidRPr="001E217F">
        <w:t xml:space="preserve">:  </w:t>
      </w:r>
      <w:r w:rsidRPr="00B022A3">
        <w:t>Subject to Section</w:t>
      </w:r>
      <w:r w:rsidR="00B022A3" w:rsidRPr="00B022A3">
        <w:t xml:space="preserve"> 6</w:t>
      </w:r>
      <w:r w:rsidRPr="00B022A3">
        <w:t>.02,</w:t>
      </w:r>
      <w:r w:rsidRPr="001E217F">
        <w:t xml:space="preserve"> Seller’s obligation to deliver the Product for each Showing Month during</w:t>
      </w:r>
      <w:r w:rsidRPr="0027789B">
        <w:t xml:space="preserve"> a</w:t>
      </w:r>
      <w:r w:rsidR="004A2082">
        <w:t>n</w:t>
      </w:r>
      <w:r w:rsidRPr="0027789B">
        <w:t xml:space="preserve"> RA Period may also be reduced </w:t>
      </w:r>
      <w:r w:rsidR="00D8575F">
        <w:t>if</w:t>
      </w:r>
      <w:r w:rsidRPr="0027789B">
        <w:t xml:space="preserve"> any of the Storage Units experiences a reduction in Unit NQC after the Initial Delivery Date as determined by the CAISO.</w:t>
      </w:r>
    </w:p>
    <w:p w14:paraId="4F46E085" w14:textId="77777777" w:rsidR="00FA3F09" w:rsidRPr="00165EAE" w:rsidRDefault="00FA3F09" w:rsidP="00FA3F09">
      <w:pPr>
        <w:pStyle w:val="Heading4"/>
      </w:pPr>
      <w:bookmarkStart w:id="220" w:name="_Toc366652535"/>
      <w:bookmarkStart w:id="221" w:name="_Toc467577534"/>
      <w:bookmarkStart w:id="222" w:name="_Toc470014794"/>
      <w:bookmarkStart w:id="223" w:name="_Toc470855985"/>
      <w:r w:rsidRPr="00FE06DB">
        <w:rPr>
          <w:u w:val="single"/>
        </w:rPr>
        <w:t>Post-Showing Replacement Capacity</w:t>
      </w:r>
      <w:bookmarkEnd w:id="220"/>
      <w:r w:rsidRPr="00165EAE">
        <w:t>.</w:t>
      </w:r>
      <w:bookmarkEnd w:id="221"/>
      <w:bookmarkEnd w:id="222"/>
      <w:bookmarkEnd w:id="223"/>
    </w:p>
    <w:p w14:paraId="6D2024A2" w14:textId="6BA0720E" w:rsidR="00FA3F09" w:rsidRPr="0027789B" w:rsidRDefault="00FA3F09" w:rsidP="00FA3F09">
      <w:pPr>
        <w:pStyle w:val="Heading4Text"/>
      </w:pPr>
      <w:r w:rsidRPr="00165EAE">
        <w:t>For any month of the RA Period, if</w:t>
      </w:r>
      <w:r w:rsidR="004A1CDF">
        <w:t xml:space="preserve"> the</w:t>
      </w:r>
      <w:r w:rsidRPr="00165EAE">
        <w:t xml:space="preserve"> CAISO determines</w:t>
      </w:r>
      <w:r w:rsidR="007B0BB3">
        <w:t xml:space="preserve"> there is</w:t>
      </w:r>
      <w:r w:rsidRPr="00165EAE">
        <w:t xml:space="preserve"> </w:t>
      </w:r>
      <w:r w:rsidRPr="00DB7FE0">
        <w:t>Shortfall Capacity</w:t>
      </w:r>
      <w:r w:rsidRPr="00165EAE">
        <w:t xml:space="preserve">, </w:t>
      </w:r>
      <w:r w:rsidRPr="00B022A3">
        <w:t xml:space="preserve">Seller’s Monthly RA Capacity Payment will be reduced in accordance with Section </w:t>
      </w:r>
      <w:r w:rsidR="00B022A3" w:rsidRPr="00B022A3">
        <w:t>3</w:t>
      </w:r>
      <w:r w:rsidRPr="00B022A3">
        <w:t>.0</w:t>
      </w:r>
      <w:r w:rsidR="00B022A3" w:rsidRPr="00B022A3">
        <w:t>6</w:t>
      </w:r>
      <w:r w:rsidRPr="001E217F">
        <w:t>(a) and</w:t>
      </w:r>
      <w:r w:rsidRPr="0027789B">
        <w:t xml:space="preserve">, neither Seller nor the Storage Unit’s SC (unless the Storage Unit’s SC is SCE) shall have the right to provide SCE with </w:t>
      </w:r>
      <w:r w:rsidR="00535922">
        <w:t>“</w:t>
      </w:r>
      <w:r w:rsidRPr="00DB7FE0">
        <w:rPr>
          <w:u w:val="single"/>
        </w:rPr>
        <w:t>RA Replacement Capacity</w:t>
      </w:r>
      <w:r w:rsidR="00535922">
        <w:t>,” as defined in the CAISO Tariff,</w:t>
      </w:r>
      <w:r w:rsidRPr="0027789B">
        <w:t xml:space="preserve"> with respect to such Shortfall Capacity.</w:t>
      </w:r>
    </w:p>
    <w:p w14:paraId="052A3E49" w14:textId="05446CD0" w:rsidR="00FA3F09" w:rsidRPr="009676F1" w:rsidRDefault="00C8421F" w:rsidP="00FA3F09">
      <w:pPr>
        <w:pStyle w:val="Heading4"/>
      </w:pPr>
      <w:bookmarkStart w:id="224" w:name="_Toc366652536"/>
      <w:bookmarkStart w:id="225" w:name="_Toc467577536"/>
      <w:bookmarkStart w:id="226" w:name="_Toc470014796"/>
      <w:bookmarkStart w:id="227" w:name="_Toc470855987"/>
      <w:bookmarkStart w:id="228" w:name="_Toc467577557"/>
      <w:bookmarkStart w:id="229" w:name="_Toc470014817"/>
      <w:bookmarkStart w:id="230" w:name="_Toc470856008"/>
      <w:bookmarkStart w:id="231" w:name="_Toc467577535"/>
      <w:bookmarkStart w:id="232" w:name="_Toc470014795"/>
      <w:bookmarkStart w:id="233" w:name="_Toc470855986"/>
      <w:bookmarkEnd w:id="224"/>
      <w:r>
        <w:rPr>
          <w:u w:val="single"/>
        </w:rPr>
        <w:t>Resource Adequacy Supply Plan</w:t>
      </w:r>
      <w:r w:rsidR="00FA3F09" w:rsidRPr="009676F1">
        <w:t>.</w:t>
      </w:r>
      <w:bookmarkEnd w:id="225"/>
      <w:bookmarkEnd w:id="226"/>
      <w:bookmarkEnd w:id="227"/>
    </w:p>
    <w:p w14:paraId="40A42B7E" w14:textId="2D0F266E" w:rsidR="00FA3F09" w:rsidRDefault="00FA3F09" w:rsidP="00FA3F09">
      <w:pPr>
        <w:pStyle w:val="Heading4Text"/>
      </w:pPr>
      <w:r w:rsidRPr="009676F1">
        <w:rPr>
          <w:kern w:val="18"/>
        </w:rPr>
        <w:t xml:space="preserve">For any month of the RA Period, </w:t>
      </w:r>
      <w:r w:rsidRPr="009676F1">
        <w:t>and no later than five (5) Business Days</w:t>
      </w:r>
      <w:r w:rsidRPr="0027789B">
        <w:t xml:space="preserve"> before the relevant deadline for the initial RA Compliance Showing with respect to a particular Showing Month, SCE may request that Seller not list, or cause the Storage Unit’s SC not to list, a portion or all of a Storage Unit’s </w:t>
      </w:r>
      <w:r w:rsidRPr="001E217F">
        <w:t xml:space="preserve">applicable Expected Contract Quantity for any portion(s) of such Showing Month on the Supply Plan. The amount of Expected Contract Quantity that is the subject of such a request shall be deemed Expected Contract Quantity provided consistent with </w:t>
      </w:r>
      <w:r w:rsidRPr="000678FD">
        <w:t xml:space="preserve">Section </w:t>
      </w:r>
      <w:r w:rsidR="00C40E6C">
        <w:t>6</w:t>
      </w:r>
      <w:r w:rsidRPr="000678FD">
        <w:t>.03</w:t>
      </w:r>
      <w:r w:rsidR="00C40E6C">
        <w:t>(a)(i) and (ii)</w:t>
      </w:r>
      <w:r w:rsidRPr="000678FD">
        <w:t xml:space="preserve"> for purposes</w:t>
      </w:r>
      <w:r w:rsidRPr="001E217F">
        <w:t xml:space="preserve"> of calculating a Monthly RA Capacity Payment pursuant to </w:t>
      </w:r>
      <w:r w:rsidRPr="00B022A3">
        <w:t xml:space="preserve">Section </w:t>
      </w:r>
      <w:r w:rsidR="00B022A3" w:rsidRPr="00B022A3">
        <w:t>3</w:t>
      </w:r>
      <w:r w:rsidRPr="00B022A3">
        <w:t>.0</w:t>
      </w:r>
      <w:r w:rsidR="00B022A3" w:rsidRPr="00B022A3">
        <w:t>6</w:t>
      </w:r>
      <w:r w:rsidRPr="001E217F">
        <w:t xml:space="preserve">(a) and calculating any amounts due pursuant to </w:t>
      </w:r>
      <w:r w:rsidRPr="0024612D">
        <w:t xml:space="preserve">Article </w:t>
      </w:r>
      <w:r w:rsidR="0024612D" w:rsidRPr="0024612D">
        <w:t>1</w:t>
      </w:r>
      <w:r w:rsidR="002E2123">
        <w:t>3</w:t>
      </w:r>
      <w:r w:rsidRPr="0024612D">
        <w:t>.</w:t>
      </w:r>
      <w:r w:rsidRPr="001E217F">
        <w:t xml:space="preserve"> Seller shall, or sh</w:t>
      </w:r>
      <w:r w:rsidRPr="0027789B">
        <w:t xml:space="preserve">all cause each Storage Unit’s SC to, comply with SCE’s </w:t>
      </w:r>
      <w:r w:rsidRPr="009676F1">
        <w:t xml:space="preserve">request under </w:t>
      </w:r>
      <w:r w:rsidRPr="0024612D">
        <w:t xml:space="preserve">this Section </w:t>
      </w:r>
      <w:r w:rsidR="0024612D" w:rsidRPr="0024612D">
        <w:t>6</w:t>
      </w:r>
      <w:r w:rsidRPr="0024612D">
        <w:t>.0</w:t>
      </w:r>
      <w:r w:rsidR="0024612D" w:rsidRPr="0024612D">
        <w:t>3(a)(v</w:t>
      </w:r>
      <w:r w:rsidR="0024612D">
        <w:t>)</w:t>
      </w:r>
      <w:r w:rsidRPr="009676F1">
        <w:t>.</w:t>
      </w:r>
    </w:p>
    <w:p w14:paraId="7529C0F1" w14:textId="07C5DCC6" w:rsidR="00BA234F" w:rsidRPr="00FF157D" w:rsidRDefault="00BA234F" w:rsidP="00BA234F">
      <w:pPr>
        <w:pStyle w:val="Heading3"/>
      </w:pPr>
      <w:r>
        <w:rPr>
          <w:u w:val="single"/>
        </w:rPr>
        <w:t>Supply Plan Information</w:t>
      </w:r>
      <w:r w:rsidRPr="00FF157D">
        <w:t>.</w:t>
      </w:r>
    </w:p>
    <w:p w14:paraId="5DDBE0AC" w14:textId="0E537C17" w:rsidR="00BA234F" w:rsidRPr="0027789B" w:rsidRDefault="00BA234F" w:rsidP="00BA234F">
      <w:pPr>
        <w:pStyle w:val="Heading3Text"/>
      </w:pPr>
      <w:r>
        <w:t xml:space="preserve">The Parties shall use commercially reasonable efforts to cause the required showing information listed in </w:t>
      </w:r>
      <w:r w:rsidR="00367C93">
        <w:rPr>
          <w:u w:val="single"/>
        </w:rPr>
        <w:t>Exhibit L</w:t>
      </w:r>
      <w:r>
        <w:t xml:space="preserve"> to be included in all applicable Supply </w:t>
      </w:r>
      <w:r>
        <w:lastRenderedPageBreak/>
        <w:t xml:space="preserve">Plans and cause all Supply Plans to be filed in conformance with the requirements of the CPUC Filing Guide and the CAISO Tariff.  In addition, if during the Delivery Period, there are changes to the information included in </w:t>
      </w:r>
      <w:r w:rsidR="00367C93">
        <w:rPr>
          <w:u w:val="single"/>
        </w:rPr>
        <w:t>Exhibit L</w:t>
      </w:r>
      <w:r>
        <w:t xml:space="preserve">, the Parties agree to communicate such changes to each other promptly. </w:t>
      </w:r>
    </w:p>
    <w:p w14:paraId="75256AB8" w14:textId="39420CA6" w:rsidR="00FA3F09" w:rsidRPr="00FF157D" w:rsidRDefault="00FA3F09" w:rsidP="00FA3F09">
      <w:pPr>
        <w:pStyle w:val="Heading3"/>
      </w:pPr>
      <w:r w:rsidRPr="00FE06DB">
        <w:rPr>
          <w:u w:val="single"/>
        </w:rPr>
        <w:t>Storage of Electric Energy (Put Periods)</w:t>
      </w:r>
      <w:r w:rsidRPr="00FF157D">
        <w:t>.</w:t>
      </w:r>
      <w:bookmarkEnd w:id="228"/>
      <w:bookmarkEnd w:id="229"/>
      <w:bookmarkEnd w:id="230"/>
    </w:p>
    <w:p w14:paraId="377C0EE7" w14:textId="35EC091B" w:rsidR="00FA3F09" w:rsidRPr="0027789B" w:rsidRDefault="00FA3F09" w:rsidP="00FA3F09">
      <w:pPr>
        <w:pStyle w:val="Heading3Text"/>
      </w:pPr>
      <w:r w:rsidRPr="0027789B">
        <w:t>During any Put Period, SCE shall be entitled to all benefits resulting from the stored electric energy, excluding any electric energy used for and during a Non-SCE Dispatch</w:t>
      </w:r>
      <w:r>
        <w:t xml:space="preserve">. </w:t>
      </w:r>
    </w:p>
    <w:p w14:paraId="2D5489B6" w14:textId="580B8889" w:rsidR="00FA3F09" w:rsidRPr="00FF157D" w:rsidRDefault="00FA3F09" w:rsidP="008421FB">
      <w:pPr>
        <w:pStyle w:val="Heading3"/>
      </w:pPr>
      <w:bookmarkStart w:id="234" w:name="_Toc467577558"/>
      <w:bookmarkStart w:id="235" w:name="_Toc470014818"/>
      <w:bookmarkStart w:id="236" w:name="_Toc470856009"/>
      <w:r w:rsidRPr="008421FB">
        <w:rPr>
          <w:u w:val="single"/>
        </w:rPr>
        <w:t>Title, Possession, and Risk of Loss</w:t>
      </w:r>
      <w:r w:rsidRPr="00FF157D">
        <w:t>.</w:t>
      </w:r>
      <w:bookmarkEnd w:id="234"/>
      <w:bookmarkEnd w:id="235"/>
      <w:bookmarkEnd w:id="236"/>
    </w:p>
    <w:p w14:paraId="1F33E422" w14:textId="13B70F0B" w:rsidR="00FA3F09" w:rsidRPr="0027789B" w:rsidRDefault="00FA3F09" w:rsidP="00DB7FE0">
      <w:pPr>
        <w:pStyle w:val="Heading4"/>
      </w:pPr>
      <w:r w:rsidRPr="0027789B">
        <w:t>During a Put Period, SCE shall hold title to, possession of, and risk of loss of the (</w:t>
      </w:r>
      <w:r w:rsidR="0028440E">
        <w:t>A</w:t>
      </w:r>
      <w:r w:rsidRPr="0027789B">
        <w:t>) Charging Energy Requirements up to the Energy Delivery Point, and (</w:t>
      </w:r>
      <w:r w:rsidR="0028440E">
        <w:t>B</w:t>
      </w:r>
      <w:r w:rsidRPr="0027789B">
        <w:t>) the Energy from the Product after the Energy Delivery Point</w:t>
      </w:r>
      <w:r>
        <w:t xml:space="preserve">. </w:t>
      </w:r>
    </w:p>
    <w:p w14:paraId="24C3BE1A" w14:textId="16FDA6FC" w:rsidR="00FA3F09" w:rsidRPr="009676F1" w:rsidRDefault="00FA3F09" w:rsidP="00DB7FE0">
      <w:pPr>
        <w:pStyle w:val="Heading4"/>
      </w:pPr>
      <w:r w:rsidRPr="0027789B">
        <w:t>During a Put Period, Seller shall have title to, possession of, and risk of loss of the (</w:t>
      </w:r>
      <w:r w:rsidR="0028440E">
        <w:t>A</w:t>
      </w:r>
      <w:r w:rsidRPr="0027789B">
        <w:t>) Charging Energy Requirements at and after the Energy Delivery Point, and (</w:t>
      </w:r>
      <w:r w:rsidR="0028440E">
        <w:t>B</w:t>
      </w:r>
      <w:r w:rsidRPr="0027789B">
        <w:t xml:space="preserve">) Energy from the Product up to and at the Energy </w:t>
      </w:r>
      <w:r w:rsidRPr="009676F1">
        <w:t xml:space="preserve">Delivery Point. </w:t>
      </w:r>
    </w:p>
    <w:p w14:paraId="0460A572" w14:textId="078EFFF3" w:rsidR="00FA3F09" w:rsidRPr="003B3D2A" w:rsidRDefault="00FA3F09">
      <w:pPr>
        <w:pStyle w:val="Heading4"/>
      </w:pPr>
      <w:r w:rsidRPr="003B3D2A">
        <w:t xml:space="preserve">Notwithstanding this Section </w:t>
      </w:r>
      <w:r w:rsidR="003B3D2A" w:rsidRPr="003B3D2A">
        <w:t>6</w:t>
      </w:r>
      <w:r w:rsidRPr="003B3D2A">
        <w:t>.0</w:t>
      </w:r>
      <w:r w:rsidR="003B3D2A" w:rsidRPr="003B3D2A">
        <w:t>3(</w:t>
      </w:r>
      <w:r w:rsidR="008421FB">
        <w:t>c</w:t>
      </w:r>
      <w:r w:rsidR="003B3D2A" w:rsidRPr="003B3D2A">
        <w:t>)</w:t>
      </w:r>
      <w:r w:rsidRPr="003B3D2A">
        <w:t>, during a Put Period, Seller shall at all times hold title to the Charging Energy Requirements, excluding electric energy used for a Non-SCE Dispatch, for the benefit of SCE.</w:t>
      </w:r>
    </w:p>
    <w:p w14:paraId="43078CA9" w14:textId="57319B23" w:rsidR="00FA3F09" w:rsidRPr="00FF157D" w:rsidRDefault="00FA3F09" w:rsidP="0087247C">
      <w:pPr>
        <w:pStyle w:val="Heading2"/>
      </w:pPr>
      <w:bookmarkStart w:id="237" w:name="_Toc510788262"/>
      <w:r w:rsidRPr="0027789B">
        <w:t>Local Resource Constrained Days Dispatch</w:t>
      </w:r>
      <w:r w:rsidRPr="00FF157D">
        <w:t>.</w:t>
      </w:r>
      <w:bookmarkEnd w:id="231"/>
      <w:bookmarkEnd w:id="232"/>
      <w:bookmarkEnd w:id="233"/>
      <w:bookmarkEnd w:id="237"/>
    </w:p>
    <w:p w14:paraId="3B54180D" w14:textId="7D2EC354" w:rsidR="00693537" w:rsidRPr="0027789B" w:rsidRDefault="00693537" w:rsidP="00693537">
      <w:pPr>
        <w:pStyle w:val="Heading3"/>
      </w:pPr>
      <w:r w:rsidRPr="0027789B">
        <w:t xml:space="preserve">SCE may, in its sole discretion, designate any day during </w:t>
      </w:r>
      <w:r>
        <w:t>an</w:t>
      </w:r>
      <w:r w:rsidRPr="0027789B">
        <w:t xml:space="preserve"> </w:t>
      </w:r>
      <w:r>
        <w:t>RA Period</w:t>
      </w:r>
      <w:r w:rsidRPr="0027789B">
        <w:t xml:space="preserve"> as a “</w:t>
      </w:r>
      <w:r w:rsidRPr="00FF157D">
        <w:rPr>
          <w:u w:val="single"/>
        </w:rPr>
        <w:t>Local Resource Constrained Day</w:t>
      </w:r>
      <w:r w:rsidR="00CA50FB">
        <w:rPr>
          <w:u w:val="single"/>
        </w:rPr>
        <w:t>” or “LRCD”)</w:t>
      </w:r>
      <w:r>
        <w:t>.</w:t>
      </w:r>
      <w:r w:rsidRPr="0027789B">
        <w:t xml:space="preserve">  SCE may not designate more than fifteen (15) days as Local Resource Constrained Days during any calendar year.</w:t>
      </w:r>
      <w:r w:rsidR="00C75EBD" w:rsidRPr="00C75EBD">
        <w:t xml:space="preserve"> </w:t>
      </w:r>
      <w:r w:rsidR="00C75EBD">
        <w:t>Seller will use commercially reasonable efforts to change any scheduled outage as needed to accommodate SCE’s LRCD designation.</w:t>
      </w:r>
    </w:p>
    <w:p w14:paraId="4DF1A501" w14:textId="77777777" w:rsidR="007E26C8" w:rsidRPr="00FD371C" w:rsidRDefault="007E26C8" w:rsidP="007E26C8">
      <w:pPr>
        <w:pStyle w:val="Heading3"/>
      </w:pPr>
      <w:r w:rsidRPr="008E4A01">
        <w:t xml:space="preserve">Subject to this Section </w:t>
      </w:r>
      <w:r>
        <w:t>6.04</w:t>
      </w:r>
      <w:r w:rsidRPr="008E4A01">
        <w:t>, and consistent with the Bid Data provided by SCE, Seller will submit, or cause to be submitted, Bids into the CAISO Day-Ahead Market (“</w:t>
      </w:r>
      <w:r w:rsidRPr="00765A0B">
        <w:rPr>
          <w:u w:val="single"/>
        </w:rPr>
        <w:t>DAM</w:t>
      </w:r>
      <w:r w:rsidRPr="008E4A01">
        <w:t>”) and Real-Time Market (“</w:t>
      </w:r>
      <w:r w:rsidRPr="00765A0B">
        <w:rPr>
          <w:u w:val="single"/>
        </w:rPr>
        <w:t>RTM</w:t>
      </w:r>
      <w:r w:rsidRPr="008E4A01">
        <w:t xml:space="preserve">”) in compliance with the Tariff.  Further, given that the purpose of SCE’s Bid Data is for the Project to be dispatched by the CAISO in accordance with such Bid Data, Seller must comply with any CAISO requirement beyond Seller’s Bid submittal requirements expressly stated in this Section </w:t>
      </w:r>
      <w:r>
        <w:t>6.04</w:t>
      </w:r>
      <w:r w:rsidRPr="008E4A01">
        <w:t>, in order to cause the Project to be dispatched in accordance with SCE’s Bid Data</w:t>
      </w:r>
      <w:r w:rsidRPr="00FD371C">
        <w:t>.</w:t>
      </w:r>
    </w:p>
    <w:p w14:paraId="4A5401EA" w14:textId="77777777" w:rsidR="007E26C8" w:rsidRDefault="007E26C8" w:rsidP="007E26C8">
      <w:pPr>
        <w:pStyle w:val="Heading3"/>
      </w:pPr>
      <w:r w:rsidRPr="00A23505">
        <w:lastRenderedPageBreak/>
        <w:t xml:space="preserve">On a Day-Ahead basis, or in accordance with the WECC prescheduling calendar, as applicable, SCE may provide notice to Seller no later than one (1) hour prior to the deadline for submission of Bids into the CAISO </w:t>
      </w:r>
      <w:r>
        <w:t>DAM</w:t>
      </w:r>
      <w:r w:rsidRPr="00A23505">
        <w:t xml:space="preserve"> </w:t>
      </w:r>
      <w:r>
        <w:t>(“</w:t>
      </w:r>
      <w:r w:rsidRPr="00765A0B">
        <w:rPr>
          <w:u w:val="single"/>
        </w:rPr>
        <w:t>SCE’s DAM Deadline</w:t>
      </w:r>
      <w:r>
        <w:t xml:space="preserve">”) </w:t>
      </w:r>
      <w:r w:rsidRPr="00A23505">
        <w:t xml:space="preserve">designating the next Trading Day as an LRCD.  Such notice may also provide Bid Data that Seller must submit for the Project in the CAISO </w:t>
      </w:r>
      <w:r>
        <w:t>DAM</w:t>
      </w:r>
      <w:r w:rsidRPr="00A23505">
        <w:t xml:space="preserve"> for the LRCD</w:t>
      </w:r>
      <w:r>
        <w:t xml:space="preserve">. </w:t>
      </w:r>
    </w:p>
    <w:p w14:paraId="13DA3831" w14:textId="77777777" w:rsidR="007E26C8" w:rsidRDefault="007E26C8" w:rsidP="007E26C8">
      <w:pPr>
        <w:pStyle w:val="Heading3"/>
        <w:numPr>
          <w:ilvl w:val="0"/>
          <w:numId w:val="0"/>
        </w:numPr>
        <w:ind w:left="1728"/>
      </w:pPr>
      <w:r w:rsidRPr="000327D3">
        <w:t xml:space="preserve">To the extent that (i) any portion of the Bid quantity submitted in accordance with </w:t>
      </w:r>
      <w:r>
        <w:t xml:space="preserve">this </w:t>
      </w:r>
      <w:r w:rsidRPr="000327D3">
        <w:t xml:space="preserve">Section </w:t>
      </w:r>
      <w:r>
        <w:t>6.04</w:t>
      </w:r>
      <w:r w:rsidRPr="000327D3">
        <w:t>(c) does not clear the DAM, (ii) Seller fails to submit Energy Supply Bids reflecting the Bid Data into the DAM in accordance with the Tariff, or (iii) Seller disregards SCE’s Bid Data instructions for any reason (in any case, such quantities that were not submitted or cleared being the “</w:t>
      </w:r>
      <w:r w:rsidRPr="00B36F98">
        <w:rPr>
          <w:u w:val="single"/>
        </w:rPr>
        <w:t>Outstanding Bid Quantity</w:t>
      </w:r>
      <w:r w:rsidRPr="000327D3">
        <w:t>”), Seller must submit the Outstanding Bid Quantity in the RTM as a Self-Schedule, unless SCE instructs otherwise.  For clarity, for any Outstanding Bid Quantity, Seller may not submit Economic Bids.  Further, Seller shall be responsible for all costs, fees, fines, and/or CAISO charges related to Bid(s) of Outstanding Bid Quantities in the RTM</w:t>
      </w:r>
      <w:r>
        <w:t>.</w:t>
      </w:r>
    </w:p>
    <w:p w14:paraId="35AA5C89" w14:textId="77777777" w:rsidR="007E26C8" w:rsidRDefault="007E26C8" w:rsidP="007E26C8">
      <w:pPr>
        <w:pStyle w:val="Heading3"/>
      </w:pPr>
      <w:r>
        <w:t>SCE may provide Seller the Bid Data within an Operating Day for such Operating Day (“</w:t>
      </w:r>
      <w:r w:rsidRPr="00B36F98">
        <w:rPr>
          <w:u w:val="single"/>
        </w:rPr>
        <w:t>Day-of Bid Data</w:t>
      </w:r>
      <w:r>
        <w:t>”) for an LRCD that was previously declared in the respective Day-Ahead day. Whether or not Seller’s awarded Day-Ahead Bids conflict with or otherwise impede the Energy delivery as dictated in SCE’s Day-of Bid Data (“</w:t>
      </w:r>
      <w:r w:rsidRPr="00B36F98">
        <w:rPr>
          <w:u w:val="single"/>
        </w:rPr>
        <w:t>Conflicting Bid Quantities</w:t>
      </w:r>
      <w:r>
        <w:t>”), whether or not Seller submitted its own Day-Ahead Bids into the DAM, and whether or not any such Day-Ahead Bids cleared the DAM, Seller shall make the necessary RTM Bid submittals and/or other adjustments, in accordance with the Tariff, that ultimately retract the Day-Ahead Bids and cause Energy Supply Bids, consistent with SCE’s Day-of Bid Data, to be awarded in the RTM (“</w:t>
      </w:r>
      <w:r w:rsidRPr="00B36F98">
        <w:rPr>
          <w:u w:val="single"/>
        </w:rPr>
        <w:t>RT Bid Revision</w:t>
      </w:r>
      <w:r>
        <w:t>”); provided, however, Seller is not required to execute RT Bid Revisions to the extent that SCE provided the Day-of Bid Data for hours (or, as applicable, other time periods) later than thirty (30) minutes prior to CAISO’s deadline for the submission of Bids in the RTM (“</w:t>
      </w:r>
      <w:r w:rsidRPr="00B36F98">
        <w:rPr>
          <w:u w:val="single"/>
        </w:rPr>
        <w:t>SCE’s RT Deadline</w:t>
      </w:r>
      <w:r>
        <w:t>”).</w:t>
      </w:r>
    </w:p>
    <w:p w14:paraId="63ACB81A" w14:textId="77777777" w:rsidR="007E26C8" w:rsidRDefault="007E26C8" w:rsidP="007E26C8">
      <w:pPr>
        <w:pStyle w:val="Heading3"/>
      </w:pPr>
      <w:r>
        <w:t>For clarity, Seller shall bear all price risk and market exposure associated with RT Bid Revisions, except that SCE shall be responsible for any CAISO charges, sanctions or penalties associated with the retraction of Conflicting Bid Quantities.</w:t>
      </w:r>
    </w:p>
    <w:p w14:paraId="741FB075" w14:textId="77777777" w:rsidR="007E26C8" w:rsidRDefault="007E26C8" w:rsidP="007E26C8">
      <w:pPr>
        <w:pStyle w:val="Heading3"/>
      </w:pPr>
      <w:r w:rsidRPr="000327D3">
        <w:t xml:space="preserve">To the extent that SCE declares an LRCD within a given Operating Day (i.e., later than SCE’s DAM Deadline but prior to SCE’s RT Deadline), SCE may still provide Day-of Bid Data for specific intra-day time periods, and, if SCE does so, Seller must submit Self-Schedule Energy Supply Bids corresponding to such Bid Data in the RTM for the respective hours (or, as applicable another period of time); provided, however, Seller shall not be required to submit such </w:t>
      </w:r>
      <w:r w:rsidRPr="000327D3">
        <w:lastRenderedPageBreak/>
        <w:t xml:space="preserve">Bids for specific time periods pursuant to this Section </w:t>
      </w:r>
      <w:r>
        <w:t>6.04</w:t>
      </w:r>
      <w:r w:rsidRPr="000327D3">
        <w:t>(</w:t>
      </w:r>
      <w:r>
        <w:t>e</w:t>
      </w:r>
      <w:r w:rsidRPr="000327D3">
        <w:t>) to the extent that SCE provides the Day-of Bid Data later than SCE’s RT Deadline for the respective time period, or if Seller has previously submitted and been awarded any type of Bid that conflicts with SCE’s Day-of Bid Data</w:t>
      </w:r>
      <w:r>
        <w:t>.</w:t>
      </w:r>
    </w:p>
    <w:p w14:paraId="7EC171BC" w14:textId="589EC26C" w:rsidR="007E26C8" w:rsidRDefault="009A4BA1" w:rsidP="007E26C8">
      <w:pPr>
        <w:pStyle w:val="Heading3"/>
        <w:rPr>
          <w:szCs w:val="24"/>
        </w:rPr>
      </w:pPr>
      <w:r>
        <w:rPr>
          <w:szCs w:val="24"/>
        </w:rPr>
        <w:t xml:space="preserve">During an </w:t>
      </w:r>
      <w:r w:rsidR="007E26C8">
        <w:rPr>
          <w:szCs w:val="24"/>
        </w:rPr>
        <w:t>LRCD</w:t>
      </w:r>
      <w:r w:rsidR="007E26C8" w:rsidRPr="004A766A">
        <w:rPr>
          <w:szCs w:val="24"/>
        </w:rPr>
        <w:t xml:space="preserve">, Seller may </w:t>
      </w:r>
      <w:r>
        <w:rPr>
          <w:szCs w:val="24"/>
        </w:rPr>
        <w:t>not</w:t>
      </w:r>
      <w:r w:rsidR="007E26C8" w:rsidRPr="004A766A">
        <w:rPr>
          <w:szCs w:val="24"/>
        </w:rPr>
        <w:t xml:space="preserve"> charge the Storage Units from the transmission or distribution grid </w:t>
      </w:r>
      <w:r>
        <w:rPr>
          <w:szCs w:val="24"/>
        </w:rPr>
        <w:t>unless</w:t>
      </w:r>
      <w:r w:rsidR="007E26C8" w:rsidRPr="004A766A">
        <w:rPr>
          <w:szCs w:val="24"/>
        </w:rPr>
        <w:t xml:space="preserve"> Seller receives an instruction from </w:t>
      </w:r>
      <w:r w:rsidR="009C613C">
        <w:rPr>
          <w:szCs w:val="24"/>
        </w:rPr>
        <w:t xml:space="preserve">Transmission Provider or </w:t>
      </w:r>
      <w:r w:rsidR="00F618A4">
        <w:rPr>
          <w:szCs w:val="24"/>
        </w:rPr>
        <w:t>CAISO</w:t>
      </w:r>
      <w:r w:rsidR="007E26C8" w:rsidRPr="004A766A">
        <w:rPr>
          <w:szCs w:val="24"/>
        </w:rPr>
        <w:t xml:space="preserve"> directing Seller to charge the Storage Units</w:t>
      </w:r>
      <w:r w:rsidR="007E26C8">
        <w:rPr>
          <w:szCs w:val="24"/>
        </w:rPr>
        <w:t>.</w:t>
      </w:r>
    </w:p>
    <w:p w14:paraId="5E35359A" w14:textId="77777777" w:rsidR="007E26C8" w:rsidRPr="00CA4B1B" w:rsidRDefault="007E26C8" w:rsidP="007E26C8">
      <w:pPr>
        <w:pStyle w:val="Heading3"/>
      </w:pPr>
      <w:r w:rsidRPr="00B36F98">
        <w:rPr>
          <w:szCs w:val="24"/>
        </w:rPr>
        <w:t>Upon SCE’s instruction, as soon as practically possible following CAISO’s notification of DAM or RTM Bid awards for any LRCD, Seller shall cause SCE to receive all Bid award information except price-related Bid components to the extent Seller submitted one or more Economic Bids.</w:t>
      </w:r>
      <w:r>
        <w:t xml:space="preserve"> </w:t>
      </w:r>
      <w:bookmarkStart w:id="238" w:name="_Toc473026994"/>
      <w:bookmarkStart w:id="239" w:name="_Toc473026995"/>
      <w:bookmarkEnd w:id="238"/>
      <w:bookmarkEnd w:id="239"/>
    </w:p>
    <w:p w14:paraId="07465E23" w14:textId="5AEE6106" w:rsidR="00897FCC" w:rsidRDefault="00897FCC" w:rsidP="00897FCC">
      <w:pPr>
        <w:pStyle w:val="Heading2"/>
        <w:rPr>
          <w:u w:val="none"/>
        </w:rPr>
      </w:pPr>
      <w:bookmarkStart w:id="240" w:name="_Toc505940244"/>
      <w:bookmarkStart w:id="241" w:name="_Toc505940362"/>
      <w:bookmarkStart w:id="242" w:name="_Toc505940245"/>
      <w:bookmarkStart w:id="243" w:name="_Toc505940363"/>
      <w:bookmarkStart w:id="244" w:name="_Toc505940246"/>
      <w:bookmarkStart w:id="245" w:name="_Toc505940364"/>
      <w:bookmarkStart w:id="246" w:name="_Toc505940247"/>
      <w:bookmarkStart w:id="247" w:name="_Toc505940365"/>
      <w:bookmarkStart w:id="248" w:name="_Toc510788263"/>
      <w:bookmarkEnd w:id="240"/>
      <w:bookmarkEnd w:id="241"/>
      <w:bookmarkEnd w:id="242"/>
      <w:bookmarkEnd w:id="243"/>
      <w:bookmarkEnd w:id="244"/>
      <w:bookmarkEnd w:id="245"/>
      <w:bookmarkEnd w:id="246"/>
      <w:bookmarkEnd w:id="247"/>
      <w:r>
        <w:t xml:space="preserve">Scheduling Coordinator </w:t>
      </w:r>
      <w:r w:rsidRPr="00CC7744">
        <w:t>(</w:t>
      </w:r>
      <w:r>
        <w:t>Put Periods</w:t>
      </w:r>
      <w:r w:rsidRPr="00CC7744">
        <w:t>)</w:t>
      </w:r>
      <w:r>
        <w:rPr>
          <w:u w:val="none"/>
        </w:rPr>
        <w:t>.</w:t>
      </w:r>
      <w:bookmarkEnd w:id="248"/>
    </w:p>
    <w:p w14:paraId="7F5EDD1A" w14:textId="60FCC1A8" w:rsidR="00897FCC" w:rsidRPr="00FF157D" w:rsidRDefault="00897FCC" w:rsidP="00897FCC">
      <w:pPr>
        <w:pStyle w:val="Heading3"/>
      </w:pPr>
      <w:r w:rsidRPr="00FE06DB">
        <w:rPr>
          <w:u w:val="single"/>
        </w:rPr>
        <w:t>SCE as Scheduling Coordinator</w:t>
      </w:r>
      <w:r w:rsidRPr="00FF157D">
        <w:t>.</w:t>
      </w:r>
    </w:p>
    <w:p w14:paraId="7555267A" w14:textId="513103DA" w:rsidR="00897FCC" w:rsidRPr="0027789B" w:rsidRDefault="00897FCC" w:rsidP="00897FCC">
      <w:pPr>
        <w:pStyle w:val="Heading3Text"/>
      </w:pPr>
      <w:r w:rsidRPr="0027789B">
        <w:t>At least thirty (30) days prior to the beginning of a Put Period, Seller shall take all actions and execute and deliver to SCE and the CAISO all documents necessary to authorize or designate SCE as Scheduling Coordinator (“</w:t>
      </w:r>
      <w:r w:rsidRPr="00FF157D">
        <w:rPr>
          <w:u w:val="single"/>
        </w:rPr>
        <w:t>SC</w:t>
      </w:r>
      <w:r w:rsidRPr="0027789B">
        <w:t>”) for the Project with the CAISO effective as of the beginning of the Put Period</w:t>
      </w:r>
      <w:r>
        <w:t xml:space="preserve">. </w:t>
      </w:r>
      <w:r w:rsidRPr="0027789B">
        <w:t>If SCE is not fully authorized as the SC for the Project as of the beginning of the Put Period and such delay is:</w:t>
      </w:r>
    </w:p>
    <w:p w14:paraId="5EB21639" w14:textId="5E96C166" w:rsidR="00897FCC" w:rsidRPr="0027789B" w:rsidRDefault="00897FCC" w:rsidP="00897FCC">
      <w:pPr>
        <w:pStyle w:val="Heading4"/>
      </w:pPr>
      <w:r w:rsidRPr="0027789B">
        <w:t>due solely to Seller’s failure to comply with the terms of this Agreement and the CAISO Tariff related to authorizing SCE as SC, then until SCE is fully authorized as the SC for the Project, (</w:t>
      </w:r>
      <w:r w:rsidR="008421FB">
        <w:t>A</w:t>
      </w:r>
      <w:r w:rsidRPr="0027789B">
        <w:t>) SCE shall be entitled to the Product but (</w:t>
      </w:r>
      <w:r w:rsidR="008421FB">
        <w:t>B</w:t>
      </w:r>
      <w:r w:rsidRPr="0027789B">
        <w:t>) Seller shall not be entitled to any payment under this Agreement;</w:t>
      </w:r>
    </w:p>
    <w:p w14:paraId="710B64F1" w14:textId="5C2768B2" w:rsidR="00897FCC" w:rsidRPr="0027789B" w:rsidRDefault="00897FCC" w:rsidP="00897FCC">
      <w:pPr>
        <w:pStyle w:val="Heading4"/>
      </w:pPr>
      <w:r w:rsidRPr="0027789B">
        <w:t>due solely to SCE’s failure to comply with the terms of this Agreement and the CAISO Tariff related to authorizing SCE as SC, then, until SCE is fully authorized as the SC for the Project, (</w:t>
      </w:r>
      <w:r w:rsidR="008421FB">
        <w:t>A</w:t>
      </w:r>
      <w:r w:rsidRPr="0027789B">
        <w:t>) SCE shall not be entitled to the Product; and (</w:t>
      </w:r>
      <w:r w:rsidR="008421FB">
        <w:t>B</w:t>
      </w:r>
      <w:r w:rsidRPr="0027789B">
        <w:t>) the Storage Unit(s) shall be deemed to be available for the amount of the Contract Capacity that is unavailable or undeliverable due to such failure; or</w:t>
      </w:r>
    </w:p>
    <w:p w14:paraId="5D2C6264" w14:textId="3631B4D7" w:rsidR="00897FCC" w:rsidRPr="0027789B" w:rsidRDefault="00897FCC" w:rsidP="00897FCC">
      <w:pPr>
        <w:pStyle w:val="Heading4"/>
      </w:pPr>
      <w:r w:rsidRPr="0027789B">
        <w:t>due to either failure of the CAISO to perform the actions necessary to authorize SCE as SC, or the failure of both Parties to comply with the terms of this Agreement and the CAISO Tariff with respect to authorizing SCE as SC, then, until SCE is fully authorized as the SC for the Project, (</w:t>
      </w:r>
      <w:r w:rsidR="008421FB">
        <w:t>A</w:t>
      </w:r>
      <w:r w:rsidRPr="0027789B">
        <w:t>) SCE shall not be entitled to the Product, and (</w:t>
      </w:r>
      <w:r w:rsidR="008421FB">
        <w:t>B</w:t>
      </w:r>
      <w:r w:rsidRPr="0027789B">
        <w:t>) Seller shall not be entitled to any payment under this Agreement.</w:t>
      </w:r>
    </w:p>
    <w:p w14:paraId="0AC78573" w14:textId="2DE997AF" w:rsidR="00897FCC" w:rsidRPr="0027789B" w:rsidRDefault="00897FCC" w:rsidP="00897FCC">
      <w:pPr>
        <w:pStyle w:val="Heading3Text"/>
      </w:pPr>
      <w:r w:rsidRPr="0027789B">
        <w:lastRenderedPageBreak/>
        <w:t xml:space="preserve">During a Put Period, Seller shall not authorize or designate any other party to act as SC, nor shall Seller perform for its own benefit the duties of SC, and Seller shall not revoke </w:t>
      </w:r>
      <w:r w:rsidRPr="005E0C5F">
        <w:t xml:space="preserve">SCE’s authorization to act as SC unless agreed to in writing by SCE. SCE shall submit bids and schedules to the CAISO in accordance with the CAISO Tariff and, subject to </w:t>
      </w:r>
      <w:r w:rsidR="006179DF">
        <w:t>Section 6.07 (Operational Notices)</w:t>
      </w:r>
      <w:r w:rsidRPr="005E0C5F">
        <w:t>, the Operating Restrictions. Seller shall reasonably cooperate with SCE in performing</w:t>
      </w:r>
      <w:r w:rsidRPr="0027789B">
        <w:t xml:space="preserve"> any actions necessary prior to the start of any Put Period to allow each Storage Unit to be (</w:t>
      </w:r>
      <w:r w:rsidR="008D2A13">
        <w:t>x</w:t>
      </w:r>
      <w:r w:rsidRPr="0027789B">
        <w:t>) charged or dispatched (or otherwise scheduled to operate) for the first day of the Put Period and (</w:t>
      </w:r>
      <w:r w:rsidR="008D2A13">
        <w:t>y</w:t>
      </w:r>
      <w:r w:rsidRPr="0027789B">
        <w:t xml:space="preserve">) reported to or scheduled with the CAISO pursuant to the CAISO Tariff, either through </w:t>
      </w:r>
      <w:r>
        <w:t>the CAISO’s outage management system</w:t>
      </w:r>
      <w:r w:rsidRPr="0027789B">
        <w:t xml:space="preserve"> or as otherwise required by the CAISO, as being in an outage at the commencement of the Put Period</w:t>
      </w:r>
      <w:r>
        <w:t xml:space="preserve">. </w:t>
      </w:r>
      <w:r w:rsidRPr="0027789B">
        <w:t xml:space="preserve">All CAISO costs and revenues (including credits and other payments) associated with a dispatch or charge of the Storage Unit(s) on the first day of a Put Period that are received by Seller or </w:t>
      </w:r>
      <w:r w:rsidR="009F46DD">
        <w:t>it’s</w:t>
      </w:r>
      <w:r w:rsidR="009F46DD" w:rsidRPr="0027789B">
        <w:t xml:space="preserve"> </w:t>
      </w:r>
      <w:r w:rsidRPr="0027789B">
        <w:t>SC on the day prior to the Put Period shall be for SCE’s account.</w:t>
      </w:r>
    </w:p>
    <w:p w14:paraId="23574E91" w14:textId="2567CBF8" w:rsidR="00897FCC" w:rsidRPr="0027789B" w:rsidRDefault="00897FCC" w:rsidP="00897FCC">
      <w:pPr>
        <w:pStyle w:val="Heading3Text"/>
      </w:pPr>
      <w:r>
        <w:t>No</w:t>
      </w:r>
      <w:r w:rsidRPr="0027789B">
        <w:t xml:space="preserve"> later than two (2) weeks prior to the first day of a Put Period, Seller shall take all actions necessary with the CAISO and SCE to ensure that by the day immediately prior to the first (1st) day of the Put Period, the </w:t>
      </w:r>
      <w:r w:rsidR="000005CF">
        <w:t>“</w:t>
      </w:r>
      <w:r w:rsidRPr="00DB7FE0">
        <w:rPr>
          <w:u w:val="single"/>
        </w:rPr>
        <w:t>Master File</w:t>
      </w:r>
      <w:r w:rsidR="000005CF">
        <w:t>”</w:t>
      </w:r>
      <w:r w:rsidR="00244EFE">
        <w:t>, as defined by the CAISO Tariff,</w:t>
      </w:r>
      <w:r w:rsidRPr="0027789B">
        <w:t xml:space="preserve"> and the RMR Contract</w:t>
      </w:r>
      <w:r w:rsidR="00244EFE" w:rsidRPr="0027789B">
        <w:t>, if applicable,</w:t>
      </w:r>
      <w:r w:rsidRPr="0027789B">
        <w:t xml:space="preserve"> reflect the values that SCE deems appropriate based on the Operating Restrictions</w:t>
      </w:r>
      <w:r>
        <w:t xml:space="preserve">. </w:t>
      </w:r>
      <w:r w:rsidRPr="0027789B">
        <w:t>If, at any time prior to the termination of this Agreement, any action or inaction of Seller, or a condition of any Storage Unit that could result in a revision to the Master File or to the operating restrictions set forth in an RMR Contract, then Seller shall promptly give Notice to SCE and shall use all reasonable efforts to maintain the Operating Restrictions exactly as they existed on the Effective Date.</w:t>
      </w:r>
    </w:p>
    <w:p w14:paraId="676DD695" w14:textId="59346A26" w:rsidR="00897FCC" w:rsidRPr="0027789B" w:rsidRDefault="00897FCC" w:rsidP="00897FCC">
      <w:pPr>
        <w:pStyle w:val="Heading3Text"/>
      </w:pPr>
      <w:r w:rsidRPr="0027789B">
        <w:t>Seller is responsible for and shall pay SCE an “</w:t>
      </w:r>
      <w:r w:rsidRPr="00FF157D">
        <w:rPr>
          <w:u w:val="single"/>
        </w:rPr>
        <w:t>SC Set-Up Fee</w:t>
      </w:r>
      <w:r w:rsidRPr="0027789B">
        <w:t>” equal to the initial costs (including the costs of SCE employees or agents) SCE incurs, as determined in SCE’s sole discretion, as a result of SCE being designated as the Project’s Scheduling Coordinator for the first Put Period, including the costs associated with the registration of the Project with the CAISO, and the installation, configuration, and testing of all equipment and software necessary for SCE to act as Scheduling Coordinator, Schedule the Project, or charge or discharge the Storage Unit(s); provided, the SC Set-Up Fee shall not exceed twenty thousand dollars ($20,000) and shall not be applicable to any other Put Period other than the first.</w:t>
      </w:r>
    </w:p>
    <w:p w14:paraId="7BCDFE06" w14:textId="049E5F70" w:rsidR="00897FCC" w:rsidRPr="00FF157D" w:rsidRDefault="00897FCC" w:rsidP="00897FCC">
      <w:pPr>
        <w:pStyle w:val="Heading3"/>
      </w:pPr>
      <w:r w:rsidRPr="00FE06DB">
        <w:rPr>
          <w:u w:val="single"/>
        </w:rPr>
        <w:t>CAISO Notices</w:t>
      </w:r>
      <w:r w:rsidRPr="00FF157D">
        <w:t>.</w:t>
      </w:r>
    </w:p>
    <w:p w14:paraId="28971B9A" w14:textId="4AD90A1F" w:rsidR="00897FCC" w:rsidRPr="0027789B" w:rsidRDefault="00897FCC" w:rsidP="00897FCC">
      <w:pPr>
        <w:pStyle w:val="Heading3Text"/>
      </w:pPr>
      <w:r w:rsidRPr="0027789B">
        <w:t xml:space="preserve">Subject to Seller complying with its obligations under this Agreement, SCE, as SC during a Put Period, shall submit all notices and updates required under the </w:t>
      </w:r>
      <w:r w:rsidRPr="0027789B">
        <w:lastRenderedPageBreak/>
        <w:t xml:space="preserve">CAISO Tariff </w:t>
      </w:r>
      <w:r w:rsidRPr="005E0C5F">
        <w:t xml:space="preserve">regarding each Storage Unit’s status to the CAISO. Seller will comply with </w:t>
      </w:r>
      <w:r w:rsidR="006179DF">
        <w:t>Section 6.07 (Operational Notices)</w:t>
      </w:r>
      <w:r w:rsidRPr="005E0C5F">
        <w:t xml:space="preserve"> in prov</w:t>
      </w:r>
      <w:r w:rsidRPr="0027789B">
        <w:t>iding such notices and updates.</w:t>
      </w:r>
    </w:p>
    <w:p w14:paraId="480A9A51" w14:textId="5C4AB5EE" w:rsidR="00897FCC" w:rsidRPr="00FF157D" w:rsidRDefault="00897FCC" w:rsidP="00897FCC">
      <w:pPr>
        <w:pStyle w:val="Heading3"/>
      </w:pPr>
      <w:r w:rsidRPr="00FE06DB">
        <w:rPr>
          <w:u w:val="single"/>
        </w:rPr>
        <w:t>CAISO Settlements</w:t>
      </w:r>
      <w:r w:rsidRPr="00FF157D">
        <w:t>.</w:t>
      </w:r>
    </w:p>
    <w:p w14:paraId="4486F2DF" w14:textId="03662AB2" w:rsidR="00897FCC" w:rsidRDefault="00897FCC" w:rsidP="00897FCC">
      <w:pPr>
        <w:pStyle w:val="Heading3Text"/>
      </w:pPr>
      <w:r w:rsidRPr="0027789B">
        <w:t>As SC during a Put Period, SCE shall be responsible for all settlement functions with the CAISO related to the Project, including, if applicable, as RMR Contract settlement coordinator in accordance with the terms of this Agreement</w:t>
      </w:r>
      <w:r>
        <w:t xml:space="preserve">. </w:t>
      </w:r>
      <w:r w:rsidRPr="0027789B">
        <w:t>Seller shall cooperate with SCE in SCE’s performance of any settlement functions, and Seller shall promptly deliver to SCE all Project data and any correspondence or communications with the CAISO related to the Project, including any invoices or settlement data, in the format reasonably requested by SCE.</w:t>
      </w:r>
    </w:p>
    <w:p w14:paraId="79FBEFB4" w14:textId="2FB025C1" w:rsidR="00897FCC" w:rsidRPr="00FF157D" w:rsidRDefault="00897FCC" w:rsidP="00897FCC">
      <w:pPr>
        <w:pStyle w:val="Heading3"/>
      </w:pPr>
      <w:bookmarkStart w:id="249" w:name="_Toc467577567"/>
      <w:bookmarkStart w:id="250" w:name="_Toc470014827"/>
      <w:bookmarkStart w:id="251" w:name="_Toc470856018"/>
      <w:r w:rsidRPr="00FE06DB">
        <w:rPr>
          <w:u w:val="single"/>
        </w:rPr>
        <w:t>Duties Related to Resource Adequacy Resources</w:t>
      </w:r>
      <w:r w:rsidRPr="00FF157D">
        <w:t>.</w:t>
      </w:r>
      <w:bookmarkEnd w:id="249"/>
      <w:bookmarkEnd w:id="250"/>
      <w:bookmarkEnd w:id="251"/>
    </w:p>
    <w:p w14:paraId="77E925D0" w14:textId="7F45530B" w:rsidR="00D842FE" w:rsidRDefault="00D842FE" w:rsidP="00D842FE">
      <w:pPr>
        <w:pStyle w:val="Heading3Text"/>
      </w:pPr>
      <w:r w:rsidRPr="00331F1B">
        <w:t>If (</w:t>
      </w:r>
      <w:r>
        <w:t>i</w:t>
      </w:r>
      <w:r w:rsidRPr="00331F1B">
        <w:t xml:space="preserve">) a Storage Unit is designated as a Resource Adequacy Resource </w:t>
      </w:r>
      <w:r>
        <w:t xml:space="preserve">during an RA Period </w:t>
      </w:r>
      <w:r w:rsidRPr="00331F1B">
        <w:t>and (</w:t>
      </w:r>
      <w:r>
        <w:t>ii</w:t>
      </w:r>
      <w:r w:rsidRPr="00331F1B">
        <w:t>) Applicable Laws require that, during periods that a Storage Unit is on a Planned Outage, the SC for a Resource Adequacy Resource is required to (</w:t>
      </w:r>
      <w:r>
        <w:t>A</w:t>
      </w:r>
      <w:r w:rsidRPr="00331F1B">
        <w:t>) replace the Storage Unit with a resource that is not a Resource Adequacy Resource or (</w:t>
      </w:r>
      <w:r>
        <w:t>B</w:t>
      </w:r>
      <w:r w:rsidRPr="00331F1B">
        <w:t xml:space="preserve">) face the imposition of a charge, cost, sanction or penalty for failing to replace that Storage Unit, then Seller is responsible for (x) replacing the Storage Unit with a resource that is not a Resource Adequacy Resource, and (y) any and all charges, costs, sanctions and/or penalties for failing to replace all or a portion of the Storage Unit. Seller agrees that SCE is not required to take any action, or use or change its utilization of its owned or controlled assets or market positions, to allow Seller to replace the Storage Unit with a resource that is not a Resource Adequacy Resource and that SCE shall have no liability for any of the obligations described in </w:t>
      </w:r>
      <w:r w:rsidRPr="00425178">
        <w:t xml:space="preserve">this Section </w:t>
      </w:r>
      <w:r>
        <w:t>6</w:t>
      </w:r>
      <w:r w:rsidRPr="00425178">
        <w:t>.0</w:t>
      </w:r>
      <w:r>
        <w:t>5</w:t>
      </w:r>
      <w:r w:rsidRPr="00425178">
        <w:t>(d).</w:t>
      </w:r>
    </w:p>
    <w:p w14:paraId="5127C566" w14:textId="0180A391" w:rsidR="00897FCC" w:rsidRPr="0027789B" w:rsidRDefault="00897FCC" w:rsidP="00897FCC">
      <w:pPr>
        <w:pStyle w:val="Heading3Text"/>
      </w:pPr>
      <w:r w:rsidRPr="0027789B">
        <w:t>If a Storage Unit is designated as a Resource Adequacy Resource during a Put Period, the following will apply:</w:t>
      </w:r>
    </w:p>
    <w:p w14:paraId="7DCCC161" w14:textId="1D437F83" w:rsidR="00897FCC" w:rsidRPr="0027789B" w:rsidRDefault="00897FCC" w:rsidP="00897FCC">
      <w:pPr>
        <w:pStyle w:val="Heading4"/>
      </w:pPr>
      <w:r w:rsidRPr="0027789B">
        <w:t>Seller shall take all actions necessary to allow SCE to perform its duties as an SC for a Resource Adequacy Resource including (</w:t>
      </w:r>
      <w:r w:rsidR="008D2A13">
        <w:t>A</w:t>
      </w:r>
      <w:r w:rsidRPr="0027789B">
        <w:t>) providing all information needed for SCE to include the Project on SCE’s Supply Plan, and (</w:t>
      </w:r>
      <w:r w:rsidR="008D2A13">
        <w:t>B</w:t>
      </w:r>
      <w:r w:rsidRPr="0027789B">
        <w:t>) providing any information requested by SCE related to the Project that is required to be provided to the CAISO or CPUC in order for SCE to comply with Applicable Laws; and</w:t>
      </w:r>
    </w:p>
    <w:p w14:paraId="1F0A0F52" w14:textId="77777777" w:rsidR="008D2A13" w:rsidRDefault="00897FCC" w:rsidP="00897FCC">
      <w:pPr>
        <w:pStyle w:val="Heading4"/>
      </w:pPr>
      <w:r w:rsidRPr="0027789B">
        <w:lastRenderedPageBreak/>
        <w:t xml:space="preserve">SCE shall use the Resource </w:t>
      </w:r>
      <w:r w:rsidRPr="009676F1">
        <w:t>Adequacy Availability Management (“</w:t>
      </w:r>
      <w:r w:rsidRPr="009676F1">
        <w:rPr>
          <w:u w:val="single"/>
        </w:rPr>
        <w:t>RAAM</w:t>
      </w:r>
      <w:r w:rsidRPr="009676F1">
        <w:t xml:space="preserve">”) software, or any successor application, to allow Seller to utilize the substitution rules found in </w:t>
      </w:r>
      <w:r w:rsidRPr="001001A8">
        <w:t>Section 40.9.4.2.1</w:t>
      </w:r>
      <w:r w:rsidRPr="009676F1">
        <w:t xml:space="preserve"> of the CAISO Tariff (“</w:t>
      </w:r>
      <w:r w:rsidRPr="009676F1">
        <w:rPr>
          <w:u w:val="single"/>
        </w:rPr>
        <w:t>Substitution Rules</w:t>
      </w:r>
      <w:r w:rsidRPr="009676F1">
        <w:t xml:space="preserve">”), </w:t>
      </w:r>
      <w:r w:rsidRPr="00DB7FE0">
        <w:t>provided</w:t>
      </w:r>
      <w:r w:rsidRPr="009676F1">
        <w:t xml:space="preserve">, </w:t>
      </w:r>
    </w:p>
    <w:p w14:paraId="63593180" w14:textId="5CFD2F97" w:rsidR="008D2A13" w:rsidRDefault="00897FCC" w:rsidP="00DB7FE0">
      <w:pPr>
        <w:pStyle w:val="Heading5"/>
      </w:pPr>
      <w:r w:rsidRPr="009676F1">
        <w:t xml:space="preserve">SCE is not required to use or change its utilization of SCE owned or controlled assets or market positions, to allow Seller to utilize the Substitution Rules, </w:t>
      </w:r>
    </w:p>
    <w:p w14:paraId="709A2D51" w14:textId="25CF495B" w:rsidR="008D2A13" w:rsidRDefault="00897FCC" w:rsidP="00DB7FE0">
      <w:pPr>
        <w:pStyle w:val="Heading5"/>
      </w:pPr>
      <w:r w:rsidRPr="009676F1">
        <w:t xml:space="preserve">Seller, at its own expense, provides substitute capacity that complies with the Substitution Rules, </w:t>
      </w:r>
    </w:p>
    <w:p w14:paraId="729FED37" w14:textId="1C3DFDB4" w:rsidR="008D2A13" w:rsidRDefault="00897FCC" w:rsidP="00DB7FE0">
      <w:pPr>
        <w:pStyle w:val="Heading5"/>
      </w:pPr>
      <w:r w:rsidRPr="009676F1">
        <w:t xml:space="preserve">Seller provides, as soon as practicable, but no later than 5:00 a.m. the day bids are due in the </w:t>
      </w:r>
      <w:r w:rsidR="005A37EB">
        <w:t>“</w:t>
      </w:r>
      <w:r w:rsidRPr="00DB7FE0">
        <w:rPr>
          <w:u w:val="single"/>
        </w:rPr>
        <w:t>IFM</w:t>
      </w:r>
      <w:r w:rsidR="005A37EB">
        <w:t>,” as defined by the CAISO Tariff,</w:t>
      </w:r>
      <w:r w:rsidRPr="009676F1">
        <w:t xml:space="preserve"> for the day Seller seeks to substitute capacity for, all information to SCE needed to substitute capacity pursuant to the Substitution Rules including substitution start and end dates, the Resource ID for the substitute unit, a short description of the outage, the outage ID from the CAISO’s outage management system, and the amount of capacity to be substituted, </w:t>
      </w:r>
    </w:p>
    <w:p w14:paraId="275137B3" w14:textId="6E4848CE" w:rsidR="008D2A13" w:rsidRDefault="00897FCC" w:rsidP="00DB7FE0">
      <w:pPr>
        <w:pStyle w:val="Heading5"/>
      </w:pPr>
      <w:r w:rsidRPr="009676F1">
        <w:t>SCE’s duties to take action under this subsection (</w:t>
      </w:r>
      <w:r w:rsidR="00767281">
        <w:t>d</w:t>
      </w:r>
      <w:r w:rsidRPr="009676F1">
        <w:t>)</w:t>
      </w:r>
      <w:r w:rsidR="00767281">
        <w:t>(ii)</w:t>
      </w:r>
      <w:r w:rsidRPr="009676F1">
        <w:t xml:space="preserve"> are solely limited to inserting one (1) substitution request through RAAM per day; and </w:t>
      </w:r>
    </w:p>
    <w:p w14:paraId="0ABABE8A" w14:textId="1977C558" w:rsidR="008D2A13" w:rsidRDefault="00897FCC" w:rsidP="00DB7FE0">
      <w:pPr>
        <w:pStyle w:val="Heading5"/>
      </w:pPr>
      <w:r w:rsidRPr="009676F1">
        <w:t>Seller causes, and is responsible for, the SC of the storage or generating unit Seller seeks to substitute with to cooperate with SCE in making a substitute request and SCE is not responsible or liable for any costs, damages, penalties, charges, or liabilities (“</w:t>
      </w:r>
      <w:r w:rsidRPr="009676F1">
        <w:rPr>
          <w:u w:val="single"/>
        </w:rPr>
        <w:t>Substitution Costs</w:t>
      </w:r>
      <w:r w:rsidRPr="009676F1">
        <w:t xml:space="preserve">”) associated with such SC’s failure to cooperate or take the proper action; </w:t>
      </w:r>
    </w:p>
    <w:p w14:paraId="33239296" w14:textId="392C668F" w:rsidR="00897FCC" w:rsidRPr="009676F1" w:rsidRDefault="00897FCC" w:rsidP="00DB7FE0">
      <w:pPr>
        <w:pStyle w:val="Heading4Text"/>
      </w:pPr>
      <w:r w:rsidRPr="00DB7FE0">
        <w:t>provided</w:t>
      </w:r>
      <w:r w:rsidRPr="009676F1">
        <w:t xml:space="preserve">, further, if the CAISO develops a tool, application, or other means, for Seller to submit its own substitution request, then SCE shall not be required to take any action under </w:t>
      </w:r>
      <w:r w:rsidRPr="003B3D2A">
        <w:t xml:space="preserve">this Section </w:t>
      </w:r>
      <w:r w:rsidR="003B3D2A" w:rsidRPr="003B3D2A">
        <w:t>6</w:t>
      </w:r>
      <w:r w:rsidRPr="003B3D2A">
        <w:t>.05(</w:t>
      </w:r>
      <w:r w:rsidR="003B3D2A" w:rsidRPr="003B3D2A">
        <w:t>d</w:t>
      </w:r>
      <w:r w:rsidRPr="003B3D2A">
        <w:t>)</w:t>
      </w:r>
      <w:r w:rsidR="003B3D2A" w:rsidRPr="003B3D2A">
        <w:t>(ii)</w:t>
      </w:r>
      <w:r w:rsidRPr="003B3D2A">
        <w:t xml:space="preserve"> to</w:t>
      </w:r>
      <w:r w:rsidRPr="009676F1">
        <w:t xml:space="preserve"> allow Seller to utilize the Substitution Rules. In no event shall SCE be responsible or liable for any Substitution Costs associated with Seller’s inability to utilize the Substitution Rules or rejection by the CAISO of any substitute capacity for any reason including any RAAM software limitations or failures, unless SCE is required to take action and such Substitution Costs or rejection result solely from SCE’s actions.</w:t>
      </w:r>
    </w:p>
    <w:p w14:paraId="76BB5124" w14:textId="74DCCCD6" w:rsidR="00897FCC" w:rsidRPr="0027789B" w:rsidRDefault="00897FCC" w:rsidP="00897FCC">
      <w:pPr>
        <w:pStyle w:val="Heading3Text"/>
      </w:pPr>
      <w:r w:rsidRPr="009676F1">
        <w:lastRenderedPageBreak/>
        <w:t xml:space="preserve">Seller shall provide the information set </w:t>
      </w:r>
      <w:r w:rsidRPr="003B3D2A">
        <w:t xml:space="preserve">forth in this Section </w:t>
      </w:r>
      <w:r w:rsidR="003B3D2A" w:rsidRPr="003B3D2A">
        <w:t>6</w:t>
      </w:r>
      <w:r w:rsidRPr="003B3D2A">
        <w:t>.05</w:t>
      </w:r>
      <w:r w:rsidR="003B3D2A" w:rsidRPr="003B3D2A">
        <w:t>(d)</w:t>
      </w:r>
      <w:r w:rsidRPr="003B3D2A">
        <w:t xml:space="preserve"> through</w:t>
      </w:r>
      <w:r w:rsidRPr="009676F1">
        <w:t xml:space="preserve"> the </w:t>
      </w:r>
      <w:r w:rsidR="00155494">
        <w:t>Web Client</w:t>
      </w:r>
      <w:r w:rsidRPr="009676F1">
        <w:t xml:space="preserve">. If an electronic submittal via the </w:t>
      </w:r>
      <w:r w:rsidR="00155494">
        <w:t>Web Client</w:t>
      </w:r>
      <w:r w:rsidRPr="009676F1">
        <w:t xml:space="preserve"> is not available, or is not possible for reasons beyond a Party’s control, Seller may provide such information through (in order of preference) electronic mail, facsimile transmission or, if such submissions are not available, then telephonically to the SCE personnel designated to receive such communications as </w:t>
      </w:r>
      <w:r w:rsidRPr="00D01883">
        <w:t xml:space="preserve">identified in </w:t>
      </w:r>
      <w:r w:rsidR="00367C93">
        <w:rPr>
          <w:u w:val="single"/>
        </w:rPr>
        <w:t>Exhibit K</w:t>
      </w:r>
      <w:r w:rsidRPr="00D01883">
        <w:t xml:space="preserve"> followed</w:t>
      </w:r>
      <w:r w:rsidRPr="0027789B">
        <w:t xml:space="preserve"> by an electronic mail or facsimile transmission of such information as soon as practicable.</w:t>
      </w:r>
    </w:p>
    <w:p w14:paraId="3BEFCF99" w14:textId="68408217" w:rsidR="00897FCC" w:rsidRDefault="00897FCC" w:rsidP="00897FCC">
      <w:pPr>
        <w:pStyle w:val="Heading3Text"/>
        <w:rPr>
          <w:rStyle w:val="DeltaViewInsertion"/>
          <w:b w:val="0"/>
          <w:bCs w:val="0"/>
          <w:u w:val="none"/>
        </w:rPr>
      </w:pPr>
      <w:r w:rsidRPr="0027789B">
        <w:rPr>
          <w:rStyle w:val="DeltaViewInsertion"/>
          <w:b w:val="0"/>
          <w:bCs w:val="0"/>
          <w:u w:val="none"/>
        </w:rPr>
        <w:t xml:space="preserve">SCE may list the Resource Adequacy capacity associated with the Project as </w:t>
      </w:r>
      <w:r w:rsidR="00852AF9">
        <w:rPr>
          <w:rStyle w:val="DeltaViewInsertion"/>
          <w:b w:val="0"/>
          <w:bCs w:val="0"/>
          <w:u w:val="none"/>
        </w:rPr>
        <w:t>“</w:t>
      </w:r>
      <w:r w:rsidRPr="00DB7FE0">
        <w:rPr>
          <w:rStyle w:val="DeltaViewInsertion"/>
          <w:b w:val="0"/>
          <w:bCs w:val="0"/>
          <w:u w:val="single"/>
        </w:rPr>
        <w:t>Non-Specified RA Replacement Capacity</w:t>
      </w:r>
      <w:r w:rsidR="00852AF9">
        <w:rPr>
          <w:rStyle w:val="DeltaViewInsertion"/>
          <w:b w:val="0"/>
          <w:bCs w:val="0"/>
          <w:u w:val="none"/>
        </w:rPr>
        <w:t>”</w:t>
      </w:r>
      <w:r w:rsidRPr="0027789B">
        <w:rPr>
          <w:rStyle w:val="DeltaViewInsertion"/>
          <w:b w:val="0"/>
          <w:bCs w:val="0"/>
          <w:u w:val="none"/>
        </w:rPr>
        <w:t xml:space="preserve"> or </w:t>
      </w:r>
      <w:r w:rsidR="00852AF9">
        <w:rPr>
          <w:rStyle w:val="DeltaViewInsertion"/>
          <w:b w:val="0"/>
          <w:bCs w:val="0"/>
          <w:u w:val="none"/>
        </w:rPr>
        <w:t>“</w:t>
      </w:r>
      <w:r w:rsidRPr="00DB7FE0">
        <w:rPr>
          <w:rStyle w:val="DeltaViewInsertion"/>
          <w:b w:val="0"/>
          <w:bCs w:val="0"/>
          <w:u w:val="single"/>
        </w:rPr>
        <w:t>Specified RA Replacement Capacity</w:t>
      </w:r>
      <w:r w:rsidR="00852AF9">
        <w:rPr>
          <w:rStyle w:val="DeltaViewInsertion"/>
          <w:b w:val="0"/>
          <w:bCs w:val="0"/>
          <w:u w:val="none"/>
        </w:rPr>
        <w:t>,” as those terms are defined in the CAISO Tariff</w:t>
      </w:r>
      <w:r w:rsidRPr="0027789B">
        <w:rPr>
          <w:rStyle w:val="DeltaViewInsertion"/>
          <w:b w:val="0"/>
          <w:bCs w:val="0"/>
          <w:u w:val="none"/>
        </w:rPr>
        <w:t>.</w:t>
      </w:r>
    </w:p>
    <w:p w14:paraId="198DC088" w14:textId="002593FB" w:rsidR="00897FCC" w:rsidRPr="00FF157D" w:rsidRDefault="00897FCC" w:rsidP="00897FCC">
      <w:pPr>
        <w:pStyle w:val="Heading3"/>
      </w:pPr>
      <w:bookmarkStart w:id="252" w:name="_Toc467577568"/>
      <w:bookmarkStart w:id="253" w:name="_Toc470014828"/>
      <w:bookmarkStart w:id="254" w:name="_Toc470856019"/>
      <w:r w:rsidRPr="00FE06DB">
        <w:rPr>
          <w:u w:val="single"/>
        </w:rPr>
        <w:t>Allocation of Charges Related to Generator Replacement</w:t>
      </w:r>
      <w:r w:rsidRPr="00FF157D">
        <w:t>.</w:t>
      </w:r>
      <w:bookmarkEnd w:id="252"/>
      <w:bookmarkEnd w:id="253"/>
      <w:bookmarkEnd w:id="254"/>
    </w:p>
    <w:p w14:paraId="6E1FF27A" w14:textId="6D4B5A62" w:rsidR="00897FCC" w:rsidRPr="0027789B" w:rsidRDefault="00897FCC" w:rsidP="008F06B8">
      <w:pPr>
        <w:pStyle w:val="Heading3Text"/>
      </w:pPr>
      <w:r w:rsidRPr="0027789B">
        <w:t>If the Storage Unit(s) are designated as a Resource Adequacy Resource during a Put Period and Seller requests to place the Storage Unit(s) on a Planned Outage, SCE, as the SC, will submit a request to the CAISO for such a Planned Outage, and if a</w:t>
      </w:r>
      <w:r w:rsidR="006E7922">
        <w:t>n</w:t>
      </w:r>
      <w:r w:rsidRPr="0027789B">
        <w:t xml:space="preserve"> </w:t>
      </w:r>
      <w:r w:rsidR="006E7922">
        <w:t>Applicable Law</w:t>
      </w:r>
      <w:r w:rsidRPr="0027789B">
        <w:t xml:space="preserve"> requires that the Storage Unit(s) be replaced with a resource that is not a Resource Adequacy Resource in order for the Planned Outage being requested to be approved, Seller shall be responsible for replacing the Storage Unit(s) with a resource that is not a Resource Adequacy Resource</w:t>
      </w:r>
      <w:r>
        <w:t xml:space="preserve">. </w:t>
      </w:r>
      <w:r w:rsidRPr="0027789B">
        <w:t>SCE agrees that in such a circumstance, upon the request of Seller, SCE will take reasonable administrative actions to facilitate such a replacement by Seller; provided SCE shall not be required to take any action, or use or change its utilization of its owned or controlled assets or market positions, to allow Seller to replace the Storage Unit(s) with a resource that is not a Resource Adequacy Resource.</w:t>
      </w:r>
    </w:p>
    <w:p w14:paraId="5AA620B0" w14:textId="3CAAC1DA" w:rsidR="00897FCC" w:rsidRPr="00FF157D" w:rsidRDefault="00897FCC" w:rsidP="00897FCC">
      <w:pPr>
        <w:pStyle w:val="Heading3"/>
      </w:pPr>
      <w:bookmarkStart w:id="255" w:name="_Toc467577569"/>
      <w:bookmarkStart w:id="256" w:name="_Toc470014829"/>
      <w:bookmarkStart w:id="257" w:name="_Toc470856020"/>
      <w:r w:rsidRPr="00FE06DB">
        <w:rPr>
          <w:u w:val="single"/>
        </w:rPr>
        <w:t>Terminating SCE’s Designation as SC</w:t>
      </w:r>
      <w:r w:rsidRPr="00FF157D">
        <w:t>.</w:t>
      </w:r>
      <w:bookmarkEnd w:id="255"/>
      <w:bookmarkEnd w:id="256"/>
      <w:bookmarkEnd w:id="257"/>
    </w:p>
    <w:p w14:paraId="5D09421E" w14:textId="376604E3" w:rsidR="003E4247" w:rsidRDefault="00897FCC" w:rsidP="008F06B8">
      <w:pPr>
        <w:pStyle w:val="Heading3Text"/>
      </w:pPr>
      <w:r w:rsidRPr="0027789B">
        <w:t>At least thirty (30) days prior to the expiration of a Put Period, or, in the event of an Early Termination Date being declared, two (2) Business Days prior to the Early Termination Date, the Parties will take all actions necessary to terminate the designation of SCE as SC as of the hour ending 12:00 a.m. on the final date of the Put Period (“</w:t>
      </w:r>
      <w:r w:rsidRPr="00FF157D">
        <w:rPr>
          <w:u w:val="single"/>
        </w:rPr>
        <w:t>SC Replacement Date</w:t>
      </w:r>
      <w:r w:rsidRPr="0027789B">
        <w:t>”)</w:t>
      </w:r>
      <w:r>
        <w:t xml:space="preserve">. </w:t>
      </w:r>
      <w:r w:rsidRPr="0027789B">
        <w:t xml:space="preserve">Such actions include the following:  </w:t>
      </w:r>
    </w:p>
    <w:p w14:paraId="3DD0B921" w14:textId="1A9D95E6" w:rsidR="003E4247" w:rsidRDefault="00897FCC" w:rsidP="00DB7FE0">
      <w:pPr>
        <w:pStyle w:val="Heading4"/>
      </w:pPr>
      <w:r w:rsidRPr="0027789B">
        <w:t>Seller shall (</w:t>
      </w:r>
      <w:r w:rsidR="003E4247">
        <w:t>A</w:t>
      </w:r>
      <w:r w:rsidRPr="0027789B">
        <w:t>) submit to the CAISO a designation of a new SC to replace SCE effective as of the SC Replacement Date, and (</w:t>
      </w:r>
      <w:r w:rsidR="003E4247">
        <w:t>B</w:t>
      </w:r>
      <w:r w:rsidRPr="0027789B">
        <w:t xml:space="preserve">) cause its newly designated SC to submit a letter to the CAISO accepting the designation; and </w:t>
      </w:r>
    </w:p>
    <w:p w14:paraId="0126671D" w14:textId="4B07F507" w:rsidR="003E4247" w:rsidRDefault="00897FCC" w:rsidP="00DB7FE0">
      <w:pPr>
        <w:pStyle w:val="Heading4"/>
      </w:pPr>
      <w:r w:rsidRPr="0027789B">
        <w:lastRenderedPageBreak/>
        <w:t>SCE shall submit a letter to the CAISO resigning as SC effective as of the SC Replacement Date</w:t>
      </w:r>
      <w:r>
        <w:t xml:space="preserve">. </w:t>
      </w:r>
    </w:p>
    <w:p w14:paraId="3240EF35" w14:textId="394E7CC8" w:rsidR="00897FCC" w:rsidRDefault="00897FCC" w:rsidP="003E4247">
      <w:pPr>
        <w:pStyle w:val="Heading3Text"/>
      </w:pPr>
      <w:r w:rsidRPr="0027789B">
        <w:t>Seller bears sole responsibility for locating, selecting, and reaching agreement on terms with any replacement SC.</w:t>
      </w:r>
    </w:p>
    <w:p w14:paraId="2D96C69E" w14:textId="77777777" w:rsidR="00CB0170" w:rsidRDefault="00CB0170" w:rsidP="00CB0170">
      <w:pPr>
        <w:pStyle w:val="Heading2"/>
        <w:rPr>
          <w:u w:val="none"/>
        </w:rPr>
      </w:pPr>
      <w:bookmarkStart w:id="258" w:name="_Toc510788264"/>
      <w:r>
        <w:t>Outages</w:t>
      </w:r>
      <w:r>
        <w:rPr>
          <w:u w:val="none"/>
        </w:rPr>
        <w:t>.</w:t>
      </w:r>
      <w:bookmarkEnd w:id="258"/>
    </w:p>
    <w:p w14:paraId="0C4E61AF" w14:textId="55AB27B9" w:rsidR="00CB0170" w:rsidRPr="00FF157D" w:rsidRDefault="006A6829" w:rsidP="00CB0170">
      <w:pPr>
        <w:pStyle w:val="Heading3"/>
      </w:pPr>
      <w:r>
        <w:rPr>
          <w:u w:val="single"/>
        </w:rPr>
        <w:t>Scheduled</w:t>
      </w:r>
      <w:r w:rsidRPr="00FE06DB">
        <w:rPr>
          <w:u w:val="single"/>
        </w:rPr>
        <w:t xml:space="preserve"> </w:t>
      </w:r>
      <w:r w:rsidR="00CB0170" w:rsidRPr="00FE06DB">
        <w:rPr>
          <w:u w:val="single"/>
        </w:rPr>
        <w:t>Outages</w:t>
      </w:r>
      <w:r w:rsidR="00CB0170" w:rsidRPr="00FF157D">
        <w:t>.</w:t>
      </w:r>
    </w:p>
    <w:p w14:paraId="101CA16A" w14:textId="287C8033" w:rsidR="00B71E7E" w:rsidRDefault="006A6829" w:rsidP="008B3C43">
      <w:pPr>
        <w:pStyle w:val="Heading4"/>
      </w:pPr>
      <w:r>
        <w:t xml:space="preserve">Sixty (60) days </w:t>
      </w:r>
      <w:r w:rsidR="00CB0170" w:rsidRPr="0027789B">
        <w:t xml:space="preserve">prior to the Expected Initial Delivery Date, and </w:t>
      </w:r>
      <w:r>
        <w:t xml:space="preserve">throughout the Delivery Period, Seller shall </w:t>
      </w:r>
      <w:r w:rsidR="00CB0170" w:rsidRPr="0027789B">
        <w:t>no later than January 1, April 1, July 1 and October 1 of each year  submit to SCE</w:t>
      </w:r>
      <w:r w:rsidR="006D77D9">
        <w:t>, using Web Client,</w:t>
      </w:r>
      <w:r w:rsidR="00CB0170" w:rsidRPr="0027789B">
        <w:t xml:space="preserve"> each Storage Unit’s proposed schedule of </w:t>
      </w:r>
      <w:r w:rsidR="006D77D9">
        <w:t>scheduled</w:t>
      </w:r>
      <w:r w:rsidR="006D77D9" w:rsidRPr="0027789B">
        <w:t xml:space="preserve"> </w:t>
      </w:r>
      <w:r w:rsidR="006D77D9">
        <w:t>o</w:t>
      </w:r>
      <w:r w:rsidR="00CB0170" w:rsidRPr="0027789B">
        <w:t>utages (“</w:t>
      </w:r>
      <w:r w:rsidR="00CB0170" w:rsidRPr="00FF157D">
        <w:rPr>
          <w:u w:val="single"/>
        </w:rPr>
        <w:t>Outage Schedule</w:t>
      </w:r>
      <w:r w:rsidR="00CB0170" w:rsidRPr="0027789B">
        <w:t xml:space="preserve">”), </w:t>
      </w:r>
      <w:r w:rsidR="006D77D9">
        <w:t xml:space="preserve">for the following </w:t>
      </w:r>
      <w:r w:rsidR="00CB0170" w:rsidRPr="0027789B">
        <w:t>twenty-four month</w:t>
      </w:r>
      <w:r w:rsidR="006D77D9">
        <w:t xml:space="preserve"> period. </w:t>
      </w:r>
      <w:r w:rsidR="00CB0170">
        <w:t xml:space="preserve"> </w:t>
      </w:r>
      <w:r w:rsidR="00CB0170" w:rsidRPr="0027789B">
        <w:t xml:space="preserve">If the </w:t>
      </w:r>
      <w:r w:rsidR="006D77D9">
        <w:t>Web Client</w:t>
      </w:r>
      <w:r w:rsidR="00CB0170" w:rsidRPr="0027789B">
        <w:t xml:space="preserve"> is not available or the obligation to submit such schedule occurs during a</w:t>
      </w:r>
      <w:r w:rsidR="004A2082">
        <w:t>n</w:t>
      </w:r>
      <w:r w:rsidR="00CB0170" w:rsidRPr="0027789B">
        <w:t xml:space="preserve"> RA </w:t>
      </w:r>
      <w:r w:rsidR="00CB0170" w:rsidRPr="009676F1">
        <w:t xml:space="preserve">Period, Seller shall submit the Outage Schedule in substantially the form set forth </w:t>
      </w:r>
      <w:r w:rsidR="00CB0170" w:rsidRPr="00D01883">
        <w:t xml:space="preserve">in </w:t>
      </w:r>
      <w:r w:rsidR="00CB0170" w:rsidRPr="00D01883">
        <w:rPr>
          <w:u w:val="single"/>
        </w:rPr>
        <w:t xml:space="preserve">Exhibit </w:t>
      </w:r>
      <w:r w:rsidR="00367C93">
        <w:rPr>
          <w:u w:val="single"/>
        </w:rPr>
        <w:t>M</w:t>
      </w:r>
      <w:r w:rsidR="00CB0170" w:rsidRPr="00D01883">
        <w:t>.</w:t>
      </w:r>
    </w:p>
    <w:p w14:paraId="40BA9F43" w14:textId="77777777" w:rsidR="006D77D9" w:rsidRDefault="006D77D9" w:rsidP="006D77D9">
      <w:pPr>
        <w:pStyle w:val="Heading4"/>
      </w:pPr>
      <w:r>
        <w:t>Seller shall provide the following information for each proposed scheduled outage:</w:t>
      </w:r>
    </w:p>
    <w:p w14:paraId="527CB604" w14:textId="77777777" w:rsidR="006D77D9" w:rsidRDefault="006D77D9" w:rsidP="006D77D9">
      <w:pPr>
        <w:pStyle w:val="Heading5"/>
      </w:pPr>
      <w:r>
        <w:t>Description of the work to be performed during the scheduled outage;</w:t>
      </w:r>
    </w:p>
    <w:p w14:paraId="155F87C7" w14:textId="77777777" w:rsidR="006D77D9" w:rsidRDefault="006D77D9" w:rsidP="006D77D9">
      <w:pPr>
        <w:pStyle w:val="Heading5"/>
      </w:pPr>
      <w:r>
        <w:t>Start date and time;</w:t>
      </w:r>
    </w:p>
    <w:p w14:paraId="0CE8AC59" w14:textId="77777777" w:rsidR="006D77D9" w:rsidRDefault="006D77D9" w:rsidP="006D77D9">
      <w:pPr>
        <w:pStyle w:val="Heading5"/>
      </w:pPr>
      <w:r>
        <w:t>End date and time; and</w:t>
      </w:r>
    </w:p>
    <w:p w14:paraId="552877A5" w14:textId="77777777" w:rsidR="006D77D9" w:rsidRDefault="006D77D9" w:rsidP="006D77D9">
      <w:pPr>
        <w:pStyle w:val="Heading5"/>
      </w:pPr>
      <w:r>
        <w:t>Capacity online, in MW, during the scheduled outage.</w:t>
      </w:r>
    </w:p>
    <w:p w14:paraId="61262A73" w14:textId="2E865A61" w:rsidR="006D77D9" w:rsidRDefault="006D77D9" w:rsidP="00CB0170">
      <w:pPr>
        <w:pStyle w:val="Heading3Text"/>
      </w:pPr>
    </w:p>
    <w:p w14:paraId="77419A2F" w14:textId="0C89B024" w:rsidR="006D77D9" w:rsidRDefault="006D77D9" w:rsidP="006D77D9">
      <w:pPr>
        <w:pStyle w:val="Heading4"/>
        <w:ind w:left="2610" w:hanging="900"/>
      </w:pPr>
      <w:r w:rsidRPr="00D01883">
        <w:t>SCE</w:t>
      </w:r>
      <w:r w:rsidRPr="009676F1">
        <w:t xml:space="preserve"> shall notify Seller in writing of any request for changes to the Outage</w:t>
      </w:r>
      <w:r w:rsidRPr="0027789B">
        <w:t xml:space="preserve"> Schedule</w:t>
      </w:r>
      <w:r w:rsidRPr="00331F1B">
        <w:t xml:space="preserve">, and Seller shall, if consistent with Prudent Electrical Practices, accommodate SCE’s requests regarding the timing of any </w:t>
      </w:r>
      <w:r>
        <w:t>scheduled outage</w:t>
      </w:r>
      <w:r w:rsidRPr="00331F1B">
        <w:t>; provided that the CAISO agrees to such changed timing</w:t>
      </w:r>
      <w:r>
        <w:t>.</w:t>
      </w:r>
      <w:r w:rsidRPr="0027789B">
        <w:t xml:space="preserve"> </w:t>
      </w:r>
      <w:r>
        <w:t xml:space="preserve">If </w:t>
      </w:r>
      <w:r w:rsidRPr="0027789B">
        <w:t xml:space="preserve">SCE’s request to change the timing of any </w:t>
      </w:r>
      <w:r>
        <w:t>scheduled outage</w:t>
      </w:r>
      <w:r w:rsidRPr="0027789B">
        <w:t xml:space="preserve"> would result in Seller incurring incremental costs, or reduction in Monthly Capacity Payments, in excess of what would have been incurred without the </w:t>
      </w:r>
      <w:r>
        <w:t>scheduled outage</w:t>
      </w:r>
      <w:r w:rsidRPr="0027789B">
        <w:t xml:space="preserve"> timing change requested by SCE, within five (5) Business Days after receipt of SCE’s request Seller shall provide reasonable documentation to SCE of the costs and/or revenue impact that would be incurred by Seller and SCE may either</w:t>
      </w:r>
      <w:r w:rsidR="00CA50FB">
        <w:t>:</w:t>
      </w:r>
      <w:r w:rsidRPr="0027789B">
        <w:t xml:space="preserve"> </w:t>
      </w:r>
    </w:p>
    <w:p w14:paraId="031D1880" w14:textId="78C49281" w:rsidR="000005CF" w:rsidRDefault="00CB0170" w:rsidP="008B3C43">
      <w:pPr>
        <w:pStyle w:val="Heading5"/>
      </w:pPr>
      <w:r w:rsidRPr="0027789B">
        <w:lastRenderedPageBreak/>
        <w:t>agree to reimburse (subject to audit by SCE) Seller for such costs and revenue impact</w:t>
      </w:r>
      <w:r w:rsidR="00D700F7">
        <w:t>,</w:t>
      </w:r>
      <w:r w:rsidRPr="0027789B">
        <w:t xml:space="preserve"> or </w:t>
      </w:r>
    </w:p>
    <w:p w14:paraId="6C52BA6B" w14:textId="69581B0A" w:rsidR="000005CF" w:rsidRDefault="00CB0170" w:rsidP="008B3C43">
      <w:pPr>
        <w:pStyle w:val="Heading5"/>
      </w:pPr>
      <w:r w:rsidRPr="0027789B">
        <w:t xml:space="preserve">withdraw its request for such change in </w:t>
      </w:r>
      <w:r w:rsidR="00313317">
        <w:t>scheduled</w:t>
      </w:r>
      <w:r w:rsidR="00313317" w:rsidRPr="0027789B">
        <w:t xml:space="preserve"> </w:t>
      </w:r>
      <w:r w:rsidR="00313317">
        <w:t>o</w:t>
      </w:r>
      <w:r w:rsidRPr="0027789B">
        <w:t>utage timing</w:t>
      </w:r>
      <w:r>
        <w:t xml:space="preserve">. </w:t>
      </w:r>
    </w:p>
    <w:p w14:paraId="0F654B72" w14:textId="77777777" w:rsidR="006D77D9" w:rsidRDefault="006D77D9" w:rsidP="006D77D9">
      <w:pPr>
        <w:pStyle w:val="Heading4"/>
        <w:keepLines/>
      </w:pPr>
      <w:r>
        <w:t xml:space="preserve">Seller must provide Notice to SCE at least sixty (60) days prior to the start of any scheduled outage. </w:t>
      </w:r>
    </w:p>
    <w:p w14:paraId="3C0C14A1" w14:textId="77777777" w:rsidR="006D77D9" w:rsidRDefault="006D77D9" w:rsidP="006D77D9">
      <w:pPr>
        <w:pStyle w:val="Heading4"/>
      </w:pPr>
      <w:r w:rsidRPr="0027789B">
        <w:t>Seller shall cooperate with SCE to arrange and coordinate all Outage Schedules with the CAISO</w:t>
      </w:r>
      <w:r>
        <w:t xml:space="preserve"> in compliance with the CAISO Tariff. </w:t>
      </w:r>
    </w:p>
    <w:p w14:paraId="36803184" w14:textId="77777777" w:rsidR="006D77D9" w:rsidRDefault="006D77D9" w:rsidP="006D77D9">
      <w:pPr>
        <w:pStyle w:val="Heading4"/>
      </w:pPr>
      <w:r>
        <w:t xml:space="preserve">If a condition occurs which causes Seller to revise its scheduled outages, </w:t>
      </w:r>
      <w:r w:rsidRPr="0027789B">
        <w:t xml:space="preserve">Seller </w:t>
      </w:r>
      <w:r>
        <w:t>shall promptly provide Notice to SCE, using the Web Client (with a second Notice to SCE’s Outage Desk</w:t>
      </w:r>
      <w:r w:rsidRPr="00410B3B">
        <w:t xml:space="preserve"> </w:t>
      </w:r>
      <w:r>
        <w:t>if the scheduled outage is more than three months in the future), of such change (including an estimate of the length of such scheduled outage) as required in the CAISO Tariff</w:t>
      </w:r>
      <w:r w:rsidRPr="0027789B">
        <w:t xml:space="preserve"> after the condition causing the change becomes known to Seller</w:t>
      </w:r>
      <w:r>
        <w:t xml:space="preserve">. </w:t>
      </w:r>
    </w:p>
    <w:p w14:paraId="6EF8644D" w14:textId="77777777" w:rsidR="006D77D9" w:rsidRPr="0027789B" w:rsidRDefault="006D77D9" w:rsidP="006D77D9">
      <w:pPr>
        <w:pStyle w:val="Heading4"/>
        <w:keepLines/>
      </w:pPr>
      <w:r w:rsidRPr="0049798A">
        <w:t>Seller shall promptly prepare and provide to SCE upon request, using the Web Client, all reports of actual or forecasted outages that SCE may reasonably require for the purpose of enabling SCE to comply with Section 761.3 of the California Public Utilities Code, the CAISO Tariff, or any Applicable Law mandating the reporting by investor owned utilities of expected or experienced outages by electric energy generating facilities under contract to supply electric energy</w:t>
      </w:r>
      <w:r w:rsidRPr="00331F1B">
        <w:t>.</w:t>
      </w:r>
    </w:p>
    <w:p w14:paraId="27B5AD4F" w14:textId="27EC99BC" w:rsidR="00CB0170" w:rsidRPr="00FF157D" w:rsidRDefault="00CB0170" w:rsidP="00CB0170">
      <w:pPr>
        <w:pStyle w:val="Heading3"/>
      </w:pPr>
      <w:r w:rsidRPr="00FE06DB">
        <w:rPr>
          <w:u w:val="single"/>
        </w:rPr>
        <w:t xml:space="preserve">No </w:t>
      </w:r>
      <w:r w:rsidR="003B12B2">
        <w:rPr>
          <w:u w:val="single"/>
        </w:rPr>
        <w:t>Scheduled</w:t>
      </w:r>
      <w:r w:rsidR="003B12B2" w:rsidRPr="00FE06DB">
        <w:rPr>
          <w:u w:val="single"/>
        </w:rPr>
        <w:t xml:space="preserve"> </w:t>
      </w:r>
      <w:r w:rsidRPr="00FE06DB">
        <w:rPr>
          <w:u w:val="single"/>
        </w:rPr>
        <w:t>Outages During Summer Months</w:t>
      </w:r>
      <w:r w:rsidRPr="00FF157D">
        <w:t>.</w:t>
      </w:r>
    </w:p>
    <w:p w14:paraId="7FC668DE" w14:textId="0254DC06" w:rsidR="00CB0170" w:rsidRPr="0027789B" w:rsidRDefault="00CB0170" w:rsidP="00CB0170">
      <w:pPr>
        <w:pStyle w:val="Heading3Text"/>
      </w:pPr>
      <w:r w:rsidRPr="0027789B">
        <w:t>Unless agreed and coordinated in advance by the Parties, no outages shall be scheduled or planned from each May 1 through September 30 during the Delivery Period</w:t>
      </w:r>
      <w:r>
        <w:t xml:space="preserve">. </w:t>
      </w:r>
      <w:r w:rsidR="00D8575F">
        <w:t xml:space="preserve">If </w:t>
      </w:r>
      <w:r w:rsidRPr="0027789B">
        <w:t xml:space="preserve">Seller has a previously </w:t>
      </w:r>
      <w:r w:rsidR="001230FB">
        <w:t>scheduled</w:t>
      </w:r>
      <w:r w:rsidR="001230FB" w:rsidRPr="0027789B">
        <w:t xml:space="preserve"> </w:t>
      </w:r>
      <w:r w:rsidR="001230FB">
        <w:t>o</w:t>
      </w:r>
      <w:r w:rsidRPr="0027789B">
        <w:t xml:space="preserve">utage that becomes coincident with a CAISO-declared system emergency, Seller shall make all reasonable efforts to reschedule such </w:t>
      </w:r>
      <w:r w:rsidR="001230FB">
        <w:t>scheduled</w:t>
      </w:r>
      <w:r w:rsidR="001230FB" w:rsidRPr="0027789B">
        <w:t xml:space="preserve"> </w:t>
      </w:r>
      <w:r w:rsidR="001230FB">
        <w:t>o</w:t>
      </w:r>
      <w:r w:rsidRPr="0027789B">
        <w:t>utage.</w:t>
      </w:r>
    </w:p>
    <w:p w14:paraId="79B1FD30" w14:textId="0A61C8D8" w:rsidR="00CB0170" w:rsidRPr="00FF157D" w:rsidRDefault="00CB0170" w:rsidP="00CB0170">
      <w:pPr>
        <w:pStyle w:val="Heading3"/>
      </w:pPr>
      <w:r w:rsidRPr="00FE06DB">
        <w:rPr>
          <w:u w:val="single"/>
        </w:rPr>
        <w:t xml:space="preserve">Notice of Forced Outages </w:t>
      </w:r>
      <w:r w:rsidR="00FE06DB">
        <w:rPr>
          <w:u w:val="single"/>
        </w:rPr>
        <w:t>(</w:t>
      </w:r>
      <w:r w:rsidRPr="00FE06DB">
        <w:rPr>
          <w:u w:val="single"/>
        </w:rPr>
        <w:t>Put Periods</w:t>
      </w:r>
      <w:r w:rsidR="00FE06DB">
        <w:rPr>
          <w:u w:val="single"/>
        </w:rPr>
        <w:t>)</w:t>
      </w:r>
      <w:r w:rsidRPr="00FF157D">
        <w:t>.</w:t>
      </w:r>
    </w:p>
    <w:p w14:paraId="3C4B140C" w14:textId="5FEE1097" w:rsidR="00CB0170" w:rsidRPr="0027789B" w:rsidRDefault="00DA2E97" w:rsidP="00CB0170">
      <w:pPr>
        <w:pStyle w:val="Heading3Text"/>
      </w:pPr>
      <w:r>
        <w:t>W</w:t>
      </w:r>
      <w:r w:rsidRPr="0027789B">
        <w:t xml:space="preserve">ithin ten (10) minutes </w:t>
      </w:r>
      <w:r>
        <w:t>after</w:t>
      </w:r>
      <w:r w:rsidRPr="0027789B">
        <w:t xml:space="preserve"> the commencement of </w:t>
      </w:r>
      <w:r>
        <w:t>any</w:t>
      </w:r>
      <w:r w:rsidRPr="0027789B">
        <w:t xml:space="preserve"> Forced Outage</w:t>
      </w:r>
      <w:r>
        <w:t xml:space="preserve"> during a Put Period, Seller shall </w:t>
      </w:r>
      <w:r w:rsidRPr="0027789B">
        <w:t>enter outage information</w:t>
      </w:r>
      <w:r>
        <w:t xml:space="preserve"> </w:t>
      </w:r>
      <w:r w:rsidRPr="0027789B">
        <w:t xml:space="preserve">utilizing SCE’s </w:t>
      </w:r>
      <w:r w:rsidR="001230FB">
        <w:t>Web Client</w:t>
      </w:r>
      <w:r>
        <w:t>,</w:t>
      </w:r>
      <w:r w:rsidRPr="0027789B">
        <w:t xml:space="preserve"> as required by the CAISO Tariff</w:t>
      </w:r>
      <w:r w:rsidR="00CB0170">
        <w:t xml:space="preserve">. </w:t>
      </w:r>
      <w:r w:rsidR="00CB0170" w:rsidRPr="0027789B">
        <w:t xml:space="preserve">Seller shall telephone SCE’s Generation Operations Center, within twenty (20) minutes </w:t>
      </w:r>
      <w:r w:rsidR="00F46C4C">
        <w:t>after</w:t>
      </w:r>
      <w:r w:rsidR="00F46C4C" w:rsidRPr="0027789B">
        <w:t xml:space="preserve"> </w:t>
      </w:r>
      <w:r w:rsidR="00CB0170" w:rsidRPr="0027789B">
        <w:t xml:space="preserve">the Forced Outage, at the telephone </w:t>
      </w:r>
      <w:r w:rsidR="00CB0170" w:rsidRPr="009676F1">
        <w:t xml:space="preserve">number(s) listed in </w:t>
      </w:r>
      <w:r w:rsidR="00367C93">
        <w:rPr>
          <w:u w:val="single"/>
        </w:rPr>
        <w:t>Exhibit K</w:t>
      </w:r>
      <w:r w:rsidR="00CB0170" w:rsidRPr="00D01883">
        <w:t>. If the CAISO</w:t>
      </w:r>
      <w:r w:rsidR="00CB0170" w:rsidRPr="009676F1">
        <w:t xml:space="preserve"> imposes a sanction or penalty upon SCE as Seller’s SC</w:t>
      </w:r>
      <w:r w:rsidR="00CB0170" w:rsidRPr="0027789B">
        <w:t xml:space="preserve"> due to Seller’s failure to timely provide SCE </w:t>
      </w:r>
      <w:r w:rsidR="00CB0170" w:rsidRPr="0027789B">
        <w:lastRenderedPageBreak/>
        <w:t xml:space="preserve">with a report of a Forced Outage or </w:t>
      </w:r>
      <w:r w:rsidR="001230FB">
        <w:t>scheduled</w:t>
      </w:r>
      <w:r w:rsidR="001230FB" w:rsidRPr="0027789B">
        <w:t xml:space="preserve"> </w:t>
      </w:r>
      <w:r w:rsidR="001230FB">
        <w:t>o</w:t>
      </w:r>
      <w:r w:rsidR="00CB0170" w:rsidRPr="0027789B">
        <w:t>utage, Seller shall be responsible for such sanction or penalty.</w:t>
      </w:r>
    </w:p>
    <w:p w14:paraId="274CE2B5" w14:textId="4AFF57B2" w:rsidR="00CB0170" w:rsidRPr="00FF157D" w:rsidRDefault="00CB0170" w:rsidP="00CB0170">
      <w:pPr>
        <w:pStyle w:val="Heading3"/>
      </w:pPr>
      <w:r w:rsidRPr="00FE06DB">
        <w:rPr>
          <w:u w:val="single"/>
        </w:rPr>
        <w:t xml:space="preserve">Reports of Forced Outages or </w:t>
      </w:r>
      <w:r w:rsidR="000268AC">
        <w:rPr>
          <w:u w:val="single"/>
        </w:rPr>
        <w:t>Scheduled</w:t>
      </w:r>
      <w:r w:rsidR="000268AC" w:rsidRPr="00FE06DB">
        <w:rPr>
          <w:u w:val="single"/>
        </w:rPr>
        <w:t xml:space="preserve"> </w:t>
      </w:r>
      <w:r w:rsidRPr="00FE06DB">
        <w:rPr>
          <w:u w:val="single"/>
        </w:rPr>
        <w:t xml:space="preserve">Outages </w:t>
      </w:r>
      <w:r w:rsidR="00FE06DB">
        <w:rPr>
          <w:u w:val="single"/>
        </w:rPr>
        <w:t>(</w:t>
      </w:r>
      <w:r w:rsidRPr="00FE06DB">
        <w:rPr>
          <w:u w:val="single"/>
        </w:rPr>
        <w:t>Put Periods</w:t>
      </w:r>
      <w:r w:rsidR="00FE06DB">
        <w:rPr>
          <w:u w:val="single"/>
        </w:rPr>
        <w:t>)</w:t>
      </w:r>
      <w:r w:rsidRPr="00FF157D">
        <w:t>.</w:t>
      </w:r>
    </w:p>
    <w:p w14:paraId="4BA20522" w14:textId="23F3D099" w:rsidR="00CB0170" w:rsidRDefault="00CB0170" w:rsidP="00CB0170">
      <w:pPr>
        <w:pStyle w:val="Heading3Text"/>
      </w:pPr>
      <w:r w:rsidRPr="0027789B">
        <w:t xml:space="preserve">Seller shall promptly prepare and provide to SCE, using SCE-provided software or forms, all reports of Forced Outages or </w:t>
      </w:r>
      <w:r w:rsidR="000268AC">
        <w:t>scheduled</w:t>
      </w:r>
      <w:r w:rsidR="000268AC" w:rsidRPr="0027789B">
        <w:t xml:space="preserve"> </w:t>
      </w:r>
      <w:r w:rsidR="000268AC">
        <w:t>o</w:t>
      </w:r>
      <w:r w:rsidRPr="0027789B">
        <w:t>utages during Put Periods that SCE may reasonably require for the purpose of enabling SCE to comply with any Applicable Laws.</w:t>
      </w:r>
    </w:p>
    <w:p w14:paraId="21ABB8DA" w14:textId="6B36EF6D" w:rsidR="00CB0170" w:rsidRPr="00FF157D" w:rsidRDefault="00CB0170" w:rsidP="00CB0170">
      <w:pPr>
        <w:pStyle w:val="Heading3"/>
      </w:pPr>
      <w:r w:rsidRPr="00FE06DB">
        <w:rPr>
          <w:u w:val="single"/>
        </w:rPr>
        <w:t>Inspection During Put Periods</w:t>
      </w:r>
      <w:r w:rsidRPr="00FF157D">
        <w:t>.</w:t>
      </w:r>
    </w:p>
    <w:p w14:paraId="211001A5" w14:textId="55684AD5" w:rsidR="00CB0170" w:rsidRPr="00CB0170" w:rsidRDefault="00CB0170" w:rsidP="00CB0170">
      <w:pPr>
        <w:pStyle w:val="Heading3Text"/>
      </w:pPr>
      <w:r w:rsidRPr="0027789B">
        <w:t xml:space="preserve">SCE shall have the right to inspect any Storage Unit and all records relating </w:t>
      </w:r>
      <w:r w:rsidR="00767281">
        <w:t>to any Forced Outage during a Put Period</w:t>
      </w:r>
      <w:r w:rsidRPr="0027789B">
        <w:t xml:space="preserve"> on any Business Day and at a reasonable time and Seller shall reasonably cooperate with SCE during any such inspection.</w:t>
      </w:r>
    </w:p>
    <w:p w14:paraId="30902FAF" w14:textId="1D0BC08C" w:rsidR="00550F51" w:rsidRPr="00550F51" w:rsidRDefault="00550F51" w:rsidP="00327DD1">
      <w:pPr>
        <w:pStyle w:val="Heading2"/>
        <w:keepNext w:val="0"/>
        <w:keepLines w:val="0"/>
        <w:rPr>
          <w:u w:val="none"/>
        </w:rPr>
      </w:pPr>
      <w:bookmarkStart w:id="259" w:name="_Toc510788265"/>
      <w:r w:rsidRPr="00550F51">
        <w:t>Operational Notices</w:t>
      </w:r>
      <w:r w:rsidRPr="0087247C">
        <w:t xml:space="preserve"> </w:t>
      </w:r>
      <w:r w:rsidRPr="00CC7744">
        <w:t>(</w:t>
      </w:r>
      <w:r>
        <w:t>Put Periods</w:t>
      </w:r>
      <w:r w:rsidRPr="00CC7744">
        <w:t>)</w:t>
      </w:r>
      <w:r w:rsidRPr="00FF157D">
        <w:rPr>
          <w:u w:val="none"/>
        </w:rPr>
        <w:t>.</w:t>
      </w:r>
      <w:bookmarkEnd w:id="259"/>
    </w:p>
    <w:p w14:paraId="2B074C6D" w14:textId="7C7496D5" w:rsidR="00327DD1" w:rsidRPr="00FF157D" w:rsidRDefault="00327DD1" w:rsidP="00550F51">
      <w:pPr>
        <w:pStyle w:val="Heading3"/>
      </w:pPr>
      <w:r w:rsidRPr="00FE06DB">
        <w:rPr>
          <w:u w:val="single"/>
        </w:rPr>
        <w:t>Availability Notice</w:t>
      </w:r>
      <w:r w:rsidRPr="00FF157D">
        <w:t>.</w:t>
      </w:r>
    </w:p>
    <w:p w14:paraId="520BCC1C" w14:textId="00984E3F" w:rsidR="00327DD1" w:rsidRDefault="00327DD1" w:rsidP="00550F51">
      <w:pPr>
        <w:pStyle w:val="Heading3Text"/>
      </w:pPr>
      <w:r w:rsidRPr="0027789B">
        <w:t xml:space="preserve">For each Operating Day during a Put Period, Seller shall provide </w:t>
      </w:r>
      <w:r w:rsidR="00457BA5" w:rsidRPr="0027789B">
        <w:t xml:space="preserve">an </w:t>
      </w:r>
      <w:r w:rsidR="00457BA5" w:rsidRPr="006C0CD5">
        <w:t>Availability Notice</w:t>
      </w:r>
      <w:r w:rsidRPr="0027789B">
        <w:t xml:space="preserve"> to SCE</w:t>
      </w:r>
      <w:r w:rsidR="00284BC3">
        <w:t>,</w:t>
      </w:r>
      <w:r w:rsidRPr="0027789B">
        <w:t xml:space="preserve"> </w:t>
      </w:r>
      <w:r w:rsidR="00284BC3">
        <w:t>via</w:t>
      </w:r>
      <w:r w:rsidRPr="0027789B">
        <w:t xml:space="preserve"> the </w:t>
      </w:r>
      <w:r w:rsidR="000268AC">
        <w:t>Web Client</w:t>
      </w:r>
      <w:r>
        <w:t xml:space="preserve">. </w:t>
      </w:r>
      <w:r w:rsidRPr="0027789B">
        <w:t xml:space="preserve">Seller must update SCE immediately using the </w:t>
      </w:r>
      <w:r w:rsidR="000268AC">
        <w:t>Web Client</w:t>
      </w:r>
      <w:r w:rsidRPr="0027789B">
        <w:t xml:space="preserve"> if the Available Capacity of any Storage Unit changes or is likely to change after the Availability Notice </w:t>
      </w:r>
      <w:r w:rsidRPr="009676F1">
        <w:t xml:space="preserve">is submitted. Seller must follow up all such updates through the </w:t>
      </w:r>
      <w:r w:rsidR="004A1420">
        <w:t>Web Client</w:t>
      </w:r>
      <w:r w:rsidRPr="009676F1">
        <w:t xml:space="preserve"> with telephonic updates to SCE’s personnel designated in </w:t>
      </w:r>
      <w:r w:rsidR="00367C93">
        <w:rPr>
          <w:u w:val="single"/>
        </w:rPr>
        <w:t>Exhibit K</w:t>
      </w:r>
      <w:r w:rsidRPr="00D01883">
        <w:t xml:space="preserve"> to receive</w:t>
      </w:r>
      <w:r w:rsidRPr="009676F1">
        <w:t xml:space="preserve"> such communications. Seller shall accommodate SCE’s reasonable requests for changes in the time or form of delivery of the Availability Notices. If an electronic submittal via the </w:t>
      </w:r>
      <w:r w:rsidR="004A1420">
        <w:t>Web Client</w:t>
      </w:r>
      <w:r w:rsidRPr="009676F1">
        <w:t xml:space="preserve"> is not available, or is not possible for reasons beyond </w:t>
      </w:r>
      <w:r w:rsidR="00B0490C">
        <w:t>Seller</w:t>
      </w:r>
      <w:r w:rsidRPr="009676F1">
        <w:t xml:space="preserve">’s control, Seller may provide Availability Notices using the form attached </w:t>
      </w:r>
      <w:r w:rsidRPr="000678FD">
        <w:t xml:space="preserve">in </w:t>
      </w:r>
      <w:r w:rsidRPr="000678FD">
        <w:rPr>
          <w:u w:val="single"/>
        </w:rPr>
        <w:t xml:space="preserve">Exhibit </w:t>
      </w:r>
      <w:r w:rsidR="00367C93">
        <w:rPr>
          <w:u w:val="single"/>
        </w:rPr>
        <w:t>N</w:t>
      </w:r>
      <w:r w:rsidRPr="000678FD">
        <w:t xml:space="preserve"> by (</w:t>
      </w:r>
      <w:r w:rsidRPr="009676F1">
        <w:t xml:space="preserve">in order of preference unless the Parties agree to a different order) electronic mail, facsimile transmission or, as a last resort, telephonically to SCE’s personnel designated in </w:t>
      </w:r>
      <w:r w:rsidR="00367C93">
        <w:rPr>
          <w:u w:val="single"/>
        </w:rPr>
        <w:t>Exhibit K</w:t>
      </w:r>
      <w:r w:rsidRPr="00D01883">
        <w:t xml:space="preserve"> to receive</w:t>
      </w:r>
      <w:r w:rsidRPr="009676F1">
        <w:t xml:space="preserve"> such communications.</w:t>
      </w:r>
    </w:p>
    <w:p w14:paraId="70E32CD4" w14:textId="081293E3" w:rsidR="00327DD1" w:rsidRPr="009676F1" w:rsidRDefault="00327DD1" w:rsidP="00550F51">
      <w:pPr>
        <w:pStyle w:val="Heading3"/>
      </w:pPr>
      <w:r w:rsidRPr="00FE06DB">
        <w:rPr>
          <w:u w:val="single"/>
        </w:rPr>
        <w:t>Dispatch Notices (Put Periods)</w:t>
      </w:r>
      <w:r w:rsidRPr="009676F1">
        <w:t>.</w:t>
      </w:r>
    </w:p>
    <w:p w14:paraId="563BA665" w14:textId="610A4CC4" w:rsidR="00327DD1" w:rsidRPr="009676F1" w:rsidRDefault="00327DD1" w:rsidP="00550F51">
      <w:pPr>
        <w:pStyle w:val="Heading3Text"/>
      </w:pPr>
      <w:r w:rsidRPr="009676F1">
        <w:t>During a Put Period, SCE will have the right to dispatch each Storage Unit up to PMAX, seven</w:t>
      </w:r>
      <w:r w:rsidR="00415193">
        <w:t xml:space="preserve"> (7)</w:t>
      </w:r>
      <w:r w:rsidRPr="009676F1">
        <w:t xml:space="preserve"> days per week and twenty-four (24) hours per day (including holidays), by providing Dispatch Notices to Seller electronically (in the form attached in </w:t>
      </w:r>
      <w:r w:rsidRPr="00D01883">
        <w:rPr>
          <w:u w:val="single"/>
        </w:rPr>
        <w:t xml:space="preserve">Exhibit </w:t>
      </w:r>
      <w:r w:rsidR="00367C93">
        <w:rPr>
          <w:u w:val="single"/>
        </w:rPr>
        <w:t>O</w:t>
      </w:r>
      <w:r w:rsidRPr="00D01883">
        <w:t xml:space="preserve"> or</w:t>
      </w:r>
      <w:r w:rsidRPr="009676F1">
        <w:t xml:space="preserve"> other available form </w:t>
      </w:r>
      <w:r w:rsidR="00767281">
        <w:t>accept</w:t>
      </w:r>
      <w:r w:rsidR="00767281" w:rsidRPr="009676F1">
        <w:t>able</w:t>
      </w:r>
      <w:r w:rsidRPr="009676F1">
        <w:t xml:space="preserve"> to SCE), and subject to the requirements and limitations set forth in this Agreement. Subject to </w:t>
      </w:r>
      <w:r w:rsidRPr="006179DF">
        <w:t xml:space="preserve">Section </w:t>
      </w:r>
      <w:r w:rsidR="006179DF" w:rsidRPr="006179DF">
        <w:t>6</w:t>
      </w:r>
      <w:r w:rsidRPr="006179DF">
        <w:t>.0</w:t>
      </w:r>
      <w:r w:rsidR="006179DF" w:rsidRPr="006179DF">
        <w:t>7</w:t>
      </w:r>
      <w:r w:rsidR="006179DF">
        <w:t>(f) (Operating Restrictions)</w:t>
      </w:r>
      <w:r w:rsidRPr="0027789B">
        <w:t xml:space="preserve">, each Dispatch Notice will be </w:t>
      </w:r>
      <w:r w:rsidRPr="0027789B">
        <w:lastRenderedPageBreak/>
        <w:t>effective unless and until SCE modifies such Dispatch Notice by providing Seller with an updated Dispatch Notice</w:t>
      </w:r>
      <w:r>
        <w:t xml:space="preserve">. </w:t>
      </w:r>
      <w:r w:rsidRPr="0027789B">
        <w:t xml:space="preserve">If an electronic submittal is not possible for reasons beyond SCE’s control, SCE may provide Dispatch Notices by (in order or preference, unless the Parties agree to a different order) electronic mail, facsimile transmission or telephonically to Seller’s personnel </w:t>
      </w:r>
      <w:r w:rsidRPr="009676F1">
        <w:t xml:space="preserve">designated in </w:t>
      </w:r>
      <w:r w:rsidR="00367C93">
        <w:rPr>
          <w:u w:val="single"/>
        </w:rPr>
        <w:t>Exhibit K</w:t>
      </w:r>
      <w:r w:rsidRPr="00D01883">
        <w:t xml:space="preserve"> to receive</w:t>
      </w:r>
      <w:r w:rsidRPr="009676F1">
        <w:t xml:space="preserve"> such communications. In addition to any other requirements set forth in this Agreement, all Dispatch Notices will be made in accordance with market notice timelines as specified in the CAISO Tariff.</w:t>
      </w:r>
    </w:p>
    <w:p w14:paraId="496B4164" w14:textId="6CEA6B6F" w:rsidR="00327DD1" w:rsidRPr="009676F1" w:rsidRDefault="00327DD1" w:rsidP="00550F51">
      <w:pPr>
        <w:pStyle w:val="Heading3"/>
      </w:pPr>
      <w:r w:rsidRPr="00FE06DB">
        <w:rPr>
          <w:u w:val="single"/>
        </w:rPr>
        <w:t>Start-Up Notices (Put Periods)</w:t>
      </w:r>
      <w:r w:rsidRPr="009676F1">
        <w:t>.</w:t>
      </w:r>
    </w:p>
    <w:p w14:paraId="43355AA4" w14:textId="632FF0D7" w:rsidR="00327DD1" w:rsidRDefault="00327DD1" w:rsidP="00550F51">
      <w:pPr>
        <w:pStyle w:val="Heading3Text"/>
      </w:pPr>
      <w:r w:rsidRPr="009676F1">
        <w:t xml:space="preserve">If a Dispatch Notice includes a Start-Up, Seller shall notify SCE electronically when a Storage Unit has initiated a start, and is synchronized and at Minimum Load ready to be dispatched to the required output. Seller shall provide an electronic or facsimile copy of a completed Start-Up Notice, in the form attached to this Agreement in </w:t>
      </w:r>
      <w:r w:rsidRPr="00D01883">
        <w:rPr>
          <w:u w:val="single"/>
        </w:rPr>
        <w:t xml:space="preserve">Exhibit </w:t>
      </w:r>
      <w:r w:rsidR="00367C93">
        <w:rPr>
          <w:u w:val="single"/>
        </w:rPr>
        <w:t>P</w:t>
      </w:r>
      <w:r w:rsidRPr="00D01883">
        <w:t>, to SCE</w:t>
      </w:r>
      <w:r w:rsidRPr="009676F1">
        <w:t xml:space="preserve"> within twenty-four (24) hours of the Start-Up. When a Dispatch Notice requires a Start-Up or shutdown, Seller will be responsible for coordinating all required switchyard switching with the </w:t>
      </w:r>
      <w:r w:rsidR="0098046F" w:rsidRPr="0027789B">
        <w:t>personnel responsible for operating the applicable transmission grid and/or coordinating same with the CAISO</w:t>
      </w:r>
      <w:r w:rsidRPr="009676F1">
        <w:t>.</w:t>
      </w:r>
    </w:p>
    <w:p w14:paraId="74A03CAE" w14:textId="403560E2" w:rsidR="00327DD1" w:rsidRPr="00FF157D" w:rsidRDefault="00327DD1" w:rsidP="00550F51">
      <w:pPr>
        <w:pStyle w:val="Heading3"/>
      </w:pPr>
      <w:r w:rsidRPr="00FE06DB">
        <w:rPr>
          <w:u w:val="single"/>
        </w:rPr>
        <w:t>Writing Requirements (Put Periods)</w:t>
      </w:r>
      <w:r w:rsidRPr="00FF157D">
        <w:t>.</w:t>
      </w:r>
    </w:p>
    <w:p w14:paraId="4244D9F2" w14:textId="77777777" w:rsidR="00327DD1" w:rsidRPr="0027789B" w:rsidRDefault="00327DD1" w:rsidP="00550F51">
      <w:pPr>
        <w:pStyle w:val="Heading3Text"/>
      </w:pPr>
      <w:r w:rsidRPr="0027789B">
        <w:t>In documenting and confirming Dispatch Notices and Charging Notices, conversations between the Parties’ personnel and contractors may be recorded by tape or other electronic means and any such recording will satisfy any “writing” requirements under Applicable Laws.</w:t>
      </w:r>
    </w:p>
    <w:p w14:paraId="78385DA6" w14:textId="5AD29564" w:rsidR="00327DD1" w:rsidRPr="00FF157D" w:rsidRDefault="00327DD1" w:rsidP="00550F51">
      <w:pPr>
        <w:pStyle w:val="Heading3"/>
      </w:pPr>
      <w:r w:rsidRPr="00FE06DB">
        <w:rPr>
          <w:u w:val="single"/>
        </w:rPr>
        <w:t>Communication Protocols (Put Periods)</w:t>
      </w:r>
      <w:r w:rsidRPr="00FF157D">
        <w:t>.</w:t>
      </w:r>
    </w:p>
    <w:p w14:paraId="256D90B5" w14:textId="00EC66F3" w:rsidR="00327DD1" w:rsidRDefault="00327DD1" w:rsidP="00550F51">
      <w:pPr>
        <w:pStyle w:val="Heading3Text"/>
      </w:pPr>
      <w:r w:rsidRPr="0027789B">
        <w:t xml:space="preserve">The Parties shall agree to the communication protocols </w:t>
      </w:r>
      <w:r w:rsidRPr="009676F1">
        <w:t xml:space="preserve">outlined </w:t>
      </w:r>
      <w:r w:rsidRPr="00D01883">
        <w:t xml:space="preserve">in </w:t>
      </w:r>
      <w:r w:rsidR="00367C93">
        <w:rPr>
          <w:u w:val="single"/>
        </w:rPr>
        <w:t>Exhibit K</w:t>
      </w:r>
      <w:r w:rsidRPr="00D01883">
        <w:t xml:space="preserve"> to</w:t>
      </w:r>
      <w:r w:rsidRPr="0027789B">
        <w:t xml:space="preserve"> facilitate the exchange of information between the Parties.</w:t>
      </w:r>
    </w:p>
    <w:p w14:paraId="370BF98A" w14:textId="5BBA0E9E" w:rsidR="00A6128D" w:rsidRPr="00FF157D" w:rsidRDefault="00A6128D" w:rsidP="00550F51">
      <w:pPr>
        <w:pStyle w:val="Heading3"/>
      </w:pPr>
      <w:bookmarkStart w:id="260" w:name="_Toc467577574"/>
      <w:bookmarkStart w:id="261" w:name="_Toc470014834"/>
      <w:bookmarkStart w:id="262" w:name="_Toc470856025"/>
      <w:r w:rsidRPr="00FE06DB">
        <w:rPr>
          <w:u w:val="single"/>
        </w:rPr>
        <w:t>Operating Restrictions (Put Periods)</w:t>
      </w:r>
      <w:r w:rsidRPr="00FF157D">
        <w:t>.</w:t>
      </w:r>
      <w:bookmarkEnd w:id="260"/>
      <w:bookmarkEnd w:id="261"/>
      <w:bookmarkEnd w:id="262"/>
    </w:p>
    <w:p w14:paraId="6170E598" w14:textId="2310C794" w:rsidR="00A6128D" w:rsidRPr="0027789B" w:rsidRDefault="00A6128D" w:rsidP="00550F51">
      <w:pPr>
        <w:pStyle w:val="Heading4"/>
      </w:pPr>
      <w:r w:rsidRPr="0027789B">
        <w:t xml:space="preserve">Subject </w:t>
      </w:r>
      <w:r w:rsidRPr="001E217F">
        <w:t xml:space="preserve">to </w:t>
      </w:r>
      <w:r w:rsidRPr="002D26FA">
        <w:t>Section</w:t>
      </w:r>
      <w:r w:rsidR="002D26FA">
        <w:t xml:space="preserve"> 5</w:t>
      </w:r>
      <w:r w:rsidRPr="0027789B">
        <w:t>.04</w:t>
      </w:r>
      <w:r w:rsidR="002D26FA">
        <w:t xml:space="preserve"> (CAISO Certification)</w:t>
      </w:r>
      <w:r w:rsidRPr="0027789B">
        <w:t xml:space="preserve">, all </w:t>
      </w:r>
      <w:r w:rsidRPr="00E335BC">
        <w:t xml:space="preserve">Operating Restrictions associated with the Product are specified in </w:t>
      </w:r>
      <w:r w:rsidR="00CF10CD">
        <w:rPr>
          <w:u w:val="single"/>
        </w:rPr>
        <w:t>Exhibit D</w:t>
      </w:r>
      <w:r w:rsidRPr="00482B73">
        <w:t>. In</w:t>
      </w:r>
      <w:r w:rsidRPr="00E335BC">
        <w:t xml:space="preserve"> providing a Dispatch Notice or Charging Notice, SCE shall use reasonable efforts to</w:t>
      </w:r>
      <w:r w:rsidRPr="0027789B">
        <w:t xml:space="preserve"> comply with the Operating Restrictions</w:t>
      </w:r>
      <w:r>
        <w:t xml:space="preserve">. </w:t>
      </w:r>
      <w:r w:rsidRPr="0027789B">
        <w:t>If SCE submits a Dispatch Notice or Charging Notice that does not conform with the Operating Restrictions, then Seller shall immediately notify SCE of the non-conformity and SCE will modify its Dispatch Notice or Charging Notice to conform to the Operating Restrictions</w:t>
      </w:r>
      <w:r>
        <w:t xml:space="preserve">. </w:t>
      </w:r>
      <w:r w:rsidRPr="0027789B">
        <w:t xml:space="preserve">Until </w:t>
      </w:r>
      <w:r w:rsidRPr="0027789B">
        <w:lastRenderedPageBreak/>
        <w:t>such time as SCE submits a modified Dispatch Notice or Charging Notice, Seller shall, as applicable, deliver the Product in accordance with the Operating Restrictions or charge the Storage Unit(s) in accordance with the Operating Restrictions, and the Storage Unit will not be deemed to be unavailable nor will SDD Administrative Charges, if applicable, be applied for the failure to deliver in accordance with the non-conforming Dispatch Notice or Charging Notice, but only to the extent such Storage Unit was otherwise available but could not be dispatched or charged because of its inability to operate outside of the Operating Restrictions</w:t>
      </w:r>
      <w:r>
        <w:t xml:space="preserve">. </w:t>
      </w:r>
    </w:p>
    <w:p w14:paraId="605ED72E" w14:textId="77777777" w:rsidR="00892D32" w:rsidRDefault="00A6128D" w:rsidP="00550F51">
      <w:pPr>
        <w:pStyle w:val="Heading4"/>
      </w:pPr>
      <w:r w:rsidRPr="0027789B">
        <w:t>Notwithstanding anything to the contrary in this Agreement</w:t>
      </w:r>
      <w:r w:rsidRPr="00C600E0">
        <w:t xml:space="preserve">, </w:t>
      </w:r>
      <w:r w:rsidRPr="006179DF">
        <w:t>Section </w:t>
      </w:r>
      <w:r w:rsidR="006179DF" w:rsidRPr="006179DF">
        <w:t>6.07(f)</w:t>
      </w:r>
      <w:r w:rsidRPr="006179DF">
        <w:t>(</w:t>
      </w:r>
      <w:r w:rsidR="006179DF" w:rsidRPr="006179DF">
        <w:t>i</w:t>
      </w:r>
      <w:r w:rsidRPr="006179DF">
        <w:t>), or</w:t>
      </w:r>
      <w:r w:rsidRPr="00C600E0">
        <w:t xml:space="preserve"> the Operating Restrictions, if enough energy is</w:t>
      </w:r>
      <w:r w:rsidRPr="0027789B">
        <w:t xml:space="preserve"> stored in the Storage Unit to meet its PMAX, </w:t>
      </w:r>
    </w:p>
    <w:p w14:paraId="23C3477B" w14:textId="77777777" w:rsidR="00892D32" w:rsidRDefault="00A6128D" w:rsidP="00DB7FE0">
      <w:pPr>
        <w:pStyle w:val="Heading5"/>
      </w:pPr>
      <w:r w:rsidRPr="0027789B">
        <w:t xml:space="preserve">SCE is permitted to issue a Dispatch Notice that dispatches a Storage Unit to its PMAX and </w:t>
      </w:r>
    </w:p>
    <w:p w14:paraId="517EBDC6" w14:textId="77777777" w:rsidR="00892D32" w:rsidRDefault="00A6128D" w:rsidP="00DB7FE0">
      <w:pPr>
        <w:pStyle w:val="Heading5"/>
      </w:pPr>
      <w:r w:rsidRPr="0027789B">
        <w:t xml:space="preserve">SCE is not required to modify any non-conforming Dispatch Notice that dispatches a Storage Unit to its PMAX; </w:t>
      </w:r>
    </w:p>
    <w:p w14:paraId="70E47182" w14:textId="6159DF14" w:rsidR="00A6128D" w:rsidRDefault="00A6128D" w:rsidP="00DB7FE0">
      <w:pPr>
        <w:pStyle w:val="Heading4Text"/>
      </w:pPr>
      <w:r w:rsidRPr="00DB7FE0">
        <w:t>provided</w:t>
      </w:r>
      <w:r w:rsidRPr="0027789B">
        <w:t xml:space="preserve">, </w:t>
      </w:r>
      <w:r w:rsidR="00892D32">
        <w:t>if</w:t>
      </w:r>
      <w:r w:rsidRPr="0027789B">
        <w:t xml:space="preserve"> the PMAX is greater than the maximum discharge capability set forth in the Operating Restrictions, </w:t>
      </w:r>
      <w:r w:rsidR="00F94419">
        <w:t xml:space="preserve">(x) </w:t>
      </w:r>
      <w:r w:rsidRPr="0027789B">
        <w:t xml:space="preserve">Seller shall deliver the Product in accordance with the Operating Restrictions, </w:t>
      </w:r>
      <w:r w:rsidR="00F94419">
        <w:t xml:space="preserve">(y) </w:t>
      </w:r>
      <w:r w:rsidRPr="0027789B">
        <w:t>the Storage Unit will not be deemed to be unavailable</w:t>
      </w:r>
      <w:r w:rsidR="00F94419">
        <w:t>, and(c)</w:t>
      </w:r>
      <w:r w:rsidRPr="0027789B">
        <w:t xml:space="preserve"> SDD Administrative Charges </w:t>
      </w:r>
      <w:r w:rsidR="00F94419">
        <w:t xml:space="preserve">will not </w:t>
      </w:r>
      <w:r w:rsidRPr="0027789B">
        <w:t xml:space="preserve">be applied for the failure to dispatch to the extent such Storage Unit was otherwise available but could not be dispatched </w:t>
      </w:r>
      <w:r w:rsidR="00F94419">
        <w:t>due to the</w:t>
      </w:r>
      <w:r w:rsidRPr="0027789B">
        <w:t xml:space="preserve"> Operating Restrictions</w:t>
      </w:r>
      <w:r>
        <w:t xml:space="preserve">. </w:t>
      </w:r>
    </w:p>
    <w:p w14:paraId="780E3A53" w14:textId="43E67513" w:rsidR="00A6128D" w:rsidRPr="0027789B" w:rsidRDefault="00CB0170" w:rsidP="00CB0170">
      <w:pPr>
        <w:pStyle w:val="Heading2"/>
      </w:pPr>
      <w:bookmarkStart w:id="263" w:name="_Toc497468428"/>
      <w:bookmarkStart w:id="264" w:name="_Toc510788266"/>
      <w:bookmarkEnd w:id="263"/>
      <w:r>
        <w:t>Charging</w:t>
      </w:r>
      <w:r w:rsidR="00A6128D" w:rsidRPr="0027789B">
        <w:t xml:space="preserve"> </w:t>
      </w:r>
      <w:r>
        <w:t>Energy</w:t>
      </w:r>
      <w:r w:rsidR="00A6128D" w:rsidRPr="0027789B">
        <w:t xml:space="preserve"> </w:t>
      </w:r>
      <w:r>
        <w:t>Management and Payments</w:t>
      </w:r>
      <w:r w:rsidR="00A6128D" w:rsidRPr="0027789B">
        <w:t xml:space="preserve"> </w:t>
      </w:r>
      <w:r w:rsidRPr="00CC7744">
        <w:t>(</w:t>
      </w:r>
      <w:r>
        <w:t>Put Periods</w:t>
      </w:r>
      <w:r w:rsidRPr="00CC7744">
        <w:t>)</w:t>
      </w:r>
      <w:r w:rsidRPr="00CB0170">
        <w:rPr>
          <w:u w:val="none"/>
        </w:rPr>
        <w:t>.</w:t>
      </w:r>
      <w:bookmarkEnd w:id="264"/>
    </w:p>
    <w:p w14:paraId="54E06CA0" w14:textId="72AE1D10" w:rsidR="00A6128D" w:rsidRPr="00FF157D" w:rsidRDefault="00A6128D" w:rsidP="00CB0170">
      <w:pPr>
        <w:pStyle w:val="Heading3"/>
      </w:pPr>
      <w:bookmarkStart w:id="265" w:name="_Toc467577551"/>
      <w:bookmarkStart w:id="266" w:name="_Toc470014811"/>
      <w:bookmarkStart w:id="267" w:name="_Toc470856002"/>
      <w:r w:rsidRPr="00FE06DB">
        <w:rPr>
          <w:u w:val="single"/>
        </w:rPr>
        <w:t>SCE’s Charging Energy Management Responsibilities</w:t>
      </w:r>
      <w:r w:rsidRPr="00FF157D">
        <w:t>.</w:t>
      </w:r>
      <w:bookmarkEnd w:id="265"/>
      <w:bookmarkEnd w:id="266"/>
      <w:bookmarkEnd w:id="267"/>
    </w:p>
    <w:p w14:paraId="40B4144F" w14:textId="032E969D" w:rsidR="00A6128D" w:rsidRPr="0027789B" w:rsidRDefault="00A6128D" w:rsidP="00CB0170">
      <w:pPr>
        <w:pStyle w:val="Heading3Text"/>
      </w:pPr>
      <w:r w:rsidRPr="0027789B">
        <w:t xml:space="preserve">Except as set </w:t>
      </w:r>
      <w:r w:rsidRPr="0084576D">
        <w:t xml:space="preserve">forth in </w:t>
      </w:r>
      <w:r w:rsidRPr="008923FE">
        <w:t>Section 6.0</w:t>
      </w:r>
      <w:r w:rsidR="00D01E0D">
        <w:t>8</w:t>
      </w:r>
      <w:r w:rsidR="008923FE" w:rsidRPr="008923FE">
        <w:t>(c) (Charging Energy Costs, Charges, and Payments)</w:t>
      </w:r>
      <w:r w:rsidRPr="008923FE">
        <w:t xml:space="preserve"> or as expressly</w:t>
      </w:r>
      <w:r w:rsidRPr="0027789B">
        <w:t xml:space="preserve"> set forth in this Agreement, during any Put Period, SCE shall be responsible for managing, purchasing, scheduling, and transporting all of the Charging Energy Requirements of each Storage Unit to the Energy Delivery Point.</w:t>
      </w:r>
    </w:p>
    <w:p w14:paraId="577C00E6" w14:textId="55B965B8" w:rsidR="00A6128D" w:rsidRPr="00FF157D" w:rsidRDefault="00A6128D" w:rsidP="00CB0170">
      <w:pPr>
        <w:pStyle w:val="Heading3"/>
      </w:pPr>
      <w:bookmarkStart w:id="268" w:name="_Toc467577552"/>
      <w:bookmarkStart w:id="269" w:name="_Toc470014812"/>
      <w:bookmarkStart w:id="270" w:name="_Toc470856003"/>
      <w:r w:rsidRPr="00FE06DB">
        <w:rPr>
          <w:u w:val="single"/>
        </w:rPr>
        <w:t>Seller Charging Energy Responsibilities</w:t>
      </w:r>
      <w:r w:rsidRPr="00FF157D">
        <w:t>.</w:t>
      </w:r>
      <w:bookmarkEnd w:id="268"/>
      <w:bookmarkEnd w:id="269"/>
      <w:bookmarkEnd w:id="270"/>
    </w:p>
    <w:p w14:paraId="4B3B6E77" w14:textId="77777777" w:rsidR="00A6128D" w:rsidRPr="0027789B" w:rsidRDefault="00A6128D" w:rsidP="00CB0170">
      <w:pPr>
        <w:pStyle w:val="Heading3Text"/>
      </w:pPr>
      <w:r w:rsidRPr="0027789B">
        <w:t xml:space="preserve">Seller shall take any and all action necessary to deliver the Charging Energy Requirements to the Storage Unit(s) in order to deliver the Product in accordance with the terms of this Agreement, including maintenance, repair or </w:t>
      </w:r>
      <w:r w:rsidRPr="0027789B">
        <w:lastRenderedPageBreak/>
        <w:t>replacement of equipment in Seller’s possession or control used to deliver the Charging Energy Requirements to the Storage Unit(s).</w:t>
      </w:r>
    </w:p>
    <w:p w14:paraId="4209AF2F" w14:textId="2D54BB36" w:rsidR="00A6128D" w:rsidRPr="001E217F" w:rsidRDefault="00A6128D" w:rsidP="00CB0170">
      <w:pPr>
        <w:pStyle w:val="Heading3"/>
      </w:pPr>
      <w:bookmarkStart w:id="271" w:name="_Toc467577553"/>
      <w:bookmarkStart w:id="272" w:name="_Toc470014813"/>
      <w:bookmarkStart w:id="273" w:name="_Toc470856004"/>
      <w:r w:rsidRPr="00FE06DB">
        <w:rPr>
          <w:u w:val="single"/>
        </w:rPr>
        <w:t>Charging Energy Costs</w:t>
      </w:r>
      <w:r w:rsidRPr="001E217F">
        <w:t>.</w:t>
      </w:r>
      <w:bookmarkEnd w:id="271"/>
      <w:bookmarkEnd w:id="272"/>
      <w:bookmarkEnd w:id="273"/>
    </w:p>
    <w:p w14:paraId="77D5493E" w14:textId="63C580D7" w:rsidR="00A6128D" w:rsidRPr="0027789B" w:rsidRDefault="00A6128D" w:rsidP="0067313F">
      <w:pPr>
        <w:pStyle w:val="Heading3Text"/>
      </w:pPr>
      <w:r w:rsidRPr="001E217F">
        <w:t xml:space="preserve">Except as set forth </w:t>
      </w:r>
      <w:r w:rsidRPr="00504642">
        <w:t>in Section</w:t>
      </w:r>
      <w:r w:rsidR="00504642" w:rsidRPr="00504642">
        <w:t xml:space="preserve"> 5.01(c)</w:t>
      </w:r>
      <w:r w:rsidRPr="00504642">
        <w:t xml:space="preserve">, with respect to charging the Storage Unit(s) during any Put </w:t>
      </w:r>
      <w:r w:rsidRPr="0027789B">
        <w:t xml:space="preserve">Period, SCE shall be responsible for the </w:t>
      </w:r>
      <w:r w:rsidRPr="00DB7FE0">
        <w:t>Charging Energy Costs</w:t>
      </w:r>
      <w:r w:rsidRPr="0027789B">
        <w:t xml:space="preserve">; provided, that Seller shall be responsible for all costs arising out of or pertaining to (i) any Energy Adjustment Payment and Energy Efficiency Capacity Payment Reduction, (ii) a Non-SCE Dispatch, and (iii) a Non-SCE Charge. </w:t>
      </w:r>
    </w:p>
    <w:p w14:paraId="4C67D053" w14:textId="39E13C10" w:rsidR="00A6128D" w:rsidRPr="00FF157D" w:rsidRDefault="00A6128D" w:rsidP="00CB0170">
      <w:pPr>
        <w:pStyle w:val="Heading3"/>
      </w:pPr>
      <w:bookmarkStart w:id="274" w:name="_Toc467577554"/>
      <w:bookmarkStart w:id="275" w:name="_Toc470014814"/>
      <w:bookmarkStart w:id="276" w:name="_Toc470856005"/>
      <w:r w:rsidRPr="00FE06DB">
        <w:rPr>
          <w:u w:val="single"/>
        </w:rPr>
        <w:t>Charging Notice</w:t>
      </w:r>
      <w:r w:rsidRPr="00FF157D">
        <w:t>.</w:t>
      </w:r>
      <w:bookmarkEnd w:id="274"/>
      <w:bookmarkEnd w:id="275"/>
      <w:bookmarkEnd w:id="276"/>
    </w:p>
    <w:p w14:paraId="45AFE348" w14:textId="0C1A7BC6" w:rsidR="00A6128D" w:rsidRPr="0027789B" w:rsidRDefault="00A6128D" w:rsidP="00CB0170">
      <w:pPr>
        <w:pStyle w:val="Heading3Text"/>
      </w:pPr>
      <w:r w:rsidRPr="0027789B">
        <w:t>SCE will have the right to charge each Storage Unit during any Put Period, seven days per week and twenty-four (24) hours per day (including holidays), by providing Charging Notices to Seller electronically, and subject to the requirements and limitations set forth in this Agreement</w:t>
      </w:r>
      <w:r>
        <w:t xml:space="preserve">. </w:t>
      </w:r>
      <w:r w:rsidRPr="0027789B">
        <w:t>Each Charging Notice will be effective unless and until SCE modifies such Charging Notice by providing Seller with an updated Charging Notice</w:t>
      </w:r>
      <w:r>
        <w:t xml:space="preserve">. </w:t>
      </w:r>
      <w:r w:rsidRPr="0027789B">
        <w:t xml:space="preserve">If an electronic submittal is not possible for reasons beyond SCE’s control, SCE may provide Charging Notices by (in order or preference, unless the Parties agree to a different order) electronic </w:t>
      </w:r>
      <w:r w:rsidRPr="009676F1">
        <w:t xml:space="preserve">mail, facsimile transmission or telephonically to Seller’s personnel designated </w:t>
      </w:r>
      <w:r w:rsidRPr="00D01883">
        <w:t xml:space="preserve">in </w:t>
      </w:r>
      <w:r w:rsidR="00367C93">
        <w:rPr>
          <w:u w:val="single"/>
        </w:rPr>
        <w:t>Exhibit K</w:t>
      </w:r>
      <w:r w:rsidRPr="00D01883">
        <w:t xml:space="preserve"> to receive</w:t>
      </w:r>
      <w:r w:rsidRPr="0027789B">
        <w:t xml:space="preserve"> such communications</w:t>
      </w:r>
      <w:r>
        <w:t xml:space="preserve">. </w:t>
      </w:r>
    </w:p>
    <w:p w14:paraId="07AF26EA" w14:textId="5B1BFBB5" w:rsidR="00A6128D" w:rsidRPr="00FF157D" w:rsidRDefault="00A6128D" w:rsidP="00CB0170">
      <w:pPr>
        <w:pStyle w:val="Heading3"/>
      </w:pPr>
      <w:bookmarkStart w:id="277" w:name="_Toc467577555"/>
      <w:bookmarkStart w:id="278" w:name="_Toc470014815"/>
      <w:bookmarkStart w:id="279" w:name="_Toc470856006"/>
      <w:r w:rsidRPr="00FE06DB">
        <w:rPr>
          <w:u w:val="single"/>
        </w:rPr>
        <w:t>Non-SCE Charge</w:t>
      </w:r>
      <w:r w:rsidRPr="00FF157D">
        <w:t>.</w:t>
      </w:r>
      <w:bookmarkEnd w:id="277"/>
      <w:bookmarkEnd w:id="278"/>
      <w:bookmarkEnd w:id="279"/>
    </w:p>
    <w:p w14:paraId="657485BE" w14:textId="777C49D7" w:rsidR="00A6128D" w:rsidRPr="0027789B" w:rsidRDefault="00A6128D" w:rsidP="00CB0170">
      <w:pPr>
        <w:pStyle w:val="Heading3Text"/>
      </w:pPr>
      <w:r w:rsidRPr="0027789B">
        <w:t>Seller shall not charge any Storage Unit during any Put Period other than pursuant to a Charging Notice, or in connection with a Seller Initiated Test</w:t>
      </w:r>
      <w:r>
        <w:t xml:space="preserve">. </w:t>
      </w:r>
      <w:r w:rsidRPr="0027789B">
        <w:t>If, during any Put Period, Seller (i) charges any Storage Unit to a Stored Energy Level greater than the Stored Energy Level provided for in the Charging Notice, or (ii) charges a Storage Unit without a Charging Notice (each, a “</w:t>
      </w:r>
      <w:r w:rsidRPr="0027789B">
        <w:rPr>
          <w:u w:val="single"/>
        </w:rPr>
        <w:t>Non-SCE Charge</w:t>
      </w:r>
      <w:r w:rsidRPr="0027789B">
        <w:t xml:space="preserve">”), then (x) Seller shall be responsible for all energy costs associated with such charging of such Storage Unit(s), (y) such energy shall not be included in the calculation of any Energy Adjustment Payment or Energy Efficiency Capacity Payment Reduction, and (z) SCE shall be entitled to discharge such </w:t>
      </w:r>
      <w:r w:rsidRPr="0084576D">
        <w:t xml:space="preserve">energy and entitled to all of the benefits associated with such discharge. For purposes </w:t>
      </w:r>
      <w:r w:rsidRPr="00541852">
        <w:t>of Section</w:t>
      </w:r>
      <w:r w:rsidR="00541852" w:rsidRPr="00541852">
        <w:t xml:space="preserve"> </w:t>
      </w:r>
      <w:r w:rsidR="009B2ACF">
        <w:t>10</w:t>
      </w:r>
      <w:r w:rsidRPr="00541852">
        <w:t>.01</w:t>
      </w:r>
      <w:r w:rsidRPr="0084576D">
        <w:t>(b</w:t>
      </w:r>
      <w:r w:rsidRPr="0027789B">
        <w:t>)</w:t>
      </w:r>
      <w:r>
        <w:t>(xiii)</w:t>
      </w:r>
      <w:r w:rsidRPr="0027789B">
        <w:t xml:space="preserve">, a Non-SCE Charge shall not be considered a permitted charge under this </w:t>
      </w:r>
      <w:r w:rsidR="008923FE">
        <w:t>Section 6.0</w:t>
      </w:r>
      <w:r w:rsidR="00D01E0D">
        <w:t>8</w:t>
      </w:r>
      <w:r w:rsidRPr="009676F1">
        <w:t>.</w:t>
      </w:r>
      <w:r>
        <w:t xml:space="preserve"> </w:t>
      </w:r>
    </w:p>
    <w:p w14:paraId="423BC6B4" w14:textId="77777777" w:rsidR="00A6128D" w:rsidRPr="0027789B" w:rsidRDefault="00A6128D" w:rsidP="00CB0170">
      <w:pPr>
        <w:pStyle w:val="Heading3Text"/>
      </w:pPr>
      <w:r w:rsidRPr="0027789B">
        <w:t xml:space="preserve">Seller shall be responsible and pay for any charges, sanction, or penalties associated with a Non-SCE Charge, any failure to charge any Storage Unit(s) consistent with a Charging Notice, and any deviations from a Charging Notice or charging instruction or award. </w:t>
      </w:r>
    </w:p>
    <w:p w14:paraId="0A42CAD3" w14:textId="7629B7D6" w:rsidR="00A6128D" w:rsidRPr="0027789B" w:rsidRDefault="00A6128D" w:rsidP="00CB0170">
      <w:pPr>
        <w:pStyle w:val="Heading2"/>
      </w:pPr>
      <w:bookmarkStart w:id="280" w:name="_Toc467577559"/>
      <w:bookmarkStart w:id="281" w:name="_Toc470014819"/>
      <w:bookmarkStart w:id="282" w:name="_Toc470856010"/>
      <w:bookmarkStart w:id="283" w:name="_Toc510788267"/>
      <w:r w:rsidRPr="0027789B">
        <w:lastRenderedPageBreak/>
        <w:t xml:space="preserve">CAISO </w:t>
      </w:r>
      <w:r>
        <w:t>and Non</w:t>
      </w:r>
      <w:r w:rsidRPr="0027789B">
        <w:t xml:space="preserve">-SCE </w:t>
      </w:r>
      <w:r>
        <w:t>Dispatches</w:t>
      </w:r>
      <w:bookmarkEnd w:id="280"/>
      <w:bookmarkEnd w:id="281"/>
      <w:bookmarkEnd w:id="282"/>
      <w:r w:rsidR="00550F51">
        <w:t xml:space="preserve"> (Put Periods)</w:t>
      </w:r>
      <w:r w:rsidRPr="00550F51">
        <w:rPr>
          <w:u w:val="none"/>
        </w:rPr>
        <w:t>.</w:t>
      </w:r>
      <w:bookmarkEnd w:id="283"/>
    </w:p>
    <w:p w14:paraId="3F6BB58D" w14:textId="4BE91CC2" w:rsidR="00A6128D" w:rsidRPr="00FF157D" w:rsidRDefault="00A6128D" w:rsidP="00CB0170">
      <w:pPr>
        <w:pStyle w:val="Heading3"/>
      </w:pPr>
      <w:bookmarkStart w:id="284" w:name="_Toc467577560"/>
      <w:bookmarkStart w:id="285" w:name="_Toc470014820"/>
      <w:bookmarkStart w:id="286" w:name="_Toc470856011"/>
      <w:r w:rsidRPr="00FE06DB">
        <w:rPr>
          <w:u w:val="single"/>
        </w:rPr>
        <w:t>CAISO Dispatch</w:t>
      </w:r>
      <w:r w:rsidRPr="00FF157D">
        <w:t>.</w:t>
      </w:r>
      <w:bookmarkEnd w:id="284"/>
      <w:bookmarkEnd w:id="285"/>
      <w:bookmarkEnd w:id="286"/>
    </w:p>
    <w:p w14:paraId="2220C534" w14:textId="2DF4458E" w:rsidR="00A6128D" w:rsidRPr="0027789B" w:rsidRDefault="00A6128D" w:rsidP="00CB0170">
      <w:pPr>
        <w:pStyle w:val="Heading3Text"/>
      </w:pPr>
      <w:r w:rsidRPr="0027789B">
        <w:t>Except in order to effectuate a Seller Initiated Test, any award, instruction to charge, or dispatch of any Storage Unit by the CAISO during a Put Period for any reason (whether pursuant to an RMR Contract, must offer obligations, Energy dispatches or otherwise), shall be deemed to be a dispatch or request to charge by SCE for purposes of this Agreement</w:t>
      </w:r>
      <w:r>
        <w:t xml:space="preserve">. </w:t>
      </w:r>
      <w:r w:rsidRPr="0027789B">
        <w:t>The Energy dispatched shall be for SCE’s benefit hereunder, and SCE shall pay the costs of such CAISO awards, instruction to charge, and dispatches in accordance with the terms of this Agreement as if such dispatches or instruction to charge were directed by SCE</w:t>
      </w:r>
      <w:r>
        <w:t xml:space="preserve">. </w:t>
      </w:r>
      <w:r w:rsidRPr="0027789B">
        <w:t>SCE shall be entitled to receive and retain for its own account any and all CAISO revenues for such awards and dispatches, including any availability payments under an RMR Contract for any Storage Unit</w:t>
      </w:r>
      <w:r>
        <w:t xml:space="preserve">. </w:t>
      </w:r>
      <w:r w:rsidRPr="0027789B">
        <w:t>Except in order to effectuate a Seller Initiated Test, a dispatch by the CAISO during a Put Period shall not be considered a Non-SCE Dispatch pursuant to this Agreement</w:t>
      </w:r>
      <w:r>
        <w:t xml:space="preserve">. </w:t>
      </w:r>
      <w:r w:rsidRPr="0027789B">
        <w:t xml:space="preserve">CAISO dispatches following any Seller Initiated Test pursuant to </w:t>
      </w:r>
      <w:r w:rsidR="00E33735">
        <w:t xml:space="preserve">Sections 5.03 </w:t>
      </w:r>
      <w:r w:rsidRPr="0027789B">
        <w:t xml:space="preserve">shall not obligate SCE for any associated costs incurred in starting any Storage Unit for, or operation during, such testing period. </w:t>
      </w:r>
    </w:p>
    <w:p w14:paraId="5E3A33B4" w14:textId="49012CFF" w:rsidR="00A6128D" w:rsidRPr="00FF157D" w:rsidRDefault="00A6128D" w:rsidP="00CB0170">
      <w:pPr>
        <w:pStyle w:val="Heading3"/>
      </w:pPr>
      <w:bookmarkStart w:id="287" w:name="_Toc467577561"/>
      <w:bookmarkStart w:id="288" w:name="_Toc470014821"/>
      <w:bookmarkStart w:id="289" w:name="_Toc470856012"/>
      <w:r w:rsidRPr="00FE06DB">
        <w:rPr>
          <w:u w:val="single"/>
        </w:rPr>
        <w:t>Non-SCE Dispatch</w:t>
      </w:r>
      <w:r w:rsidRPr="00FF157D">
        <w:t>.</w:t>
      </w:r>
      <w:bookmarkEnd w:id="287"/>
      <w:bookmarkEnd w:id="288"/>
      <w:bookmarkEnd w:id="289"/>
    </w:p>
    <w:p w14:paraId="1654D0CF" w14:textId="6F0B24F5" w:rsidR="00415193" w:rsidRDefault="00A6128D" w:rsidP="00CB0170">
      <w:pPr>
        <w:pStyle w:val="Heading3Text"/>
      </w:pPr>
      <w:r w:rsidRPr="0027789B">
        <w:t>During any Put Period, Seller shall not start-up or discharge any Storage Unit other than (</w:t>
      </w:r>
      <w:r w:rsidR="00415193">
        <w:t>i</w:t>
      </w:r>
      <w:r w:rsidRPr="0027789B">
        <w:t>) pursuant to a Dispatch Notice or (</w:t>
      </w:r>
      <w:r w:rsidR="00415193">
        <w:t>ii</w:t>
      </w:r>
      <w:r w:rsidRPr="0027789B">
        <w:t>) pursuant to a Non-SCE Dispatch</w:t>
      </w:r>
      <w:r>
        <w:t xml:space="preserve">. </w:t>
      </w:r>
      <w:r w:rsidRPr="0027789B">
        <w:t>Seller shall, to the extent possible, notify SCE no later than 5:00 a.m. at least two (2) Business Days in advance of the Trading Day of any start-up or discharge pursuant to a Non-SCE Dispatch, and shall, except as otherwise required by Applicable Laws, delay such start-up or operation if requested by SCE</w:t>
      </w:r>
      <w:r>
        <w:t xml:space="preserve">. </w:t>
      </w:r>
    </w:p>
    <w:p w14:paraId="777F9659" w14:textId="45C8778D" w:rsidR="00A6128D" w:rsidRDefault="00A6128D" w:rsidP="00CB0170">
      <w:pPr>
        <w:pStyle w:val="Heading3Text"/>
      </w:pPr>
      <w:r w:rsidRPr="0027789B">
        <w:t>Imbalance Energy revenues net of any charges, sanctions, and penalties imposed by the CAISO for a Non-SCE Dispatch shall be for Seller’s account.</w:t>
      </w:r>
    </w:p>
    <w:p w14:paraId="1CF74537" w14:textId="77777777" w:rsidR="005B1123" w:rsidRPr="00561154" w:rsidRDefault="005B1123" w:rsidP="005B1123">
      <w:pPr>
        <w:pStyle w:val="Heading2"/>
        <w:keepNext w:val="0"/>
        <w:keepLines w:val="0"/>
        <w:rPr>
          <w:i/>
          <w:color w:val="00B050"/>
          <w:u w:val="none"/>
        </w:rPr>
      </w:pPr>
      <w:bookmarkStart w:id="290" w:name="_Toc472510199"/>
      <w:bookmarkStart w:id="291" w:name="_Toc476302190"/>
      <w:bookmarkStart w:id="292" w:name="_Toc502218610"/>
      <w:bookmarkStart w:id="293" w:name="_Toc515617046"/>
      <w:r w:rsidRPr="00561154">
        <w:rPr>
          <w:i/>
          <w:color w:val="00B050"/>
        </w:rPr>
        <w:t>[Additional Responsibilities during N-2 Event</w:t>
      </w:r>
      <w:r w:rsidRPr="00561154">
        <w:rPr>
          <w:i/>
          <w:color w:val="00B050"/>
          <w:u w:val="none"/>
        </w:rPr>
        <w:t>.</w:t>
      </w:r>
      <w:bookmarkEnd w:id="290"/>
      <w:bookmarkEnd w:id="291"/>
      <w:bookmarkEnd w:id="292"/>
      <w:bookmarkEnd w:id="293"/>
    </w:p>
    <w:p w14:paraId="5527084D" w14:textId="77777777" w:rsidR="005B1123" w:rsidRPr="00561154" w:rsidRDefault="005B1123" w:rsidP="005B1123">
      <w:pPr>
        <w:pStyle w:val="Heading3"/>
        <w:rPr>
          <w:i/>
          <w:color w:val="00B050"/>
        </w:rPr>
      </w:pPr>
      <w:r w:rsidRPr="00561154">
        <w:rPr>
          <w:i/>
          <w:color w:val="00B050"/>
        </w:rPr>
        <w:t>Notwithstanding anything in this Agreement to the contrary, including Article 8 (Force Majeure), Seller shall (i) exercise Maximum Efforts at all times during each N-2 Event; and (ii) upon SCE’s request, demonstrate to SCE that its actions were consistent with this standard.</w:t>
      </w:r>
    </w:p>
    <w:p w14:paraId="55764A16" w14:textId="77777777" w:rsidR="005B1123" w:rsidRPr="00561154" w:rsidRDefault="005B1123" w:rsidP="005B1123">
      <w:pPr>
        <w:pStyle w:val="Heading3"/>
        <w:rPr>
          <w:color w:val="00B050"/>
        </w:rPr>
      </w:pPr>
      <w:r w:rsidRPr="00561154">
        <w:rPr>
          <w:i/>
          <w:color w:val="00B050"/>
        </w:rPr>
        <w:t xml:space="preserve">During an N-2 Event, Seller may not charge the Storage Units from the transmission or distribution grid unless Seller receives an instruction from </w:t>
      </w:r>
      <w:r w:rsidRPr="00561154">
        <w:rPr>
          <w:i/>
          <w:color w:val="00B050"/>
        </w:rPr>
        <w:lastRenderedPageBreak/>
        <w:t xml:space="preserve">Transmission Provider or CAISO directing Seller to charge the Storage Units.] </w:t>
      </w:r>
    </w:p>
    <w:p w14:paraId="2440C1DD" w14:textId="77777777" w:rsidR="005B1123" w:rsidRDefault="005B1123" w:rsidP="00CB0170">
      <w:pPr>
        <w:pStyle w:val="Heading3Text"/>
      </w:pPr>
    </w:p>
    <w:p w14:paraId="334E232A" w14:textId="77777777" w:rsidR="00546E7F" w:rsidRPr="0027789B" w:rsidRDefault="00546E7F" w:rsidP="00546E7F">
      <w:pPr>
        <w:pStyle w:val="Heading1"/>
        <w:keepNext w:val="0"/>
        <w:keepLines w:val="0"/>
      </w:pPr>
      <w:bookmarkStart w:id="294" w:name="_Toc473805502"/>
      <w:bookmarkStart w:id="295" w:name="_Toc474145105"/>
      <w:bookmarkStart w:id="296" w:name="_Toc474173311"/>
      <w:bookmarkStart w:id="297" w:name="_Toc473805503"/>
      <w:bookmarkStart w:id="298" w:name="_Toc474145106"/>
      <w:bookmarkStart w:id="299" w:name="_Toc474173312"/>
      <w:bookmarkStart w:id="300" w:name="_Toc473805504"/>
      <w:bookmarkStart w:id="301" w:name="_Toc474145107"/>
      <w:bookmarkStart w:id="302" w:name="_Toc474173313"/>
      <w:bookmarkStart w:id="303" w:name="_Toc473805505"/>
      <w:bookmarkStart w:id="304" w:name="_Toc474145108"/>
      <w:bookmarkStart w:id="305" w:name="_Toc474173314"/>
      <w:bookmarkStart w:id="306" w:name="_Toc473805506"/>
      <w:bookmarkStart w:id="307" w:name="_Toc474145109"/>
      <w:bookmarkStart w:id="308" w:name="_Toc474173315"/>
      <w:bookmarkStart w:id="309" w:name="_Toc473805507"/>
      <w:bookmarkStart w:id="310" w:name="_Toc474145110"/>
      <w:bookmarkStart w:id="311" w:name="_Toc474173316"/>
      <w:bookmarkStart w:id="312" w:name="_Toc473805508"/>
      <w:bookmarkStart w:id="313" w:name="_Toc474145111"/>
      <w:bookmarkStart w:id="314" w:name="_Toc474173317"/>
      <w:bookmarkStart w:id="315" w:name="_Toc473805509"/>
      <w:bookmarkStart w:id="316" w:name="_Toc474145112"/>
      <w:bookmarkStart w:id="317" w:name="_Toc474173318"/>
      <w:bookmarkStart w:id="318" w:name="_Toc473805510"/>
      <w:bookmarkStart w:id="319" w:name="_Toc474145113"/>
      <w:bookmarkStart w:id="320" w:name="_Toc474173319"/>
      <w:bookmarkStart w:id="321" w:name="_Toc473805511"/>
      <w:bookmarkStart w:id="322" w:name="_Toc474145114"/>
      <w:bookmarkStart w:id="323" w:name="_Toc474173320"/>
      <w:bookmarkStart w:id="324" w:name="_Toc473805512"/>
      <w:bookmarkStart w:id="325" w:name="_Toc474145115"/>
      <w:bookmarkStart w:id="326" w:name="_Toc474173321"/>
      <w:bookmarkStart w:id="327" w:name="_Toc467577537"/>
      <w:bookmarkStart w:id="328" w:name="_Toc470014797"/>
      <w:bookmarkStart w:id="329" w:name="_Toc470855988"/>
      <w:bookmarkStart w:id="330" w:name="_Toc510788268"/>
      <w:bookmarkStart w:id="331" w:name="_Toc467577601"/>
      <w:bookmarkStart w:id="332" w:name="_Toc470014861"/>
      <w:bookmarkStart w:id="333" w:name="_Toc470856052"/>
      <w:bookmarkEnd w:id="123"/>
      <w:bookmarkEnd w:id="124"/>
      <w:bookmarkEnd w:id="1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27789B">
        <w:t>CREDIT AND COLLATERAL</w:t>
      </w:r>
      <w:bookmarkEnd w:id="327"/>
      <w:bookmarkEnd w:id="328"/>
      <w:bookmarkEnd w:id="329"/>
      <w:bookmarkEnd w:id="330"/>
    </w:p>
    <w:p w14:paraId="57A7CA0A" w14:textId="77777777" w:rsidR="00546E7F" w:rsidRPr="001D4101" w:rsidRDefault="00546E7F" w:rsidP="00546E7F">
      <w:pPr>
        <w:pStyle w:val="Heading2"/>
        <w:keepNext w:val="0"/>
        <w:keepLines w:val="0"/>
        <w:rPr>
          <w:u w:val="none"/>
        </w:rPr>
      </w:pPr>
      <w:bookmarkStart w:id="334" w:name="_Toc467577539"/>
      <w:bookmarkStart w:id="335" w:name="_Toc470014799"/>
      <w:bookmarkStart w:id="336" w:name="_Toc510788269"/>
      <w:r>
        <w:t>Development Security</w:t>
      </w:r>
      <w:r w:rsidRPr="001D4101">
        <w:rPr>
          <w:u w:val="none"/>
        </w:rPr>
        <w:t>.</w:t>
      </w:r>
      <w:bookmarkEnd w:id="334"/>
      <w:bookmarkEnd w:id="335"/>
      <w:bookmarkEnd w:id="336"/>
    </w:p>
    <w:p w14:paraId="5AFEBBEC" w14:textId="77777777" w:rsidR="00546E7F" w:rsidRDefault="00546E7F" w:rsidP="00546E7F">
      <w:pPr>
        <w:pStyle w:val="Heading3"/>
      </w:pPr>
      <w:r>
        <w:rPr>
          <w:u w:val="single"/>
        </w:rPr>
        <w:t>Amount</w:t>
      </w:r>
      <w:r w:rsidRPr="0027789B">
        <w:t>.</w:t>
      </w:r>
    </w:p>
    <w:p w14:paraId="797C21DA" w14:textId="1995B687" w:rsidR="00546E7F" w:rsidRDefault="00546E7F" w:rsidP="00546E7F">
      <w:pPr>
        <w:pStyle w:val="Heading3"/>
        <w:numPr>
          <w:ilvl w:val="0"/>
          <w:numId w:val="0"/>
        </w:numPr>
        <w:ind w:left="1728"/>
      </w:pPr>
      <w:r w:rsidRPr="0027789B">
        <w:t xml:space="preserve">Seller shall post </w:t>
      </w:r>
      <w:r w:rsidRPr="000678FD">
        <w:t xml:space="preserve">and thereafter maintain Development Security equal to </w:t>
      </w:r>
      <w:r w:rsidRPr="00DB7FE0">
        <w:rPr>
          <w:i/>
          <w:color w:val="0000FF"/>
        </w:rPr>
        <w:t xml:space="preserve">{SCE Comment:  Development Security will be calculated based on </w:t>
      </w:r>
      <w:r w:rsidR="00E21476">
        <w:rPr>
          <w:i/>
          <w:color w:val="0000FF"/>
        </w:rPr>
        <w:t>RFP</w:t>
      </w:r>
      <w:r w:rsidRPr="00DB7FE0">
        <w:rPr>
          <w:i/>
          <w:color w:val="0000FF"/>
        </w:rPr>
        <w:t xml:space="preserve"> Instructions.}</w:t>
      </w:r>
      <w:r w:rsidRPr="000678FD">
        <w:t>.</w:t>
      </w:r>
    </w:p>
    <w:p w14:paraId="2A2B8F39" w14:textId="77777777" w:rsidR="00546E7F" w:rsidRDefault="00546E7F" w:rsidP="00546E7F">
      <w:pPr>
        <w:pStyle w:val="Heading3"/>
      </w:pPr>
      <w:r>
        <w:rPr>
          <w:u w:val="single"/>
        </w:rPr>
        <w:t>Posting Requirements</w:t>
      </w:r>
      <w:r w:rsidRPr="0001148F">
        <w:t>.</w:t>
      </w:r>
    </w:p>
    <w:p w14:paraId="64224E41" w14:textId="77777777" w:rsidR="00546E7F" w:rsidRPr="00107537" w:rsidRDefault="00546E7F" w:rsidP="00546E7F">
      <w:pPr>
        <w:pStyle w:val="Heading3"/>
        <w:numPr>
          <w:ilvl w:val="0"/>
          <w:numId w:val="0"/>
        </w:numPr>
        <w:ind w:left="1728"/>
      </w:pPr>
      <w:r w:rsidRPr="0001148F">
        <w:t>Seller shall post the Development Security in accordance with the following terms and conditions:</w:t>
      </w:r>
    </w:p>
    <w:p w14:paraId="1320F792" w14:textId="77777777" w:rsidR="00546E7F" w:rsidRPr="0027789B" w:rsidRDefault="00546E7F" w:rsidP="00546E7F">
      <w:pPr>
        <w:pStyle w:val="Heading4"/>
      </w:pPr>
      <w:r w:rsidRPr="0027789B">
        <w:t xml:space="preserve">Seller shall post one-half of the Development Security within five (5) Business Days following the Effective Date, with the remainder to be posted </w:t>
      </w:r>
      <w:r>
        <w:t>no later than</w:t>
      </w:r>
      <w:r w:rsidRPr="0027789B">
        <w:t xml:space="preserve"> five (5) Business Days after CPUC Approval is obtained or waived by SCE in its sole discretion;</w:t>
      </w:r>
    </w:p>
    <w:p w14:paraId="72C65B5A" w14:textId="77777777" w:rsidR="00546E7F" w:rsidRPr="0027789B" w:rsidRDefault="00546E7F" w:rsidP="00546E7F">
      <w:pPr>
        <w:pStyle w:val="Heading4"/>
      </w:pPr>
      <w:r w:rsidRPr="0027789B">
        <w:t>The Development Security must be in the form of cash or a Letter of Credit;</w:t>
      </w:r>
      <w:r>
        <w:t xml:space="preserve"> and</w:t>
      </w:r>
    </w:p>
    <w:p w14:paraId="3EAB7831" w14:textId="46CAF7CB" w:rsidR="00546E7F" w:rsidRPr="008923FE" w:rsidRDefault="00546E7F" w:rsidP="00546E7F">
      <w:pPr>
        <w:pStyle w:val="Heading4"/>
      </w:pPr>
      <w:r w:rsidRPr="0027789B">
        <w:t xml:space="preserve">The </w:t>
      </w:r>
      <w:r w:rsidRPr="008923FE">
        <w:t xml:space="preserve">Development Security and any interest accrued thereon in accordance with Section </w:t>
      </w:r>
      <w:r w:rsidR="009B2ACF">
        <w:t>7</w:t>
      </w:r>
      <w:r w:rsidRPr="008923FE">
        <w:t>.03(a) shall be held by SCE as security for Seller achieving the Initial Delivery Date on or before the Expected Initial Delivery Date.</w:t>
      </w:r>
    </w:p>
    <w:p w14:paraId="532ECA3D" w14:textId="77777777" w:rsidR="00546E7F" w:rsidRPr="008923FE" w:rsidRDefault="00546E7F" w:rsidP="00546E7F">
      <w:pPr>
        <w:pStyle w:val="Heading3"/>
      </w:pPr>
      <w:r w:rsidRPr="008923FE">
        <w:rPr>
          <w:u w:val="single"/>
        </w:rPr>
        <w:t>Return of Development Security</w:t>
      </w:r>
      <w:r w:rsidRPr="008923FE">
        <w:t>.</w:t>
      </w:r>
    </w:p>
    <w:p w14:paraId="45116937" w14:textId="77777777" w:rsidR="00546E7F" w:rsidRPr="008923FE" w:rsidRDefault="00546E7F" w:rsidP="00546E7F">
      <w:pPr>
        <w:pStyle w:val="Heading3Text"/>
      </w:pPr>
      <w:r w:rsidRPr="008923FE">
        <w:t>If no Event of Default with respect to Seller has occurred and is continuing, and no Early Termination Date has occurred or been designated as the result of an Event of Default with respect to Seller, then:</w:t>
      </w:r>
    </w:p>
    <w:p w14:paraId="47FE41C4" w14:textId="5C6CE30D" w:rsidR="00546E7F" w:rsidRPr="008923FE" w:rsidRDefault="00546E7F" w:rsidP="00546E7F">
      <w:pPr>
        <w:pStyle w:val="Heading4"/>
      </w:pPr>
      <w:r w:rsidRPr="008923FE">
        <w:t xml:space="preserve">As soon as reasonably practicable after the Initial Delivery Date, SCE shall return to Seller the full Development Security including any interest accrued thereon pursuant to Section </w:t>
      </w:r>
      <w:r w:rsidR="009B2ACF">
        <w:t>7</w:t>
      </w:r>
      <w:r w:rsidRPr="008923FE">
        <w:t>.03(a).</w:t>
      </w:r>
    </w:p>
    <w:p w14:paraId="002DCD6E" w14:textId="369F4041" w:rsidR="00546E7F" w:rsidRDefault="00546E7F" w:rsidP="00546E7F">
      <w:pPr>
        <w:pStyle w:val="Heading4"/>
      </w:pPr>
      <w:r>
        <w:t>As soon as reasonably practicable after the termination of this Agreement</w:t>
      </w:r>
      <w:r w:rsidRPr="00183138">
        <w:t xml:space="preserve"> by either Party </w:t>
      </w:r>
      <w:r w:rsidRPr="0084576D">
        <w:t xml:space="preserve">pursuant to </w:t>
      </w:r>
      <w:r w:rsidR="00B06EAD" w:rsidRPr="00B06EAD">
        <w:t>Sections 2.0</w:t>
      </w:r>
      <w:r w:rsidR="00633AAC">
        <w:t>7</w:t>
      </w:r>
      <w:r w:rsidR="00504642" w:rsidRPr="00B06EAD">
        <w:t>, 5</w:t>
      </w:r>
      <w:r w:rsidRPr="00B06EAD">
        <w:t>.</w:t>
      </w:r>
      <w:r w:rsidRPr="00504642">
        <w:t>0</w:t>
      </w:r>
      <w:r w:rsidR="00504642" w:rsidRPr="00504642">
        <w:t>1(b)</w:t>
      </w:r>
      <w:r w:rsidRPr="0084576D">
        <w:t xml:space="preserve"> or </w:t>
      </w:r>
      <w:r w:rsidR="009B2ACF">
        <w:lastRenderedPageBreak/>
        <w:t>8</w:t>
      </w:r>
      <w:r w:rsidRPr="0084576D">
        <w:t>.03(a), SCE shall return to Seller the</w:t>
      </w:r>
      <w:r w:rsidRPr="00183138">
        <w:t xml:space="preserve"> full Development Security</w:t>
      </w:r>
      <w:r w:rsidRPr="00183138">
        <w:rPr>
          <w:szCs w:val="24"/>
        </w:rPr>
        <w:t xml:space="preserve">; provided, a termination </w:t>
      </w:r>
      <w:r w:rsidRPr="0084576D">
        <w:rPr>
          <w:szCs w:val="24"/>
        </w:rPr>
        <w:t xml:space="preserve">under </w:t>
      </w:r>
      <w:r w:rsidRPr="002F5C7B">
        <w:rPr>
          <w:szCs w:val="24"/>
        </w:rPr>
        <w:t xml:space="preserve">Article </w:t>
      </w:r>
      <w:r w:rsidR="009B2ACF">
        <w:rPr>
          <w:szCs w:val="24"/>
        </w:rPr>
        <w:t>8</w:t>
      </w:r>
      <w:r w:rsidRPr="002F5C7B">
        <w:rPr>
          <w:szCs w:val="24"/>
        </w:rPr>
        <w:t xml:space="preserve"> only</w:t>
      </w:r>
      <w:r w:rsidRPr="00183138">
        <w:rPr>
          <w:szCs w:val="24"/>
        </w:rPr>
        <w:t xml:space="preserve"> entitles Seller to a return of the Development Security if the termination is based on a Force Majeure that prevents the Initial Delivery Date from occurring on or before the Initial Delivery Deadline</w:t>
      </w:r>
      <w:r w:rsidRPr="00183138">
        <w:t>.</w:t>
      </w:r>
    </w:p>
    <w:p w14:paraId="782EA48A" w14:textId="4151FAC7" w:rsidR="00546E7F" w:rsidRPr="008923FE" w:rsidRDefault="00546E7F" w:rsidP="00546E7F">
      <w:pPr>
        <w:pStyle w:val="Heading3"/>
        <w:numPr>
          <w:ilvl w:val="0"/>
          <w:numId w:val="0"/>
        </w:numPr>
        <w:ind w:left="1728"/>
      </w:pPr>
      <w:r>
        <w:t xml:space="preserve">Seller may, with SCE’s consent, authorize SCE to retain cash or Letter(s) of Credit initially </w:t>
      </w:r>
      <w:r w:rsidRPr="008923FE">
        <w:t xml:space="preserve">posted as Development Security as Performance Assurance posted under Section </w:t>
      </w:r>
      <w:r w:rsidR="009B2ACF">
        <w:t>7</w:t>
      </w:r>
      <w:r w:rsidRPr="008923FE">
        <w:t>.02.</w:t>
      </w:r>
    </w:p>
    <w:p w14:paraId="306B2916" w14:textId="77777777" w:rsidR="00546E7F" w:rsidRPr="008923FE" w:rsidRDefault="00546E7F" w:rsidP="00546E7F">
      <w:pPr>
        <w:pStyle w:val="Heading2"/>
        <w:keepNext w:val="0"/>
        <w:keepLines w:val="0"/>
        <w:rPr>
          <w:u w:val="none"/>
        </w:rPr>
      </w:pPr>
      <w:bookmarkStart w:id="337" w:name="_Toc510788270"/>
      <w:r w:rsidRPr="008923FE">
        <w:t>Performance Assurance</w:t>
      </w:r>
      <w:r w:rsidRPr="008923FE">
        <w:rPr>
          <w:u w:val="none"/>
        </w:rPr>
        <w:t>.</w:t>
      </w:r>
      <w:bookmarkEnd w:id="337"/>
    </w:p>
    <w:p w14:paraId="1A1408E3" w14:textId="77777777" w:rsidR="00546E7F" w:rsidRPr="00DB7FE0" w:rsidRDefault="00546E7F" w:rsidP="004826DF">
      <w:pPr>
        <w:pStyle w:val="Heading3"/>
        <w:rPr>
          <w:color w:val="auto"/>
          <w:sz w:val="22"/>
          <w:szCs w:val="22"/>
        </w:rPr>
      </w:pPr>
      <w:r w:rsidRPr="00DB7FE0">
        <w:rPr>
          <w:color w:val="auto"/>
          <w:u w:val="single"/>
        </w:rPr>
        <w:t>Amount</w:t>
      </w:r>
      <w:r w:rsidRPr="00DB7FE0">
        <w:rPr>
          <w:color w:val="auto"/>
        </w:rPr>
        <w:t>.</w:t>
      </w:r>
    </w:p>
    <w:p w14:paraId="0DA5A26B" w14:textId="237B2A74" w:rsidR="00546E7F" w:rsidRPr="008923FE" w:rsidRDefault="00546E7F" w:rsidP="00546E7F">
      <w:pPr>
        <w:pStyle w:val="Heading3"/>
        <w:numPr>
          <w:ilvl w:val="0"/>
          <w:numId w:val="0"/>
        </w:numPr>
        <w:ind w:left="1728"/>
        <w:rPr>
          <w:szCs w:val="24"/>
        </w:rPr>
      </w:pPr>
      <w:r w:rsidRPr="008923FE">
        <w:t xml:space="preserve">At all times during the Delivery Period, </w:t>
      </w:r>
      <w:r w:rsidRPr="008923FE">
        <w:rPr>
          <w:szCs w:val="24"/>
        </w:rPr>
        <w:t xml:space="preserve">Seller shall post and </w:t>
      </w:r>
      <w:r w:rsidR="00EE70DC">
        <w:rPr>
          <w:szCs w:val="24"/>
        </w:rPr>
        <w:t xml:space="preserve">thereafter </w:t>
      </w:r>
      <w:r w:rsidRPr="008923FE">
        <w:rPr>
          <w:szCs w:val="24"/>
        </w:rPr>
        <w:t xml:space="preserve">maintain Performance Assurance in an amount </w:t>
      </w:r>
      <w:r w:rsidRPr="008923FE">
        <w:t xml:space="preserve">equal to </w:t>
      </w:r>
      <w:r w:rsidRPr="00DB7FE0">
        <w:rPr>
          <w:i/>
          <w:iCs/>
          <w:color w:val="0000FF"/>
        </w:rPr>
        <w:t xml:space="preserve">{SCE Comment:  Performance Assurance will be calculated based on </w:t>
      </w:r>
      <w:r w:rsidR="00E21476">
        <w:rPr>
          <w:i/>
          <w:iCs/>
          <w:color w:val="0000FF"/>
        </w:rPr>
        <w:t>RFP</w:t>
      </w:r>
      <w:r w:rsidRPr="00DB7FE0">
        <w:rPr>
          <w:i/>
          <w:iCs/>
          <w:color w:val="0000FF"/>
        </w:rPr>
        <w:t xml:space="preserve"> Instructions.}</w:t>
      </w:r>
      <w:r w:rsidRPr="003B1EC6">
        <w:rPr>
          <w:i/>
          <w:iCs/>
          <w:color w:val="auto"/>
        </w:rPr>
        <w:t>.</w:t>
      </w:r>
      <w:r w:rsidRPr="008923FE">
        <w:rPr>
          <w:szCs w:val="24"/>
        </w:rPr>
        <w:t xml:space="preserve"> </w:t>
      </w:r>
    </w:p>
    <w:p w14:paraId="26548DF5" w14:textId="77777777" w:rsidR="00546E7F" w:rsidRPr="00DB7FE0" w:rsidRDefault="00546E7F" w:rsidP="00546E7F">
      <w:pPr>
        <w:pStyle w:val="Heading3"/>
        <w:rPr>
          <w:color w:val="auto"/>
          <w:sz w:val="22"/>
          <w:szCs w:val="22"/>
        </w:rPr>
      </w:pPr>
      <w:r w:rsidRPr="00DB7FE0">
        <w:rPr>
          <w:color w:val="auto"/>
          <w:u w:val="single"/>
        </w:rPr>
        <w:t>Posting Requirements</w:t>
      </w:r>
      <w:r w:rsidRPr="00DB7FE0">
        <w:rPr>
          <w:color w:val="auto"/>
        </w:rPr>
        <w:t>.</w:t>
      </w:r>
    </w:p>
    <w:p w14:paraId="14D6B47E" w14:textId="77777777" w:rsidR="00546E7F" w:rsidRPr="008923FE" w:rsidRDefault="00546E7F" w:rsidP="00546E7F">
      <w:pPr>
        <w:pStyle w:val="Heading3"/>
        <w:numPr>
          <w:ilvl w:val="0"/>
          <w:numId w:val="0"/>
        </w:numPr>
        <w:ind w:left="1728"/>
        <w:rPr>
          <w:color w:val="1F497D"/>
          <w:sz w:val="22"/>
          <w:szCs w:val="22"/>
        </w:rPr>
      </w:pPr>
      <w:r w:rsidRPr="008923FE">
        <w:rPr>
          <w:szCs w:val="24"/>
        </w:rPr>
        <w:t xml:space="preserve">Seller shall post the Performance Assurance in accordance with the following terms and conditions:  </w:t>
      </w:r>
    </w:p>
    <w:p w14:paraId="0BD6FA01" w14:textId="77777777" w:rsidR="00546E7F" w:rsidRPr="008923FE" w:rsidRDefault="00546E7F" w:rsidP="00546E7F">
      <w:pPr>
        <w:pStyle w:val="Heading4"/>
      </w:pPr>
      <w:r w:rsidRPr="008923FE">
        <w:t>Seller shall post all of the Performance Assurance on or before the Initial Delivery Date;</w:t>
      </w:r>
    </w:p>
    <w:p w14:paraId="51419CA1" w14:textId="77777777" w:rsidR="00546E7F" w:rsidRPr="008923FE" w:rsidRDefault="00546E7F" w:rsidP="00546E7F">
      <w:pPr>
        <w:pStyle w:val="Heading4"/>
      </w:pPr>
      <w:r w:rsidRPr="008923FE">
        <w:t>Performance Assurance must be in the form of cash or a Letter of Credit; and</w:t>
      </w:r>
    </w:p>
    <w:p w14:paraId="5D22A307" w14:textId="167E6BB9" w:rsidR="00546E7F" w:rsidRPr="008923FE" w:rsidRDefault="00546E7F" w:rsidP="00546E7F">
      <w:pPr>
        <w:pStyle w:val="Heading4"/>
      </w:pPr>
      <w:r w:rsidRPr="008923FE">
        <w:t xml:space="preserve">The Performance Assurance and any interest accrued thereon in accordance with Section </w:t>
      </w:r>
      <w:r w:rsidR="009B2ACF">
        <w:t>7</w:t>
      </w:r>
      <w:r w:rsidRPr="008923FE">
        <w:t>.03(a) shall be held by SCE as security for Seller’s performance of its obligations under this Agreement.</w:t>
      </w:r>
    </w:p>
    <w:p w14:paraId="14D53BE1" w14:textId="77777777" w:rsidR="00546E7F" w:rsidRPr="008923FE" w:rsidRDefault="00546E7F" w:rsidP="00546E7F">
      <w:pPr>
        <w:pStyle w:val="Heading3"/>
        <w:ind w:left="1764"/>
      </w:pPr>
      <w:r w:rsidRPr="008923FE">
        <w:rPr>
          <w:u w:val="single"/>
        </w:rPr>
        <w:t>Return of Performance Assurance</w:t>
      </w:r>
      <w:r w:rsidRPr="008923FE">
        <w:t>.</w:t>
      </w:r>
    </w:p>
    <w:p w14:paraId="5366F5A3" w14:textId="0EB13149" w:rsidR="00546E7F" w:rsidRPr="00782726" w:rsidRDefault="00546E7F" w:rsidP="00546E7F">
      <w:pPr>
        <w:pStyle w:val="Heading3Text"/>
      </w:pPr>
      <w:r w:rsidRPr="008923FE">
        <w:t xml:space="preserve">SCE shall return to Seller the unused portion of the Performance Assurance, including any interest accrued thereon pursuant to Section </w:t>
      </w:r>
      <w:r w:rsidR="009B2ACF">
        <w:t>7</w:t>
      </w:r>
      <w:r w:rsidRPr="008923FE">
        <w:t>.03</w:t>
      </w:r>
      <w:r w:rsidRPr="00165EAE">
        <w:t>(a), as soon as reasonably practicable after (i) the Delivery Period has ended;</w:t>
      </w:r>
      <w:r>
        <w:t xml:space="preserve"> and (ii) Seller has satisfied all monetary obligations which survive termination of this Agreement.</w:t>
      </w:r>
    </w:p>
    <w:p w14:paraId="2FEA5252" w14:textId="77777777" w:rsidR="00546E7F" w:rsidRPr="001D4101" w:rsidRDefault="00546E7F" w:rsidP="00546E7F">
      <w:pPr>
        <w:pStyle w:val="Heading2"/>
        <w:keepNext w:val="0"/>
        <w:keepLines w:val="0"/>
        <w:rPr>
          <w:u w:val="none"/>
        </w:rPr>
      </w:pPr>
      <w:bookmarkStart w:id="338" w:name="_Toc473223921"/>
      <w:bookmarkStart w:id="339" w:name="_Toc470855991"/>
      <w:bookmarkStart w:id="340" w:name="_Toc467577540"/>
      <w:bookmarkStart w:id="341" w:name="_Toc470014800"/>
      <w:bookmarkStart w:id="342" w:name="_Toc510788271"/>
      <w:bookmarkEnd w:id="338"/>
      <w:r w:rsidRPr="0027789B">
        <w:t xml:space="preserve">Administration of </w:t>
      </w:r>
      <w:bookmarkEnd w:id="339"/>
      <w:r>
        <w:t>Project Security</w:t>
      </w:r>
      <w:r w:rsidRPr="001D4101">
        <w:rPr>
          <w:u w:val="none"/>
        </w:rPr>
        <w:t>.</w:t>
      </w:r>
      <w:bookmarkEnd w:id="340"/>
      <w:bookmarkEnd w:id="341"/>
      <w:bookmarkEnd w:id="342"/>
    </w:p>
    <w:p w14:paraId="4B64E10A" w14:textId="77777777" w:rsidR="00546E7F" w:rsidRDefault="00546E7F" w:rsidP="00546E7F">
      <w:pPr>
        <w:pStyle w:val="Heading3"/>
      </w:pPr>
      <w:r w:rsidRPr="0027789B">
        <w:rPr>
          <w:u w:val="single"/>
        </w:rPr>
        <w:t>Cash</w:t>
      </w:r>
      <w:r w:rsidRPr="0027789B">
        <w:t>.</w:t>
      </w:r>
    </w:p>
    <w:p w14:paraId="781A20E2" w14:textId="196ABECF" w:rsidR="00546E7F" w:rsidRPr="00FF157D" w:rsidRDefault="00546E7F" w:rsidP="008B3C43">
      <w:pPr>
        <w:pStyle w:val="Heading4"/>
        <w:rPr>
          <w:w w:val="0"/>
        </w:rPr>
      </w:pPr>
      <w:r w:rsidRPr="00B576E8">
        <w:rPr>
          <w:w w:val="0"/>
        </w:rPr>
        <w:lastRenderedPageBreak/>
        <w:t xml:space="preserve">SCE shall calculate and pay </w:t>
      </w:r>
      <w:r w:rsidR="003C33C2" w:rsidRPr="00B576E8">
        <w:rPr>
          <w:w w:val="0"/>
        </w:rPr>
        <w:t xml:space="preserve">an Interest Payment </w:t>
      </w:r>
      <w:r w:rsidRPr="00EB4516">
        <w:rPr>
          <w:w w:val="0"/>
        </w:rPr>
        <w:t xml:space="preserve">to Seller </w:t>
      </w:r>
      <w:r w:rsidR="003C33C2" w:rsidRPr="00EB4516">
        <w:rPr>
          <w:w w:val="0"/>
        </w:rPr>
        <w:t xml:space="preserve">on any Project Security posted in cash, </w:t>
      </w:r>
      <w:r w:rsidR="003C33C2" w:rsidRPr="00B576E8">
        <w:rPr>
          <w:iCs w:val="0"/>
          <w:w w:val="0"/>
        </w:rPr>
        <w:t xml:space="preserve">concurrently with the return of such collateral to Seller in accordance with the terms of this Agreement. </w:t>
      </w:r>
    </w:p>
    <w:p w14:paraId="21EEF1CA" w14:textId="18371378" w:rsidR="00550CE6" w:rsidRPr="00C623EA" w:rsidRDefault="00550CE6" w:rsidP="00546E7F">
      <w:pPr>
        <w:pStyle w:val="Heading4"/>
      </w:pPr>
      <w:r>
        <w:rPr>
          <w:w w:val="0"/>
        </w:rPr>
        <w:t>On or after the occurrence of an</w:t>
      </w:r>
      <w:r w:rsidR="00546E7F" w:rsidRPr="00E9160C">
        <w:rPr>
          <w:w w:val="0"/>
        </w:rPr>
        <w:t xml:space="preserve"> Event of Default with respect to </w:t>
      </w:r>
      <w:r>
        <w:rPr>
          <w:w w:val="0"/>
        </w:rPr>
        <w:t>the Seller or an</w:t>
      </w:r>
      <w:r w:rsidR="00546E7F" w:rsidRPr="00E9160C">
        <w:rPr>
          <w:w w:val="0"/>
        </w:rPr>
        <w:t xml:space="preserve"> Early Termination Date as a result of an Event of Default with respect to </w:t>
      </w:r>
      <w:r>
        <w:rPr>
          <w:w w:val="0"/>
        </w:rPr>
        <w:t xml:space="preserve">the Seller, </w:t>
      </w:r>
      <w:r>
        <w:t xml:space="preserve">SCE shall retain any </w:t>
      </w:r>
      <w:r w:rsidR="003C33C2">
        <w:t>Interest Payment</w:t>
      </w:r>
      <w:r>
        <w:t xml:space="preserve"> as additional </w:t>
      </w:r>
      <w:r w:rsidR="00DE5956">
        <w:t>Project</w:t>
      </w:r>
      <w:r>
        <w:t xml:space="preserve"> Security until the obligations of the Seller under th</w:t>
      </w:r>
      <w:r w:rsidR="008B6681">
        <w:t>is</w:t>
      </w:r>
      <w:r>
        <w:t xml:space="preserve"> Agreement have been satisfied in the case of an Early Termination Date or for so long as such Event of Default is continuing in the case of an Event of Default; </w:t>
      </w:r>
      <w:r w:rsidRPr="00DB7FE0">
        <w:t>provided that</w:t>
      </w:r>
      <w:r>
        <w:rPr>
          <w:i/>
        </w:rPr>
        <w:t>,</w:t>
      </w:r>
      <w:r>
        <w:t xml:space="preserve"> any </w:t>
      </w:r>
      <w:r w:rsidR="003C33C2">
        <w:t>I</w:t>
      </w:r>
      <w:r>
        <w:t xml:space="preserve">nterest </w:t>
      </w:r>
      <w:r w:rsidR="003C33C2">
        <w:t>P</w:t>
      </w:r>
      <w:r>
        <w:t xml:space="preserve">ayment amount that is held by </w:t>
      </w:r>
      <w:r w:rsidR="00DE5956">
        <w:t>SCE as an additional Project</w:t>
      </w:r>
      <w:r>
        <w:t xml:space="preserve"> Security amount shall not accrue </w:t>
      </w:r>
      <w:r w:rsidR="00DE5956">
        <w:t>i</w:t>
      </w:r>
      <w:r>
        <w:t>nter</w:t>
      </w:r>
      <w:r w:rsidR="00DE5956">
        <w:t>est in accordance with Section 7</w:t>
      </w:r>
      <w:r>
        <w:t>.0</w:t>
      </w:r>
      <w:r w:rsidR="00DE5956">
        <w:t>3</w:t>
      </w:r>
      <w:r>
        <w:t>(a)</w:t>
      </w:r>
      <w:r w:rsidR="00DE5956">
        <w:t>(i)</w:t>
      </w:r>
      <w:r>
        <w:t xml:space="preserve">. </w:t>
      </w:r>
      <w:r w:rsidR="00546E7F" w:rsidRPr="00E9160C">
        <w:rPr>
          <w:w w:val="0"/>
        </w:rPr>
        <w:t xml:space="preserve"> </w:t>
      </w:r>
    </w:p>
    <w:p w14:paraId="1D6C7FA8" w14:textId="66BE961E" w:rsidR="00546E7F" w:rsidRPr="00920903" w:rsidRDefault="00546E7F" w:rsidP="00546E7F">
      <w:pPr>
        <w:pStyle w:val="Heading4"/>
      </w:pPr>
      <w:r w:rsidRPr="00E9160C">
        <w:rPr>
          <w:w w:val="0"/>
        </w:rPr>
        <w:t xml:space="preserve">SCE shall have the right to sell, pledge, rehypothecate, assign, invest, use, commingle or otherwise use in its business any cash that it holds as Project Security hereunder, free from any claim or right of any nature whatsoever of Seller, including any equity or right of redemption by Seller. </w:t>
      </w:r>
    </w:p>
    <w:p w14:paraId="666A05C1" w14:textId="77777777" w:rsidR="00546E7F" w:rsidRPr="0027789B" w:rsidRDefault="00546E7F" w:rsidP="00546E7F">
      <w:pPr>
        <w:pStyle w:val="Heading3"/>
      </w:pPr>
      <w:r w:rsidRPr="0027789B">
        <w:rPr>
          <w:u w:val="single"/>
        </w:rPr>
        <w:t>Letter</w:t>
      </w:r>
      <w:r>
        <w:rPr>
          <w:u w:val="single"/>
        </w:rPr>
        <w:t>s</w:t>
      </w:r>
      <w:r w:rsidRPr="0027789B">
        <w:rPr>
          <w:u w:val="single"/>
        </w:rPr>
        <w:t xml:space="preserve"> of Credit</w:t>
      </w:r>
      <w:r w:rsidRPr="0027789B">
        <w:t>.</w:t>
      </w:r>
    </w:p>
    <w:p w14:paraId="0C6BA006" w14:textId="77777777" w:rsidR="00546E7F" w:rsidRDefault="00546E7F" w:rsidP="00546E7F">
      <w:pPr>
        <w:pStyle w:val="Heading4"/>
      </w:pPr>
      <w:r w:rsidRPr="0027789B">
        <w:t>Each Letter of Credit shall be maintained for the benefit of SCE.</w:t>
      </w:r>
    </w:p>
    <w:p w14:paraId="17E6B0AB" w14:textId="77777777" w:rsidR="00546E7F" w:rsidRPr="0027789B" w:rsidRDefault="00546E7F" w:rsidP="00546E7F">
      <w:pPr>
        <w:pStyle w:val="Heading4"/>
      </w:pPr>
      <w:r w:rsidRPr="0027789B">
        <w:t>Seller shall:</w:t>
      </w:r>
    </w:p>
    <w:p w14:paraId="0814433A" w14:textId="77777777" w:rsidR="00546E7F" w:rsidRPr="0027789B" w:rsidRDefault="00546E7F" w:rsidP="00546E7F">
      <w:pPr>
        <w:pStyle w:val="Heading5"/>
      </w:pPr>
      <w:r w:rsidRPr="0027789B">
        <w:t xml:space="preserve">renew or cause the renewal of each outstanding Letter of Credit </w:t>
      </w:r>
      <w:r>
        <w:rPr>
          <w:w w:val="0"/>
        </w:rPr>
        <w:t>no less than sixty (60) days before its expiration</w:t>
      </w:r>
      <w:r w:rsidRPr="0027789B">
        <w:t>;</w:t>
      </w:r>
    </w:p>
    <w:p w14:paraId="0C63B6E7" w14:textId="77777777" w:rsidR="00546E7F" w:rsidRPr="0027789B" w:rsidRDefault="00546E7F" w:rsidP="00546E7F">
      <w:pPr>
        <w:pStyle w:val="Heading5"/>
      </w:pPr>
      <w:r w:rsidRPr="0027789B">
        <w:t xml:space="preserve">if the </w:t>
      </w:r>
      <w:r>
        <w:t>issuer of</w:t>
      </w:r>
      <w:r w:rsidRPr="0027789B">
        <w:t xml:space="preserve"> an outstanding Letter of Credit has indicated its intent not to renew such Letter of Credit, provide alternative </w:t>
      </w:r>
      <w:r>
        <w:t>Project Security</w:t>
      </w:r>
      <w:r w:rsidRPr="0027789B">
        <w:t xml:space="preserve"> </w:t>
      </w:r>
      <w:r>
        <w:t>no less than</w:t>
      </w:r>
      <w:r w:rsidRPr="0027789B">
        <w:t xml:space="preserve"> twenty (20) Business Days prior to </w:t>
      </w:r>
      <w:r>
        <w:t>its</w:t>
      </w:r>
      <w:r w:rsidRPr="0027789B">
        <w:t xml:space="preserve"> expiration; and</w:t>
      </w:r>
    </w:p>
    <w:p w14:paraId="686C838C" w14:textId="77777777" w:rsidR="00546E7F" w:rsidRPr="0027789B" w:rsidRDefault="00546E7F" w:rsidP="00546E7F">
      <w:pPr>
        <w:pStyle w:val="Heading5"/>
      </w:pPr>
      <w:r w:rsidRPr="0027789B">
        <w:t xml:space="preserve">if the </w:t>
      </w:r>
      <w:r>
        <w:t>issuer of</w:t>
      </w:r>
      <w:r w:rsidRPr="0027789B">
        <w:t xml:space="preserve"> a Letter of Credit fails to honor SCE’s properly documented request to draw on an outstanding Letter of Credit, provide substitute </w:t>
      </w:r>
      <w:r>
        <w:t>Project Security</w:t>
      </w:r>
      <w:r w:rsidRPr="0027789B">
        <w:t xml:space="preserve"> within three (3) Business Days after such refusal</w:t>
      </w:r>
      <w:r>
        <w:t>.</w:t>
      </w:r>
    </w:p>
    <w:p w14:paraId="25FF8494" w14:textId="13F2A475" w:rsidR="00546E7F" w:rsidRPr="0027789B" w:rsidRDefault="00546E7F" w:rsidP="00546E7F">
      <w:pPr>
        <w:pStyle w:val="Heading4"/>
      </w:pPr>
      <w:r w:rsidRPr="0027789B">
        <w:t xml:space="preserve">Upon the occurrence of a Letter of Credit Default, Seller shall provide to SCE alternative </w:t>
      </w:r>
      <w:r>
        <w:t>Project Security</w:t>
      </w:r>
      <w:r w:rsidRPr="0027789B">
        <w:t xml:space="preserve"> on or before the third (3</w:t>
      </w:r>
      <w:r w:rsidRPr="0027789B">
        <w:rPr>
          <w:vertAlign w:val="superscript"/>
        </w:rPr>
        <w:t>rd</w:t>
      </w:r>
      <w:r w:rsidRPr="0027789B">
        <w:t>) Business Day after the occurrence thereof (or the fifth (5</w:t>
      </w:r>
      <w:r w:rsidRPr="0027789B">
        <w:rPr>
          <w:vertAlign w:val="superscript"/>
        </w:rPr>
        <w:t>th</w:t>
      </w:r>
      <w:r w:rsidRPr="0027789B">
        <w:t xml:space="preserve">) Business </w:t>
      </w:r>
      <w:r w:rsidRPr="0027789B">
        <w:lastRenderedPageBreak/>
        <w:t>Day after the occurrence thereof if only clause (</w:t>
      </w:r>
      <w:r w:rsidR="00EB4516">
        <w:t>a</w:t>
      </w:r>
      <w:r w:rsidRPr="0027789B">
        <w:t>) under the definition of Letter of Credit Default applies).</w:t>
      </w:r>
    </w:p>
    <w:p w14:paraId="568DD8C3" w14:textId="77777777" w:rsidR="00546E7F" w:rsidRPr="00867921" w:rsidRDefault="00546E7F" w:rsidP="00546E7F">
      <w:pPr>
        <w:pStyle w:val="Heading4"/>
      </w:pPr>
      <w:r w:rsidRPr="0027789B">
        <w:rPr>
          <w:w w:val="0"/>
          <w:u w:color="000000"/>
        </w:rPr>
        <w:t xml:space="preserve">Upon or at any time after the occurrence and continuation of an Event of Default by Seller, SCE may draw on the entire undrawn portion of any outstanding Letter of Credit upon submission to </w:t>
      </w:r>
      <w:r>
        <w:rPr>
          <w:w w:val="0"/>
          <w:u w:color="000000"/>
        </w:rPr>
        <w:t>the issuer of</w:t>
      </w:r>
      <w:r w:rsidRPr="0027789B">
        <w:rPr>
          <w:w w:val="0"/>
          <w:u w:color="000000"/>
        </w:rPr>
        <w:t xml:space="preserve"> such Letter of Credit of one or more certificates specifying that such Event of Default has occurred and is continuing</w:t>
      </w:r>
      <w:r>
        <w:rPr>
          <w:w w:val="0"/>
          <w:u w:color="000000"/>
        </w:rPr>
        <w:t xml:space="preserve">. </w:t>
      </w:r>
      <w:r w:rsidRPr="00183138">
        <w:t>In addition, SCE will have the right to draw on the Letter of Credit for any of the reasons</w:t>
      </w:r>
      <w:bookmarkStart w:id="343" w:name="_DV_M750"/>
      <w:bookmarkStart w:id="344" w:name="_DV_M751"/>
      <w:bookmarkStart w:id="345" w:name="_DV_M752"/>
      <w:bookmarkEnd w:id="343"/>
      <w:bookmarkEnd w:id="344"/>
      <w:bookmarkEnd w:id="345"/>
      <w:r>
        <w:t xml:space="preserve"> set forth in such Letter of Credit (or its accompanying draw certificate)</w:t>
      </w:r>
      <w:r w:rsidRPr="00183138">
        <w:rPr>
          <w:w w:val="0"/>
        </w:rPr>
        <w:t>.</w:t>
      </w:r>
    </w:p>
    <w:p w14:paraId="1AC1971F" w14:textId="77777777" w:rsidR="00546E7F" w:rsidRPr="0027789B" w:rsidRDefault="00546E7F" w:rsidP="00546E7F">
      <w:pPr>
        <w:pStyle w:val="Heading4"/>
      </w:pPr>
      <w:r w:rsidRPr="0027789B">
        <w:rPr>
          <w:w w:val="0"/>
          <w:u w:color="000000"/>
        </w:rPr>
        <w:t xml:space="preserve">Cash proceeds received by SCE from drawing upon the Letter of Credit shall be deemed </w:t>
      </w:r>
      <w:r>
        <w:rPr>
          <w:w w:val="0"/>
          <w:u w:color="000000"/>
        </w:rPr>
        <w:t>Project Security</w:t>
      </w:r>
      <w:r w:rsidRPr="0027789B">
        <w:rPr>
          <w:w w:val="0"/>
          <w:u w:color="000000"/>
        </w:rPr>
        <w:t xml:space="preserve"> for Seller’s obligations to SCE</w:t>
      </w:r>
      <w:r>
        <w:rPr>
          <w:w w:val="0"/>
          <w:u w:color="000000"/>
        </w:rPr>
        <w:t>,</w:t>
      </w:r>
      <w:r w:rsidRPr="0027789B">
        <w:rPr>
          <w:w w:val="0"/>
          <w:u w:color="000000"/>
        </w:rPr>
        <w:t xml:space="preserve"> and SCE shall have the rights and remedies set forth in </w:t>
      </w:r>
      <w:r>
        <w:rPr>
          <w:w w:val="0"/>
          <w:u w:color="000000"/>
        </w:rPr>
        <w:t>this Agreement</w:t>
      </w:r>
      <w:r w:rsidRPr="0027789B">
        <w:rPr>
          <w:w w:val="0"/>
          <w:u w:color="000000"/>
        </w:rPr>
        <w:t xml:space="preserve"> with respect to such cash proceeds</w:t>
      </w:r>
      <w:r>
        <w:rPr>
          <w:w w:val="0"/>
          <w:u w:color="000000"/>
        </w:rPr>
        <w:t>.</w:t>
      </w:r>
      <w:r w:rsidRPr="00FF157D">
        <w:rPr>
          <w:w w:val="0"/>
          <w:u w:color="000000"/>
        </w:rPr>
        <w:t xml:space="preserve"> </w:t>
      </w:r>
    </w:p>
    <w:p w14:paraId="0FCF316B" w14:textId="77777777" w:rsidR="00546E7F" w:rsidRDefault="00546E7F" w:rsidP="00546E7F">
      <w:pPr>
        <w:pStyle w:val="Heading4"/>
      </w:pPr>
      <w:r w:rsidRPr="0027789B">
        <w:t>In all cases</w:t>
      </w:r>
      <w:r>
        <w:t>,</w:t>
      </w:r>
      <w:r w:rsidRPr="0027789B">
        <w:t xml:space="preserve"> </w:t>
      </w:r>
      <w:r w:rsidRPr="0027789B">
        <w:rPr>
          <w:szCs w:val="24"/>
        </w:rPr>
        <w:t>all costs associated with a Letter of Credit, including</w:t>
      </w:r>
      <w:r w:rsidRPr="0027789B">
        <w:t xml:space="preserve"> the costs and expenses of establishing, renewing, substituting, canceling, and </w:t>
      </w:r>
      <w:r>
        <w:t>changing</w:t>
      </w:r>
      <w:r w:rsidRPr="0027789B">
        <w:t xml:space="preserve"> the amount of a Letter of Credit shall be borne by Seller.</w:t>
      </w:r>
    </w:p>
    <w:p w14:paraId="1AA78F58" w14:textId="77777777" w:rsidR="00546E7F" w:rsidRDefault="00546E7F" w:rsidP="00546E7F">
      <w:pPr>
        <w:pStyle w:val="Heading3"/>
        <w:ind w:left="1764"/>
      </w:pPr>
      <w:bookmarkStart w:id="346" w:name="_Toc470855992"/>
      <w:r>
        <w:rPr>
          <w:u w:val="single"/>
        </w:rPr>
        <w:t xml:space="preserve">Liability Following </w:t>
      </w:r>
      <w:r w:rsidRPr="00BE2BE9">
        <w:rPr>
          <w:u w:val="single"/>
        </w:rPr>
        <w:t>Application of Collateral</w:t>
      </w:r>
      <w:r>
        <w:t xml:space="preserve">. </w:t>
      </w:r>
      <w:r w:rsidRPr="00BE2BE9">
        <w:t>Notwithstanding</w:t>
      </w:r>
      <w:r w:rsidRPr="00774A09">
        <w:t xml:space="preserve"> SCE’s use of cash collateral or receipt of cash proceeds of a drawing under the Letter of Credit</w:t>
      </w:r>
      <w:r>
        <w:t>, Seller shall remain liable for:</w:t>
      </w:r>
    </w:p>
    <w:p w14:paraId="2932E2A9" w14:textId="77777777" w:rsidR="00546E7F" w:rsidRDefault="00546E7F" w:rsidP="00546E7F">
      <w:pPr>
        <w:pStyle w:val="Heading4"/>
      </w:pPr>
      <w:r>
        <w:t>Any failure to provide or maintain the required Project Security if, following such application, the remaining Project Security is less than the amount required hereunder (including failure to replenish cash collateral or a Letter of Credit to the full Project Security amount in the event that SCE uses the cash collateral or draws against the Letter of Credit for any reason other than to satisfy a Termination Payment); or</w:t>
      </w:r>
    </w:p>
    <w:p w14:paraId="202E3002" w14:textId="77777777" w:rsidR="00546E7F" w:rsidRPr="00E9160C" w:rsidRDefault="00546E7F" w:rsidP="00546E7F">
      <w:pPr>
        <w:pStyle w:val="Heading4"/>
      </w:pPr>
      <w:r>
        <w:t>Any amounts owing to SCE that remain unpaid after the application of the amounts drawn by SCE</w:t>
      </w:r>
      <w:r w:rsidRPr="00E9160C">
        <w:rPr>
          <w:w w:val="0"/>
        </w:rPr>
        <w:t>.</w:t>
      </w:r>
    </w:p>
    <w:p w14:paraId="26F48290" w14:textId="77777777" w:rsidR="00546E7F" w:rsidRPr="00FF157D" w:rsidRDefault="00546E7F" w:rsidP="00546E7F">
      <w:pPr>
        <w:pStyle w:val="Heading2"/>
        <w:keepNext w:val="0"/>
        <w:keepLines w:val="0"/>
        <w:rPr>
          <w:u w:val="none"/>
        </w:rPr>
      </w:pPr>
      <w:bookmarkStart w:id="347" w:name="_Toc467577541"/>
      <w:bookmarkStart w:id="348" w:name="_Toc470014801"/>
      <w:bookmarkStart w:id="349" w:name="_Toc510788272"/>
      <w:r>
        <w:t>Grant of</w:t>
      </w:r>
      <w:r w:rsidRPr="0027789B">
        <w:t xml:space="preserve"> Security Interest</w:t>
      </w:r>
      <w:r w:rsidRPr="00FF157D">
        <w:rPr>
          <w:u w:val="none"/>
        </w:rPr>
        <w:t>.</w:t>
      </w:r>
      <w:bookmarkEnd w:id="346"/>
      <w:bookmarkEnd w:id="347"/>
      <w:bookmarkEnd w:id="348"/>
      <w:bookmarkEnd w:id="349"/>
    </w:p>
    <w:p w14:paraId="0D418CE2" w14:textId="77777777" w:rsidR="00546E7F" w:rsidRDefault="00546E7F" w:rsidP="00DB7FE0">
      <w:pPr>
        <w:pStyle w:val="Heading3"/>
        <w:numPr>
          <w:ilvl w:val="0"/>
          <w:numId w:val="0"/>
        </w:numPr>
        <w:ind w:left="864"/>
      </w:pPr>
      <w:r w:rsidRPr="0027789B">
        <w:t xml:space="preserve">To secure </w:t>
      </w:r>
      <w:r>
        <w:t>its</w:t>
      </w:r>
      <w:r w:rsidRPr="0027789B">
        <w:t xml:space="preserve"> performance of its obligations under this Agreement, and until released as provided herein, Seller hereby grants to SCE a present and continuing first-priority security interest (“</w:t>
      </w:r>
      <w:r w:rsidRPr="00DB7FE0">
        <w:rPr>
          <w:u w:val="single"/>
        </w:rPr>
        <w:t>Security Interest</w:t>
      </w:r>
      <w:r w:rsidRPr="0027789B">
        <w:t xml:space="preserve">”) in, and lien on (and right of setoff against), and assignment of the </w:t>
      </w:r>
      <w:r>
        <w:t>Project Security</w:t>
      </w:r>
      <w:r w:rsidRPr="0027789B">
        <w:t xml:space="preserve"> and any and all proceeds resulting therefrom or </w:t>
      </w:r>
      <w:r>
        <w:t xml:space="preserve">from </w:t>
      </w:r>
      <w:r w:rsidRPr="0027789B">
        <w:t xml:space="preserve">the liquidation thereof, whether now or hereafter held by, on behalf of, or for the benefit of SCE, and Seller agrees to take such action as SCE reasonably requires in order to </w:t>
      </w:r>
      <w:r w:rsidRPr="0027789B">
        <w:lastRenderedPageBreak/>
        <w:t>perfect SCE’s Security Interest in, and lien on (and right of setoff against), such collateral and any and all proceeds resulting therefrom or from the liquidation thereof</w:t>
      </w:r>
      <w:r>
        <w:t xml:space="preserve">. </w:t>
      </w:r>
    </w:p>
    <w:p w14:paraId="2380CE4C" w14:textId="22658A89" w:rsidR="00546E7F" w:rsidRPr="001D4101" w:rsidRDefault="00546E7F" w:rsidP="00546E7F">
      <w:pPr>
        <w:pStyle w:val="Heading2"/>
        <w:keepNext w:val="0"/>
        <w:keepLines w:val="0"/>
        <w:rPr>
          <w:u w:val="none"/>
        </w:rPr>
      </w:pPr>
      <w:bookmarkStart w:id="350" w:name="_Toc473213820"/>
      <w:bookmarkStart w:id="351" w:name="_Toc473218295"/>
      <w:bookmarkStart w:id="352" w:name="_Toc510788273"/>
      <w:r w:rsidRPr="00183138">
        <w:t>Remedies</w:t>
      </w:r>
      <w:r w:rsidRPr="001D4101">
        <w:rPr>
          <w:u w:val="none"/>
        </w:rPr>
        <w:t>.</w:t>
      </w:r>
      <w:bookmarkEnd w:id="350"/>
      <w:bookmarkEnd w:id="351"/>
      <w:bookmarkEnd w:id="352"/>
    </w:p>
    <w:p w14:paraId="1F76F28F" w14:textId="77777777" w:rsidR="00546E7F" w:rsidRPr="0001148F" w:rsidRDefault="00546E7F" w:rsidP="00546E7F">
      <w:pPr>
        <w:pStyle w:val="Heading3"/>
        <w:ind w:left="1764"/>
      </w:pPr>
      <w:r w:rsidRPr="0001148F">
        <w:t>Upon or any time after the occurrence or deemed occurrence and during the continuation of an Event of Default or an Early Termination Date, SCE</w:t>
      </w:r>
      <w:r>
        <w:t>, if it is the Non-Defaulting Party,</w:t>
      </w:r>
      <w:r w:rsidRPr="0001148F">
        <w:t xml:space="preserve"> may do any one or more of the following:</w:t>
      </w:r>
    </w:p>
    <w:p w14:paraId="31440D39" w14:textId="77777777" w:rsidR="00546E7F" w:rsidRDefault="00546E7F" w:rsidP="00546E7F">
      <w:pPr>
        <w:pStyle w:val="Heading4"/>
      </w:pPr>
      <w:r w:rsidRPr="008870D9">
        <w:t>exercise any of its rights and remedies with respect to the Project Security, including any such rights and remedies under law then in effect</w:t>
      </w:r>
      <w:r w:rsidRPr="0001148F">
        <w:t xml:space="preserve">; </w:t>
      </w:r>
    </w:p>
    <w:p w14:paraId="1ABC232B" w14:textId="5E9BE961" w:rsidR="00546E7F" w:rsidRDefault="00546E7F" w:rsidP="00546E7F">
      <w:pPr>
        <w:pStyle w:val="Heading4"/>
      </w:pPr>
      <w:r w:rsidRPr="008870D9">
        <w:t xml:space="preserve">exercise </w:t>
      </w:r>
      <w:r w:rsidRPr="0001148F">
        <w:t>any of its ri</w:t>
      </w:r>
      <w:r w:rsidRPr="00FF157D">
        <w:t>g</w:t>
      </w:r>
      <w:r w:rsidRPr="0001148F">
        <w:t xml:space="preserve">hts of setoff against any and all property of Seller in </w:t>
      </w:r>
      <w:r w:rsidR="00BF2472">
        <w:t>the</w:t>
      </w:r>
      <w:r w:rsidR="00BF2472" w:rsidRPr="0001148F">
        <w:t xml:space="preserve"> </w:t>
      </w:r>
      <w:r w:rsidRPr="0001148F">
        <w:t>possession</w:t>
      </w:r>
      <w:r w:rsidR="00BF2472">
        <w:t xml:space="preserve"> of SCE or its agent</w:t>
      </w:r>
      <w:r w:rsidRPr="0001148F">
        <w:t>;</w:t>
      </w:r>
    </w:p>
    <w:p w14:paraId="3E9DEBD5" w14:textId="77777777" w:rsidR="00546E7F" w:rsidRDefault="00546E7F" w:rsidP="00546E7F">
      <w:pPr>
        <w:pStyle w:val="Heading4"/>
      </w:pPr>
      <w:r w:rsidRPr="0001148F">
        <w:t>draw on any outstanding Letter of Credit issued for its benefit; and</w:t>
      </w:r>
    </w:p>
    <w:p w14:paraId="4B6D2198" w14:textId="1E551604" w:rsidR="00546E7F" w:rsidRPr="0001148F" w:rsidRDefault="00546E7F" w:rsidP="00546E7F">
      <w:pPr>
        <w:pStyle w:val="Heading4"/>
      </w:pPr>
      <w:r w:rsidRPr="0001148F">
        <w:t xml:space="preserve">liquidate </w:t>
      </w:r>
      <w:r w:rsidR="004F1EE3">
        <w:t>any</w:t>
      </w:r>
      <w:r w:rsidRPr="0001148F">
        <w:t xml:space="preserve"> </w:t>
      </w:r>
      <w:r>
        <w:t>Project Security</w:t>
      </w:r>
      <w:r w:rsidRPr="0001148F">
        <w:t xml:space="preserve"> then held by or for the benefit of SCE free from any claim or right of any nature whatsoever of Seller, including any equity or right of purchase or redemption by Seller.</w:t>
      </w:r>
    </w:p>
    <w:p w14:paraId="34AEAE8B" w14:textId="77777777" w:rsidR="00546E7F" w:rsidRDefault="00546E7F" w:rsidP="00546E7F">
      <w:pPr>
        <w:pStyle w:val="Heading3"/>
        <w:ind w:left="1764"/>
      </w:pPr>
      <w:r w:rsidRPr="0001148F">
        <w:t>SCE shall apply the proceeds of the collateral realized upon the exercise of any such rights or remedies to reduce Seller’s obligations under this Agreement, subject to SCE’s obligation to return any surplus proceeds remaining after such obligations are satisfied in full.</w:t>
      </w:r>
    </w:p>
    <w:p w14:paraId="2C6ADAAC" w14:textId="77777777" w:rsidR="00546E7F" w:rsidRDefault="00546E7F" w:rsidP="00546E7F">
      <w:pPr>
        <w:pStyle w:val="Heading3"/>
        <w:rPr>
          <w:w w:val="0"/>
        </w:rPr>
      </w:pPr>
      <w:r w:rsidRPr="00183138">
        <w:t>SCE shall be under no obligation to prioritize the order with respect to which it exercises any one or more rights and remedies available hereunder. Seller shall in all events remain liable to SCE for any amount payable by Seller in</w:t>
      </w:r>
      <w:r w:rsidRPr="00E9160C">
        <w:rPr>
          <w:w w:val="0"/>
        </w:rPr>
        <w:t xml:space="preserve"> respect of any of its obligations remaining unpaid after any such liquidation, application and set off.</w:t>
      </w:r>
    </w:p>
    <w:p w14:paraId="1A53B99A" w14:textId="77777777" w:rsidR="00546E7F" w:rsidRPr="001D4101" w:rsidRDefault="00546E7F" w:rsidP="00546E7F">
      <w:pPr>
        <w:pStyle w:val="Heading2"/>
        <w:keepNext w:val="0"/>
        <w:keepLines w:val="0"/>
        <w:rPr>
          <w:u w:val="none"/>
        </w:rPr>
      </w:pPr>
      <w:bookmarkStart w:id="353" w:name="_Toc510788274"/>
      <w:r w:rsidRPr="00CA5B21">
        <w:t>Credit and Collateral Covenants</w:t>
      </w:r>
      <w:r w:rsidRPr="001D4101">
        <w:rPr>
          <w:u w:val="none"/>
        </w:rPr>
        <w:t>.</w:t>
      </w:r>
      <w:bookmarkEnd w:id="353"/>
    </w:p>
    <w:p w14:paraId="1903F681" w14:textId="1F65A654" w:rsidR="00546E7F" w:rsidRPr="00CA5B21" w:rsidRDefault="00546E7F" w:rsidP="00546E7F">
      <w:pPr>
        <w:pStyle w:val="Heading3"/>
      </w:pPr>
      <w:r w:rsidRPr="00CA5B21">
        <w:t xml:space="preserve">Seller shall, from time to time as requested by SCE, execute, acknowledge, record, register, deliver and file all such notices, statements, instruments and other documents as may be necessary or advisable to render fully valid and enforceable under all </w:t>
      </w:r>
      <w:r w:rsidR="006E7922">
        <w:t>A</w:t>
      </w:r>
      <w:r w:rsidR="006E7922" w:rsidRPr="00CA5B21">
        <w:t xml:space="preserve">pplicable </w:t>
      </w:r>
      <w:r w:rsidR="006E7922">
        <w:t>L</w:t>
      </w:r>
      <w:r w:rsidR="006E7922" w:rsidRPr="00CA5B21">
        <w:t xml:space="preserve">aws </w:t>
      </w:r>
      <w:r w:rsidRPr="00CA5B21">
        <w:t>the rights, liens and priorities of SCE with respect to the Security Interest provided for herein and therein.</w:t>
      </w:r>
    </w:p>
    <w:p w14:paraId="4814771F" w14:textId="77777777" w:rsidR="00546E7F" w:rsidRPr="00CA5B21" w:rsidRDefault="00546E7F" w:rsidP="00546E7F">
      <w:pPr>
        <w:pStyle w:val="Heading3"/>
      </w:pPr>
      <w:r w:rsidRPr="00CA5B21">
        <w:t>Seller may not cause or permit the stock, equity ownership interest in Seller or assets of Seller to be pledged or assigned as collateral or otherwise to any party other than Lender</w:t>
      </w:r>
      <w:r>
        <w:t xml:space="preserve"> under a Collateral Assignment Agreement</w:t>
      </w:r>
      <w:r w:rsidRPr="00CA5B21">
        <w:t>.</w:t>
      </w:r>
    </w:p>
    <w:p w14:paraId="542ACC4F" w14:textId="77777777" w:rsidR="00546E7F" w:rsidRPr="00CA5B21" w:rsidRDefault="00546E7F" w:rsidP="00546E7F">
      <w:pPr>
        <w:pStyle w:val="Heading3"/>
      </w:pPr>
      <w:r w:rsidRPr="00CA5B21">
        <w:lastRenderedPageBreak/>
        <w:t xml:space="preserve">Seller </w:t>
      </w:r>
      <w:r>
        <w:t>may</w:t>
      </w:r>
      <w:r w:rsidRPr="00CA5B21">
        <w:t xml:space="preserve"> not hold any material assets, become liable for any material obligations or engage in any material business activities other than the development, construction and </w:t>
      </w:r>
      <w:r>
        <w:t>o</w:t>
      </w:r>
      <w:r w:rsidRPr="00CA5B21">
        <w:t xml:space="preserve">peration of the </w:t>
      </w:r>
      <w:r>
        <w:t>Project.</w:t>
      </w:r>
      <w:r w:rsidRPr="00CA5B21">
        <w:t xml:space="preserve"> </w:t>
      </w:r>
    </w:p>
    <w:p w14:paraId="08ECC9B2" w14:textId="77777777" w:rsidR="00546E7F" w:rsidRPr="00CA5B21" w:rsidRDefault="00546E7F" w:rsidP="00546E7F">
      <w:pPr>
        <w:pStyle w:val="Heading3"/>
      </w:pPr>
      <w:r w:rsidRPr="00CA5B21">
        <w:t xml:space="preserve">Seller </w:t>
      </w:r>
      <w:r>
        <w:t>may</w:t>
      </w:r>
      <w:r w:rsidRPr="00CA5B21">
        <w:t xml:space="preserve"> not own, form or acquire, or otherwise conduct any of its activities through, any direct or indirect subsidiary</w:t>
      </w:r>
      <w:r>
        <w:t>.</w:t>
      </w:r>
    </w:p>
    <w:p w14:paraId="7F0260B7" w14:textId="77777777" w:rsidR="00546E7F" w:rsidRPr="00CA5B21" w:rsidRDefault="00546E7F" w:rsidP="00546E7F">
      <w:pPr>
        <w:pStyle w:val="Heading3"/>
      </w:pPr>
      <w:r w:rsidRPr="00CA5B21">
        <w:t xml:space="preserve">During any period during which Seller is a Defaulting Party, Seller </w:t>
      </w:r>
      <w:r>
        <w:t>shall</w:t>
      </w:r>
      <w:r w:rsidRPr="00CA5B21">
        <w:t xml:space="preserve"> not:</w:t>
      </w:r>
    </w:p>
    <w:p w14:paraId="19454F62" w14:textId="77777777" w:rsidR="00546E7F" w:rsidRPr="00CA5B21" w:rsidRDefault="00546E7F" w:rsidP="00546E7F">
      <w:pPr>
        <w:pStyle w:val="Heading4"/>
      </w:pPr>
      <w:r w:rsidRPr="00CA5B21">
        <w:t>Declare or pay any dividend, or make any other distribution or payment, on account of any equity interest in Seller; or</w:t>
      </w:r>
    </w:p>
    <w:p w14:paraId="130322AB" w14:textId="77777777" w:rsidR="00546E7F" w:rsidRPr="009437EB" w:rsidRDefault="00546E7F" w:rsidP="00546E7F">
      <w:pPr>
        <w:pStyle w:val="Heading4"/>
      </w:pPr>
      <w:r w:rsidRPr="00CA5B21">
        <w:t>Otherwise make any distribution or payment to any Affiliate of Seller.</w:t>
      </w:r>
    </w:p>
    <w:p w14:paraId="7A55B935" w14:textId="77777777" w:rsidR="00546E7F" w:rsidRPr="00FF157D" w:rsidRDefault="00546E7F" w:rsidP="00546E7F">
      <w:pPr>
        <w:pStyle w:val="Heading2"/>
        <w:keepNext w:val="0"/>
        <w:keepLines w:val="0"/>
        <w:rPr>
          <w:u w:val="none"/>
        </w:rPr>
      </w:pPr>
      <w:bookmarkStart w:id="354" w:name="_Toc467577542"/>
      <w:bookmarkStart w:id="355" w:name="_Toc470014802"/>
      <w:bookmarkStart w:id="356" w:name="_Toc470855993"/>
      <w:bookmarkStart w:id="357" w:name="_Toc510788275"/>
      <w:r w:rsidRPr="0027789B">
        <w:t>California Commercial Code Waiver</w:t>
      </w:r>
      <w:r w:rsidRPr="00FF157D">
        <w:rPr>
          <w:u w:val="none"/>
        </w:rPr>
        <w:t>.</w:t>
      </w:r>
      <w:bookmarkEnd w:id="354"/>
      <w:bookmarkEnd w:id="355"/>
      <w:bookmarkEnd w:id="356"/>
      <w:bookmarkEnd w:id="357"/>
    </w:p>
    <w:p w14:paraId="45AF2435" w14:textId="0ADBDA19" w:rsidR="00546E7F" w:rsidRPr="00541852" w:rsidRDefault="00546E7F" w:rsidP="00546E7F">
      <w:pPr>
        <w:pStyle w:val="Heading2Text"/>
      </w:pPr>
      <w:r w:rsidRPr="0027789B">
        <w:t>This Agreement sets forth the entirety of the agreement of the Parties regarding credit, collateral, financial assurances and adequate assurance</w:t>
      </w:r>
      <w:r w:rsidRPr="00541852">
        <w:t xml:space="preserve">s. Except as expressly set forth in this Agreement, including those provisions set forth in Article </w:t>
      </w:r>
      <w:r w:rsidR="009B2ACF">
        <w:t>7</w:t>
      </w:r>
      <w:r w:rsidRPr="00541852">
        <w:t xml:space="preserve"> and Article </w:t>
      </w:r>
      <w:r w:rsidR="009B2ACF">
        <w:t>10</w:t>
      </w:r>
      <w:r w:rsidRPr="00541852">
        <w:t>, neither Party:</w:t>
      </w:r>
    </w:p>
    <w:p w14:paraId="6B0CEC21" w14:textId="77777777" w:rsidR="00546E7F" w:rsidRPr="00541852" w:rsidRDefault="00546E7F" w:rsidP="00546E7F">
      <w:pPr>
        <w:pStyle w:val="Heading3"/>
      </w:pPr>
      <w:r w:rsidRPr="00541852">
        <w:t>has or will have any obligation to post margin, provide letters of credit, pay deposits, make any other prepayments or provide any other financial assurances, in any form whatsoever, or</w:t>
      </w:r>
    </w:p>
    <w:p w14:paraId="69CB96E3" w14:textId="7F4443DD" w:rsidR="00546E7F" w:rsidRPr="00165EAE" w:rsidRDefault="00546E7F" w:rsidP="00546E7F">
      <w:pPr>
        <w:pStyle w:val="Heading3"/>
      </w:pPr>
      <w:r w:rsidRPr="00541852">
        <w:t xml:space="preserve">will have reasonable grounds for insecurity with respect to the creditworthiness of a Party that is complying with the relevant provisions of Article </w:t>
      </w:r>
      <w:r w:rsidR="009B2ACF">
        <w:t>7</w:t>
      </w:r>
      <w:r w:rsidRPr="00541852">
        <w:t xml:space="preserve"> and Article </w:t>
      </w:r>
      <w:r w:rsidR="009B2ACF">
        <w:t>10</w:t>
      </w:r>
      <w:r w:rsidRPr="00541852">
        <w:t>; and all</w:t>
      </w:r>
      <w:r w:rsidRPr="00165EAE">
        <w:t xml:space="preserve"> implied rights relating to financial assurances arising from </w:t>
      </w:r>
      <w:r w:rsidRPr="002F5C7B">
        <w:t>Section 2609 of the</w:t>
      </w:r>
      <w:r w:rsidRPr="00165EAE">
        <w:t xml:space="preserve"> California Commercial Code or case law applying similar doctrines, are hereby waived.</w:t>
      </w:r>
    </w:p>
    <w:p w14:paraId="426867B1" w14:textId="77777777" w:rsidR="00546E7F" w:rsidRPr="00FF157D" w:rsidRDefault="00546E7F" w:rsidP="00546E7F">
      <w:pPr>
        <w:pStyle w:val="Heading2"/>
        <w:keepNext w:val="0"/>
        <w:keepLines w:val="0"/>
        <w:rPr>
          <w:u w:val="none"/>
        </w:rPr>
      </w:pPr>
      <w:bookmarkStart w:id="358" w:name="_Toc510788276"/>
      <w:r w:rsidRPr="0027789B">
        <w:t>Financial Information</w:t>
      </w:r>
      <w:r w:rsidRPr="00FF157D">
        <w:rPr>
          <w:u w:val="none"/>
        </w:rPr>
        <w:t>.</w:t>
      </w:r>
      <w:bookmarkEnd w:id="358"/>
    </w:p>
    <w:p w14:paraId="3A5EDA5A" w14:textId="77777777" w:rsidR="00546E7F" w:rsidRPr="0027789B" w:rsidRDefault="00546E7F" w:rsidP="00546E7F">
      <w:pPr>
        <w:pStyle w:val="Heading2Text"/>
      </w:pPr>
      <w:r w:rsidRPr="0027789B">
        <w:t>If requested by one Party, the other Party shall deliver the following financial statements, which in all cases must be for the most recent accounting period and prepared in accordance with GAAP or IFRS:</w:t>
      </w:r>
    </w:p>
    <w:p w14:paraId="63EB7B7F" w14:textId="77777777" w:rsidR="00546E7F" w:rsidRPr="0027789B" w:rsidRDefault="00546E7F" w:rsidP="00546E7F">
      <w:pPr>
        <w:pStyle w:val="Heading3"/>
        <w:rPr>
          <w:iCs/>
          <w:kern w:val="32"/>
          <w:szCs w:val="24"/>
        </w:rPr>
      </w:pPr>
      <w:r w:rsidRPr="0027789B">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w:t>
      </w:r>
      <w:r>
        <w:t xml:space="preserve"> for the Party</w:t>
      </w:r>
      <w:r w:rsidRPr="0027789B">
        <w:t>; and</w:t>
      </w:r>
    </w:p>
    <w:p w14:paraId="5BED97F1" w14:textId="77777777" w:rsidR="00546E7F" w:rsidRPr="0027789B" w:rsidRDefault="00546E7F" w:rsidP="00546E7F">
      <w:pPr>
        <w:pStyle w:val="Heading3"/>
        <w:rPr>
          <w:iCs/>
          <w:kern w:val="32"/>
          <w:szCs w:val="24"/>
        </w:rPr>
      </w:pPr>
      <w:r w:rsidRPr="0027789B">
        <w:lastRenderedPageBreak/>
        <w:t xml:space="preserve">Within sixty (60) days after the end of each of its first three fiscal quarters of each fiscal year, a copy of its quarterly report containing </w:t>
      </w:r>
      <w:r>
        <w:t xml:space="preserve">unaudited </w:t>
      </w:r>
      <w:r w:rsidRPr="0027789B">
        <w:t>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p>
    <w:p w14:paraId="44EAEC77" w14:textId="690FD537" w:rsidR="00546E7F" w:rsidRPr="0027789B" w:rsidRDefault="00546E7F" w:rsidP="00546E7F">
      <w:pPr>
        <w:pStyle w:val="Heading2Text"/>
      </w:pPr>
      <w:r w:rsidRPr="0027789B">
        <w:t xml:space="preserve">In each case, the financial statements specified above must be certified in accordance with all Applicable Laws, including all applicable SEC rules and regulations, if such Party is an SEC reporting company, or certified by </w:t>
      </w:r>
      <w:r w:rsidR="000344C0" w:rsidRPr="0027789B">
        <w:t xml:space="preserve">the chief financial officer, </w:t>
      </w:r>
      <w:r w:rsidR="003329B7">
        <w:t xml:space="preserve">controller, </w:t>
      </w:r>
      <w:r w:rsidR="000344C0" w:rsidRPr="0027789B">
        <w:t>treasurer or any assistant treasurer of a Party</w:t>
      </w:r>
      <w:r w:rsidR="000344C0">
        <w:t>,</w:t>
      </w:r>
      <w:r w:rsidR="000344C0" w:rsidRPr="0027789B">
        <w:t xml:space="preserve"> or any employee of a Party designated </w:t>
      </w:r>
      <w:r w:rsidR="000344C0" w:rsidRPr="00165EAE">
        <w:t>by any of the foregoing</w:t>
      </w:r>
      <w:r w:rsidR="000344C0">
        <w:t>,</w:t>
      </w:r>
      <w:r w:rsidRPr="0027789B">
        <w:t xml:space="preserve"> as being fairly stated in all material respects (subject to normal </w:t>
      </w:r>
      <w:r w:rsidR="00D700F7" w:rsidRPr="0027789B">
        <w:t>year-end</w:t>
      </w:r>
      <w:r w:rsidRPr="0027789B">
        <w:t xml:space="preserve"> audit adjustments) if such Party is not an SEC reporting company.</w:t>
      </w:r>
    </w:p>
    <w:p w14:paraId="037E6B00" w14:textId="413A60E2" w:rsidR="00546E7F" w:rsidRDefault="00546E7F" w:rsidP="00546E7F">
      <w:pPr>
        <w:pStyle w:val="Heading2Text"/>
      </w:pPr>
      <w:r w:rsidRPr="0027789B">
        <w:t xml:space="preserve">If a Party’s financial statements are publicly available electronically on the website of that Party or the SEC, then the Party shall be deemed to have met the </w:t>
      </w:r>
      <w:r w:rsidRPr="009676F1">
        <w:t xml:space="preserve">requirements of </w:t>
      </w:r>
      <w:r w:rsidRPr="008923FE">
        <w:t>this Section </w:t>
      </w:r>
      <w:r w:rsidR="009B2ACF">
        <w:t>7</w:t>
      </w:r>
      <w:r w:rsidRPr="008923FE">
        <w:t>.08.</w:t>
      </w:r>
      <w:r>
        <w:t xml:space="preserve"> </w:t>
      </w:r>
    </w:p>
    <w:p w14:paraId="23DB8358" w14:textId="77777777" w:rsidR="00546E7F" w:rsidRPr="008B2BAC" w:rsidRDefault="00546E7F" w:rsidP="00546E7F">
      <w:pPr>
        <w:pStyle w:val="Heading2Text"/>
      </w:pPr>
      <w:r w:rsidRPr="0027789B">
        <w:t>Should any such statements not be available on a timely basis due to a delay in preparation or certification, such delay shall not be an Event of Default so long as the producing Party diligently pursues the preparation, certification and delivery of the statements.</w:t>
      </w:r>
    </w:p>
    <w:p w14:paraId="71F32E2E" w14:textId="5CDCD612" w:rsidR="00A01DF3" w:rsidRPr="0027789B" w:rsidRDefault="008E65AA" w:rsidP="00FF157D">
      <w:pPr>
        <w:pStyle w:val="Heading1"/>
        <w:keepNext w:val="0"/>
        <w:keepLines w:val="0"/>
      </w:pPr>
      <w:bookmarkStart w:id="359" w:name="_Toc467577589"/>
      <w:bookmarkStart w:id="360" w:name="_Toc470014849"/>
      <w:bookmarkStart w:id="361" w:name="_Toc470856040"/>
      <w:bookmarkStart w:id="362" w:name="_Toc510788277"/>
      <w:bookmarkEnd w:id="331"/>
      <w:bookmarkEnd w:id="332"/>
      <w:bookmarkEnd w:id="333"/>
      <w:r w:rsidRPr="0027789B">
        <w:t>FORCE MAJEURE</w:t>
      </w:r>
      <w:bookmarkEnd w:id="359"/>
      <w:bookmarkEnd w:id="360"/>
      <w:bookmarkEnd w:id="361"/>
      <w:bookmarkEnd w:id="362"/>
    </w:p>
    <w:p w14:paraId="193F8DBB" w14:textId="77777777" w:rsidR="00C56E4F" w:rsidRPr="001E217F" w:rsidRDefault="008E65AA" w:rsidP="00FF157D">
      <w:pPr>
        <w:pStyle w:val="Heading2"/>
        <w:keepNext w:val="0"/>
        <w:keepLines w:val="0"/>
        <w:rPr>
          <w:u w:val="none"/>
        </w:rPr>
      </w:pPr>
      <w:bookmarkStart w:id="363" w:name="_Toc467577590"/>
      <w:bookmarkStart w:id="364" w:name="_Toc470014850"/>
      <w:bookmarkStart w:id="365" w:name="_Toc470856041"/>
      <w:bookmarkStart w:id="366" w:name="_Toc510788278"/>
      <w:r w:rsidRPr="0027789B">
        <w:t xml:space="preserve">No Default </w:t>
      </w:r>
      <w:r w:rsidRPr="001E217F">
        <w:t>for Force Majeure</w:t>
      </w:r>
      <w:r w:rsidRPr="001E217F">
        <w:rPr>
          <w:u w:val="none"/>
        </w:rPr>
        <w:t>.</w:t>
      </w:r>
      <w:bookmarkEnd w:id="363"/>
      <w:bookmarkEnd w:id="364"/>
      <w:bookmarkEnd w:id="365"/>
      <w:bookmarkEnd w:id="366"/>
    </w:p>
    <w:p w14:paraId="362CEB84" w14:textId="7A4FBC7D" w:rsidR="00A01DF3" w:rsidRDefault="008E65AA" w:rsidP="008B3C43">
      <w:pPr>
        <w:pStyle w:val="Heading3"/>
      </w:pPr>
      <w:r w:rsidRPr="008B3C43">
        <w:rPr>
          <w:color w:val="auto"/>
        </w:rPr>
        <w:t xml:space="preserve">Subject </w:t>
      </w:r>
      <w:r w:rsidRPr="00B022A3">
        <w:t>to Section</w:t>
      </w:r>
      <w:r w:rsidR="000E579A">
        <w:t>s</w:t>
      </w:r>
      <w:r w:rsidRPr="00B022A3">
        <w:t xml:space="preserve"> </w:t>
      </w:r>
      <w:r w:rsidR="00B022A3" w:rsidRPr="00B022A3">
        <w:t>6</w:t>
      </w:r>
      <w:r w:rsidRPr="00B022A3">
        <w:t>.02(f)</w:t>
      </w:r>
      <w:r w:rsidR="003E65A8">
        <w:t xml:space="preserve"> and 6.02(g)</w:t>
      </w:r>
      <w:r w:rsidRPr="00B022A3">
        <w:t>, neither Party will be considered to be in default in the performance of any of its obligations set forth in this Agreement when and to the extent failure of performance is caused by Force Majeure; provided, (a) a failure to make payments when due that accrued prior to the Force Majeure event shall not be excused, and (b) there shall be no Available Capacity or A/S Availability for purposes of calculating any Reduced Monthly Energy Capacity Payment even if the unavailability is due to Force Majeure.</w:t>
      </w:r>
    </w:p>
    <w:p w14:paraId="2F8EAE1A" w14:textId="77777777" w:rsidR="00BF2472" w:rsidRPr="00561154" w:rsidRDefault="00BF2472" w:rsidP="00BF2472">
      <w:pPr>
        <w:pStyle w:val="Heading3"/>
        <w:rPr>
          <w:i/>
          <w:color w:val="00B050"/>
        </w:rPr>
      </w:pPr>
      <w:r w:rsidRPr="00561154">
        <w:rPr>
          <w:i/>
          <w:color w:val="00B050"/>
        </w:rPr>
        <w:t>[Notwithstanding anything in this Agreement to the contrary, a Force Majeure event shall not excuse Seller from its obligations to exercise Maximum Efforts during an N-2 Event or from any liability hereunder arising from failure to perform such obligations.]</w:t>
      </w:r>
    </w:p>
    <w:p w14:paraId="2A3E8821" w14:textId="77777777" w:rsidR="00BF2472" w:rsidRPr="00BF2472" w:rsidRDefault="00BF2472" w:rsidP="008B3C43"/>
    <w:p w14:paraId="745403B6" w14:textId="77777777" w:rsidR="00C56E4F" w:rsidRPr="00B022A3" w:rsidRDefault="008E65AA" w:rsidP="00FF157D">
      <w:pPr>
        <w:pStyle w:val="Heading2"/>
        <w:keepNext w:val="0"/>
        <w:keepLines w:val="0"/>
        <w:rPr>
          <w:u w:val="none"/>
        </w:rPr>
      </w:pPr>
      <w:bookmarkStart w:id="367" w:name="_Toc467577591"/>
      <w:bookmarkStart w:id="368" w:name="_Toc470014851"/>
      <w:bookmarkStart w:id="369" w:name="_Toc470856042"/>
      <w:bookmarkStart w:id="370" w:name="_Toc510788279"/>
      <w:r w:rsidRPr="00B022A3">
        <w:lastRenderedPageBreak/>
        <w:t>Force Majeure Claim</w:t>
      </w:r>
      <w:r w:rsidRPr="00B022A3">
        <w:rPr>
          <w:u w:val="none"/>
        </w:rPr>
        <w:t>.</w:t>
      </w:r>
      <w:bookmarkEnd w:id="367"/>
      <w:bookmarkEnd w:id="368"/>
      <w:bookmarkEnd w:id="369"/>
      <w:bookmarkEnd w:id="370"/>
    </w:p>
    <w:p w14:paraId="561F5860" w14:textId="7CEAF89D" w:rsidR="00A01DF3" w:rsidRPr="0027789B" w:rsidRDefault="008E65AA" w:rsidP="00FF157D">
      <w:pPr>
        <w:pStyle w:val="Heading2Text"/>
      </w:pPr>
      <w:r w:rsidRPr="00B022A3">
        <w:t>Subject to Section</w:t>
      </w:r>
      <w:r w:rsidR="000E579A">
        <w:t>s</w:t>
      </w:r>
      <w:r w:rsidRPr="00B022A3">
        <w:t xml:space="preserve"> </w:t>
      </w:r>
      <w:r w:rsidR="00B022A3" w:rsidRPr="00B022A3">
        <w:t>6</w:t>
      </w:r>
      <w:r w:rsidRPr="00B022A3">
        <w:t>.02(f)</w:t>
      </w:r>
      <w:r w:rsidR="000E579A">
        <w:t xml:space="preserve"> and 6.02(g)</w:t>
      </w:r>
      <w:r w:rsidRPr="00B022A3">
        <w:t>, if, because</w:t>
      </w:r>
      <w:r w:rsidRPr="001E217F">
        <w:t xml:space="preserve"> of a Force Majeure, either Party is unable to perform its obligations under this Agreement, such Party </w:t>
      </w:r>
      <w:r w:rsidR="00C30D42" w:rsidRPr="001E217F">
        <w:t>(the “</w:t>
      </w:r>
      <w:r w:rsidR="00C30D42" w:rsidRPr="001E217F">
        <w:rPr>
          <w:u w:val="single"/>
        </w:rPr>
        <w:t>Claiming Party</w:t>
      </w:r>
      <w:r w:rsidR="00C30D42" w:rsidRPr="001E217F">
        <w:t xml:space="preserve">”) </w:t>
      </w:r>
      <w:r w:rsidRPr="001E217F">
        <w:t>shall be excused from whatever</w:t>
      </w:r>
      <w:r w:rsidRPr="0027789B">
        <w:t xml:space="preserve"> performance is affected by the Force Majeure only to the extent so affected; provided:</w:t>
      </w:r>
    </w:p>
    <w:p w14:paraId="0B8E2D13" w14:textId="77777777" w:rsidR="00A01DF3" w:rsidRPr="0027789B" w:rsidRDefault="008E65AA" w:rsidP="00FF157D">
      <w:pPr>
        <w:pStyle w:val="Heading3"/>
      </w:pPr>
      <w:r w:rsidRPr="0027789B">
        <w:t xml:space="preserve">the Claiming Party, no more than </w:t>
      </w:r>
      <w:r w:rsidR="00E12178" w:rsidRPr="0027789B">
        <w:t xml:space="preserve">fourteen (14) days </w:t>
      </w:r>
      <w:r w:rsidRPr="0027789B">
        <w:t>after the initial occurrence of the claimed Force Majeure, gives the other Party Notice describing the particulars of the occurrence;</w:t>
      </w:r>
    </w:p>
    <w:p w14:paraId="6863EF57" w14:textId="77777777" w:rsidR="00A01DF3" w:rsidRPr="0027789B" w:rsidRDefault="008E65AA" w:rsidP="00FF157D">
      <w:pPr>
        <w:pStyle w:val="Heading3"/>
      </w:pPr>
      <w:r w:rsidRPr="0027789B">
        <w:t>the Claiming Party</w:t>
      </w:r>
      <w:r w:rsidR="00E12178" w:rsidRPr="0027789B">
        <w:t xml:space="preserve"> must provide</w:t>
      </w:r>
      <w:r w:rsidRPr="0027789B">
        <w:t xml:space="preserve"> </w:t>
      </w:r>
      <w:r w:rsidR="00E12178" w:rsidRPr="0027789B">
        <w:t xml:space="preserve">timely </w:t>
      </w:r>
      <w:r w:rsidRPr="0027789B">
        <w:t>evidence reasonably sufficient to establish that the occurrence constitutes a Force Majeure as defined in this Agreement;</w:t>
      </w:r>
    </w:p>
    <w:p w14:paraId="5CE1DAB5" w14:textId="77777777" w:rsidR="00A01DF3" w:rsidRPr="0027789B" w:rsidRDefault="008E65AA" w:rsidP="00FF157D">
      <w:pPr>
        <w:pStyle w:val="Heading3"/>
      </w:pPr>
      <w:r w:rsidRPr="0027789B">
        <w:t>the suspension of performance is of no greater scope and of no longer duration than is required by the Force Majeure; and</w:t>
      </w:r>
    </w:p>
    <w:p w14:paraId="5F90467E" w14:textId="77777777" w:rsidR="00A01DF3" w:rsidRPr="0027789B" w:rsidRDefault="008E65AA" w:rsidP="00FF157D">
      <w:pPr>
        <w:pStyle w:val="Heading3"/>
      </w:pPr>
      <w:r w:rsidRPr="0027789B">
        <w:t xml:space="preserve">as soon as </w:t>
      </w:r>
      <w:r w:rsidR="005A1DEF">
        <w:t xml:space="preserve">the </w:t>
      </w:r>
      <w:r w:rsidRPr="0027789B">
        <w:t>Claiming Party is able to resume performance of its obligations under this Agreement, it shall do so and shall promptly give the other Party Notice of this resumption.</w:t>
      </w:r>
    </w:p>
    <w:p w14:paraId="3CED2977" w14:textId="77777777" w:rsidR="00C56E4F" w:rsidRPr="00FF157D" w:rsidRDefault="008E65AA" w:rsidP="00FF157D">
      <w:pPr>
        <w:pStyle w:val="Heading2"/>
        <w:keepNext w:val="0"/>
        <w:keepLines w:val="0"/>
        <w:rPr>
          <w:u w:val="none"/>
        </w:rPr>
      </w:pPr>
      <w:bookmarkStart w:id="371" w:name="_Toc467577592"/>
      <w:bookmarkStart w:id="372" w:name="_Toc470014852"/>
      <w:bookmarkStart w:id="373" w:name="_Toc470856043"/>
      <w:bookmarkStart w:id="374" w:name="_Toc510788280"/>
      <w:bookmarkStart w:id="375" w:name="_Ref91761721"/>
      <w:r w:rsidRPr="0027789B">
        <w:t>Termination</w:t>
      </w:r>
      <w:r w:rsidRPr="00FF157D">
        <w:rPr>
          <w:u w:val="none"/>
        </w:rPr>
        <w:t>.</w:t>
      </w:r>
      <w:bookmarkEnd w:id="371"/>
      <w:bookmarkEnd w:id="372"/>
      <w:bookmarkEnd w:id="373"/>
      <w:bookmarkEnd w:id="374"/>
    </w:p>
    <w:p w14:paraId="715C7DF7" w14:textId="67F0315B" w:rsidR="007415FA" w:rsidRPr="002F5C7B" w:rsidRDefault="007415FA" w:rsidP="00FF157D">
      <w:pPr>
        <w:pStyle w:val="Heading3"/>
      </w:pPr>
      <w:r w:rsidRPr="0027789B">
        <w:t xml:space="preserve">If Initial Delivery does not occur on or before the Expected Initial Delivery Date as the result of a Force </w:t>
      </w:r>
      <w:r w:rsidRPr="001E217F">
        <w:t xml:space="preserve">Majeure occurring before the Expected Initial Delivery Date and Seller is the Claiming Party, then the Expected Initial Delivery Date will, subject </w:t>
      </w:r>
      <w:r w:rsidRPr="00B06EAD">
        <w:t>to Section</w:t>
      </w:r>
      <w:r w:rsidR="00633AAC">
        <w:t>s</w:t>
      </w:r>
      <w:r w:rsidRPr="00B06EAD">
        <w:t xml:space="preserve"> 2.04</w:t>
      </w:r>
      <w:r w:rsidR="00633AAC">
        <w:t xml:space="preserve"> (Initial Delivery Date) and 2.05 (Initial Delivery Deadline)</w:t>
      </w:r>
      <w:r w:rsidRPr="00B06EAD">
        <w:t xml:space="preserve"> and Seller’s</w:t>
      </w:r>
      <w:r w:rsidRPr="001E217F">
        <w:t xml:space="preserve"> compliance with its obligations as the Claiming Party </w:t>
      </w:r>
      <w:r w:rsidRPr="002F5C7B">
        <w:t xml:space="preserve">under this Article </w:t>
      </w:r>
      <w:r w:rsidR="009B2ACF">
        <w:t>8</w:t>
      </w:r>
      <w:r w:rsidRPr="002F5C7B">
        <w:t>, be extended on a day-for-day basis for the duration of the Force Majeure; provided, if (i) Initial Delivery does not occur before the Initial Delivery Deadline and (ii) such Force Majeure extension coincides with and is beyond the Initial Delivery Deadline, then either Party may terminate this Agreement on Notice, which will be effective five (5) Business Days after such Notice is provided</w:t>
      </w:r>
      <w:r w:rsidR="001D4101" w:rsidRPr="002F5C7B">
        <w:t xml:space="preserve">. </w:t>
      </w:r>
    </w:p>
    <w:p w14:paraId="04594E5E" w14:textId="04663BD5" w:rsidR="007415FA" w:rsidRPr="009676F1" w:rsidRDefault="007415FA" w:rsidP="00FF157D">
      <w:pPr>
        <w:pStyle w:val="Heading3Text"/>
      </w:pPr>
      <w:r w:rsidRPr="002F5C7B">
        <w:t xml:space="preserve">If either Party exercises its termination right pursuant to this Section </w:t>
      </w:r>
      <w:r w:rsidR="009B2ACF">
        <w:t>8</w:t>
      </w:r>
      <w:r w:rsidRPr="002F5C7B">
        <w:t>.03</w:t>
      </w:r>
      <w:r w:rsidRPr="009676F1">
        <w:t>(a), no Termination Payment will be due or owing by either Party, and Seller will be entitled to a return of any Development Security.</w:t>
      </w:r>
    </w:p>
    <w:p w14:paraId="6DFC730C" w14:textId="77777777" w:rsidR="00144F8F" w:rsidRDefault="00240743" w:rsidP="00FF157D">
      <w:pPr>
        <w:pStyle w:val="Heading3"/>
      </w:pPr>
      <w:r w:rsidRPr="009676F1">
        <w:t>During the Delivery Period, either Party may terminate this Agreement on Notice, which will be effective five (5) Business Days after such Notice is provided, if (</w:t>
      </w:r>
      <w:r w:rsidR="007415FA" w:rsidRPr="009676F1">
        <w:t>i</w:t>
      </w:r>
      <w:r w:rsidRPr="009676F1">
        <w:t xml:space="preserve">) an event of Force Majeure extends for more than three hundred sixty-five (365) consecutive days and materially and adversely affects the </w:t>
      </w:r>
      <w:r w:rsidRPr="009676F1">
        <w:lastRenderedPageBreak/>
        <w:t>operations of the Claiming Party, or (</w:t>
      </w:r>
      <w:r w:rsidR="007415FA" w:rsidRPr="009676F1">
        <w:t>ii</w:t>
      </w:r>
      <w:r w:rsidRPr="009676F1">
        <w:t>) the Project is destroyed or rendered inoperable by a Force Majeure, and an independent, third-party engineer determines in writing that the Project cannot be repaired or replaced within six (6) months after the first day of such Force Majeure</w:t>
      </w:r>
      <w:r w:rsidR="001D4101" w:rsidRPr="009676F1">
        <w:t xml:space="preserve">. </w:t>
      </w:r>
    </w:p>
    <w:p w14:paraId="71201355" w14:textId="08D677B1" w:rsidR="00240743" w:rsidRPr="0027789B" w:rsidRDefault="00240743" w:rsidP="00561154">
      <w:pPr>
        <w:pStyle w:val="Heading3"/>
        <w:numPr>
          <w:ilvl w:val="0"/>
          <w:numId w:val="0"/>
        </w:numPr>
        <w:ind w:left="1728"/>
      </w:pPr>
      <w:r w:rsidRPr="009676F1">
        <w:t xml:space="preserve">If either Party exercises its termination right pursuant to </w:t>
      </w:r>
      <w:r w:rsidRPr="002F5C7B">
        <w:t xml:space="preserve">this Section </w:t>
      </w:r>
      <w:r w:rsidR="009B2ACF">
        <w:t>8</w:t>
      </w:r>
      <w:r w:rsidRPr="002F5C7B">
        <w:t>.03</w:t>
      </w:r>
      <w:r w:rsidR="007415FA" w:rsidRPr="002F5C7B">
        <w:t>(b)</w:t>
      </w:r>
      <w:r w:rsidRPr="002F5C7B">
        <w:t>, no Termination</w:t>
      </w:r>
      <w:r w:rsidRPr="009676F1">
        <w:t xml:space="preserve"> P</w:t>
      </w:r>
      <w:r w:rsidRPr="0027789B">
        <w:t xml:space="preserve">ayment will be due or owing by either Party, and Seller will be entitled to a return of any Performance Assurance. </w:t>
      </w:r>
    </w:p>
    <w:p w14:paraId="7692A401" w14:textId="77777777" w:rsidR="00A01DF3" w:rsidRPr="0027789B" w:rsidRDefault="008E65AA" w:rsidP="00FF157D">
      <w:pPr>
        <w:pStyle w:val="Heading1"/>
        <w:keepNext w:val="0"/>
        <w:keepLines w:val="0"/>
      </w:pPr>
      <w:bookmarkStart w:id="376" w:name="_Toc467577593"/>
      <w:bookmarkStart w:id="377" w:name="_Toc470014853"/>
      <w:bookmarkStart w:id="378" w:name="_Toc470856044"/>
      <w:bookmarkStart w:id="379" w:name="_Toc510788281"/>
      <w:bookmarkEnd w:id="375"/>
      <w:r w:rsidRPr="0027789B">
        <w:t>REPRESENTATIONS, WARRANTIES AND COVENANTS</w:t>
      </w:r>
      <w:bookmarkEnd w:id="376"/>
      <w:bookmarkEnd w:id="377"/>
      <w:bookmarkEnd w:id="378"/>
      <w:bookmarkEnd w:id="379"/>
    </w:p>
    <w:p w14:paraId="72AAAB94" w14:textId="77777777" w:rsidR="00C56E4F" w:rsidRPr="00FF157D" w:rsidRDefault="008E65AA" w:rsidP="00FF157D">
      <w:pPr>
        <w:pStyle w:val="Heading2"/>
        <w:keepNext w:val="0"/>
        <w:keepLines w:val="0"/>
        <w:rPr>
          <w:u w:val="none"/>
        </w:rPr>
      </w:pPr>
      <w:bookmarkStart w:id="380" w:name="_Toc467577594"/>
      <w:bookmarkStart w:id="381" w:name="_Toc470014854"/>
      <w:bookmarkStart w:id="382" w:name="_Toc470856045"/>
      <w:bookmarkStart w:id="383" w:name="_Toc510788282"/>
      <w:r w:rsidRPr="0027789B">
        <w:t>Representations and Warranties of Both Parties</w:t>
      </w:r>
      <w:r w:rsidRPr="00FF157D">
        <w:rPr>
          <w:u w:val="none"/>
        </w:rPr>
        <w:t>.</w:t>
      </w:r>
      <w:bookmarkEnd w:id="380"/>
      <w:bookmarkEnd w:id="381"/>
      <w:bookmarkEnd w:id="382"/>
      <w:bookmarkEnd w:id="383"/>
    </w:p>
    <w:p w14:paraId="1885384A" w14:textId="77777777" w:rsidR="00A01DF3" w:rsidRPr="0027789B" w:rsidRDefault="008E65AA" w:rsidP="00FF157D">
      <w:pPr>
        <w:pStyle w:val="Heading2Text"/>
      </w:pPr>
      <w:r w:rsidRPr="0027789B">
        <w:t>As of the Effective Date, each Party represents and warrants to the other Party that:</w:t>
      </w:r>
    </w:p>
    <w:p w14:paraId="49CD3B89" w14:textId="77777777" w:rsidR="00D90EDE" w:rsidRPr="0027789B" w:rsidRDefault="00D90EDE" w:rsidP="00FF157D">
      <w:pPr>
        <w:pStyle w:val="Heading3"/>
      </w:pPr>
      <w:r w:rsidRPr="0027789B">
        <w:rPr>
          <w:rFonts w:eastAsia="Fd177276-Identity-H"/>
        </w:rPr>
        <w:t>It is duly organized, validly existing and in good standing under the laws of the j</w:t>
      </w:r>
      <w:r w:rsidRPr="0027789B">
        <w:t xml:space="preserve">urisdiction </w:t>
      </w:r>
      <w:r w:rsidRPr="0027789B">
        <w:rPr>
          <w:rFonts w:eastAsia="Fd177276-Identity-H"/>
        </w:rPr>
        <w:t>of its formation;</w:t>
      </w:r>
    </w:p>
    <w:p w14:paraId="6171C9A3" w14:textId="77777777" w:rsidR="00D90EDE" w:rsidRPr="0027789B" w:rsidRDefault="00D90EDE" w:rsidP="00FF157D">
      <w:pPr>
        <w:pStyle w:val="Heading3"/>
      </w:pPr>
      <w:r w:rsidRPr="0027789B">
        <w:t>Except for CPUC Approval in the case of SCE, it has or will timely acquire all regulatory authorizations necessary for it to legally perform its obligations under this Agreement;</w:t>
      </w:r>
    </w:p>
    <w:p w14:paraId="65516E5E" w14:textId="77777777" w:rsidR="00D90EDE" w:rsidRPr="0027789B" w:rsidRDefault="00D90EDE" w:rsidP="00FF157D">
      <w:pPr>
        <w:pStyle w:val="Heading3"/>
      </w:pPr>
      <w:r w:rsidRPr="0027789B">
        <w:t>The execution, delivery and performance of this Agreement are within its powers, have been duly authorized by all necessary action and do not violate any of the terms and conditions in its governing documents, any contracts to which it is a party or any Applicable Laws;</w:t>
      </w:r>
    </w:p>
    <w:p w14:paraId="00040B88" w14:textId="77777777" w:rsidR="00D90EDE" w:rsidRPr="0027789B" w:rsidRDefault="00D90EDE" w:rsidP="00FF157D">
      <w:pPr>
        <w:pStyle w:val="Heading3"/>
      </w:pPr>
      <w:r w:rsidRPr="0027789B">
        <w:rPr>
          <w:rFonts w:eastAsia="Fd177276-Identity-H"/>
        </w:rPr>
        <w:t>This Agreement constitutes its legally valid and binding obligation, enforceable against it in accordance with its terms, subject to any Equitable Defenses;</w:t>
      </w:r>
    </w:p>
    <w:p w14:paraId="363B0BCA" w14:textId="77777777" w:rsidR="00D90EDE" w:rsidRPr="0027789B" w:rsidRDefault="00D90EDE" w:rsidP="00FF157D">
      <w:pPr>
        <w:pStyle w:val="Heading3"/>
      </w:pPr>
      <w:r w:rsidRPr="0027789B">
        <w:rPr>
          <w:rFonts w:eastAsia="Fd177276-Identity-H"/>
        </w:rPr>
        <w:t>It is not Bankrupt and there are not proceedings pending or being contemplated by it or, to its knowledge, threatened against it which would result in it being or become Bankrupt;</w:t>
      </w:r>
    </w:p>
    <w:p w14:paraId="124024BF" w14:textId="77777777" w:rsidR="00D90EDE" w:rsidRPr="0027789B" w:rsidRDefault="00D90EDE" w:rsidP="00FF157D">
      <w:pPr>
        <w:pStyle w:val="Heading3"/>
      </w:pPr>
      <w:r w:rsidRPr="0027789B">
        <w:rPr>
          <w:rFonts w:eastAsia="Fd177276-Identity-H"/>
        </w:rPr>
        <w:t>There is not pending, or to its knowledge, threatened against it or, in the case of Seller, any of its Affiliates, any legal proceedings that could materially adversely affect its ability to perform under this Agreement;</w:t>
      </w:r>
    </w:p>
    <w:p w14:paraId="41CE64FD" w14:textId="77777777" w:rsidR="00D90EDE" w:rsidRPr="0027789B" w:rsidRDefault="00D90EDE" w:rsidP="00FF157D">
      <w:pPr>
        <w:pStyle w:val="Heading3"/>
        <w:rPr>
          <w:szCs w:val="24"/>
        </w:rPr>
      </w:pPr>
      <w:r w:rsidRPr="0027789B">
        <w:t>No Event of Default with respect to it has occurred and is continuing and no such event or circumstance would occur as a result of its entering into or performing its obligations under this Agreement;</w:t>
      </w:r>
    </w:p>
    <w:p w14:paraId="26052131" w14:textId="77777777" w:rsidR="00D90EDE" w:rsidRPr="0027789B" w:rsidRDefault="00D90EDE" w:rsidP="00FF157D">
      <w:pPr>
        <w:pStyle w:val="Heading3"/>
        <w:rPr>
          <w:szCs w:val="24"/>
        </w:rPr>
      </w:pPr>
      <w:r w:rsidRPr="0027789B">
        <w:t xml:space="preserve">It is acting for its own account and its decision to enter into this Agreement is based upon its own judgment, not in reliance upon the advice or </w:t>
      </w:r>
      <w:r w:rsidRPr="0027789B">
        <w:lastRenderedPageBreak/>
        <w:t>recommendations of the other Party and it is capable of assessing the merits of and understanding, and understands and accepts the terms, conditions and risks of this Agreement;</w:t>
      </w:r>
    </w:p>
    <w:p w14:paraId="2DD72221" w14:textId="77777777" w:rsidR="00D90EDE" w:rsidRPr="0027789B" w:rsidRDefault="00D90EDE" w:rsidP="00FF157D">
      <w:pPr>
        <w:pStyle w:val="Heading3"/>
      </w:pPr>
      <w:r w:rsidRPr="0027789B">
        <w:rPr>
          <w:rFonts w:eastAsia="Fd177276-Identity-H"/>
        </w:rPr>
        <w:t>It has entered into this Agreement in connection with the conduct of its business and it has the capability or ability to make available or take delivery of, as applicable, the Product under this Agreement in accordance with the terms of this Agreement; and</w:t>
      </w:r>
    </w:p>
    <w:p w14:paraId="314510D9" w14:textId="77777777" w:rsidR="00A01DF3" w:rsidRPr="0027789B" w:rsidRDefault="00D90EDE" w:rsidP="00FF157D">
      <w:pPr>
        <w:pStyle w:val="Heading3"/>
        <w:rPr>
          <w:szCs w:val="24"/>
        </w:rPr>
      </w:pPr>
      <w:r w:rsidRPr="0027789B">
        <w:t>It has not relied upon any promises, representations, statements or information of any kind whatsoever that are not contained in this Agreement in deciding to enter into this Agreement</w:t>
      </w:r>
      <w:r w:rsidRPr="0027789B">
        <w:rPr>
          <w:rFonts w:eastAsia="Fd177276-Identity-H"/>
          <w:szCs w:val="24"/>
        </w:rPr>
        <w:t>.</w:t>
      </w:r>
    </w:p>
    <w:p w14:paraId="41A42BE6" w14:textId="77777777" w:rsidR="00C56E4F" w:rsidRPr="00FF157D" w:rsidRDefault="006B794A" w:rsidP="00FF157D">
      <w:pPr>
        <w:pStyle w:val="Heading2"/>
        <w:keepNext w:val="0"/>
        <w:keepLines w:val="0"/>
        <w:rPr>
          <w:u w:val="none"/>
        </w:rPr>
      </w:pPr>
      <w:bookmarkStart w:id="384" w:name="_Toc467577595"/>
      <w:bookmarkStart w:id="385" w:name="_Toc470014855"/>
      <w:bookmarkStart w:id="386" w:name="_Toc470856046"/>
      <w:bookmarkStart w:id="387" w:name="_Toc510788283"/>
      <w:r w:rsidRPr="0027789B">
        <w:t xml:space="preserve">Additional Seller </w:t>
      </w:r>
      <w:r w:rsidR="008E65AA" w:rsidRPr="0027789B">
        <w:t>Representations</w:t>
      </w:r>
      <w:r w:rsidRPr="0027789B">
        <w:t xml:space="preserve"> and</w:t>
      </w:r>
      <w:r w:rsidR="008E65AA" w:rsidRPr="0027789B">
        <w:t xml:space="preserve"> Warranties</w:t>
      </w:r>
      <w:r w:rsidR="008E65AA" w:rsidRPr="00FF157D">
        <w:rPr>
          <w:u w:val="none"/>
        </w:rPr>
        <w:t>.</w:t>
      </w:r>
      <w:bookmarkEnd w:id="384"/>
      <w:bookmarkEnd w:id="385"/>
      <w:bookmarkEnd w:id="386"/>
      <w:bookmarkEnd w:id="387"/>
    </w:p>
    <w:p w14:paraId="5234F2F1" w14:textId="5F15D870" w:rsidR="00FA6A88" w:rsidRDefault="008E65AA" w:rsidP="00FF157D">
      <w:pPr>
        <w:pStyle w:val="Heading3"/>
      </w:pPr>
      <w:r w:rsidRPr="0027789B">
        <w:t>Seller represents</w:t>
      </w:r>
      <w:r w:rsidR="006B794A" w:rsidRPr="0027789B">
        <w:t xml:space="preserve"> and</w:t>
      </w:r>
      <w:r w:rsidRPr="0027789B">
        <w:t xml:space="preserve"> warrants</w:t>
      </w:r>
      <w:r w:rsidR="00582503" w:rsidRPr="0027789B">
        <w:t xml:space="preserve">, </w:t>
      </w:r>
      <w:r w:rsidRPr="0027789B">
        <w:t>to SCE that</w:t>
      </w:r>
      <w:r w:rsidR="00F218D7" w:rsidRPr="0027789B">
        <w:t xml:space="preserve"> </w:t>
      </w:r>
      <w:r w:rsidR="00604852">
        <w:t xml:space="preserve">no part of </w:t>
      </w:r>
      <w:r w:rsidR="00131EEE" w:rsidRPr="00362F4D">
        <w:t xml:space="preserve">the Project was installed </w:t>
      </w:r>
      <w:r w:rsidR="00604852">
        <w:t>or</w:t>
      </w:r>
      <w:r w:rsidR="00131EEE" w:rsidRPr="00362F4D">
        <w:t xml:space="preserve"> operational</w:t>
      </w:r>
      <w:r w:rsidR="00131EEE" w:rsidRPr="0027789B">
        <w:t xml:space="preserve"> </w:t>
      </w:r>
      <w:r w:rsidR="00604852">
        <w:t>at any time before</w:t>
      </w:r>
      <w:r w:rsidR="00131EEE" w:rsidRPr="0027789B">
        <w:t xml:space="preserve"> January 1, 2010 as provided in the CPUC Decision 13-10-040</w:t>
      </w:r>
      <w:r w:rsidRPr="0027789B">
        <w:t xml:space="preserve"> </w:t>
      </w:r>
      <w:r w:rsidR="00131EEE">
        <w:t>(</w:t>
      </w:r>
      <w:r w:rsidRPr="0027789B">
        <w:t xml:space="preserve">a </w:t>
      </w:r>
      <w:r w:rsidR="00131EEE">
        <w:t>“</w:t>
      </w:r>
      <w:r w:rsidRPr="00DB7FE0">
        <w:rPr>
          <w:u w:val="single"/>
        </w:rPr>
        <w:t>New Resource</w:t>
      </w:r>
      <w:r w:rsidR="00131EEE">
        <w:t>”)</w:t>
      </w:r>
      <w:r w:rsidRPr="0027789B">
        <w:t>.</w:t>
      </w:r>
    </w:p>
    <w:p w14:paraId="5458DFF7" w14:textId="77777777" w:rsidR="0091434C" w:rsidRPr="0027789B" w:rsidRDefault="0091434C" w:rsidP="00673CD7">
      <w:pPr>
        <w:pStyle w:val="Heading3"/>
      </w:pPr>
      <w:r w:rsidRPr="0027789B">
        <w:rPr>
          <w:w w:val="0"/>
        </w:rPr>
        <w:t xml:space="preserve">On each day on which </w:t>
      </w:r>
      <w:r>
        <w:rPr>
          <w:w w:val="0"/>
        </w:rPr>
        <w:t>Project</w:t>
      </w:r>
      <w:r w:rsidRPr="0027789B">
        <w:rPr>
          <w:w w:val="0"/>
        </w:rPr>
        <w:t xml:space="preserve"> Security is held by SCE under this Agreement, Seller hereby represents and warrants that:</w:t>
      </w:r>
    </w:p>
    <w:p w14:paraId="7094ED74" w14:textId="3E6E2B96" w:rsidR="0091434C" w:rsidRPr="0027789B" w:rsidRDefault="0091434C" w:rsidP="00673CD7">
      <w:pPr>
        <w:pStyle w:val="Heading4"/>
      </w:pPr>
      <w:r w:rsidRPr="0027789B">
        <w:rPr>
          <w:w w:val="0"/>
        </w:rPr>
        <w:t xml:space="preserve">Seller has good title to and is the sole owner of such </w:t>
      </w:r>
      <w:r>
        <w:rPr>
          <w:w w:val="0"/>
        </w:rPr>
        <w:t>Project</w:t>
      </w:r>
      <w:r w:rsidRPr="0027789B">
        <w:rPr>
          <w:w w:val="0"/>
        </w:rPr>
        <w:t xml:space="preserve"> Security, and the execution, delivery and performance of the covenants and agreements of this Agreement do not result in the creation or imposition of any lien or security interest upon any of its assets or properties, including the </w:t>
      </w:r>
      <w:r>
        <w:rPr>
          <w:w w:val="0"/>
        </w:rPr>
        <w:t>Project</w:t>
      </w:r>
      <w:r w:rsidRPr="0027789B">
        <w:rPr>
          <w:w w:val="0"/>
        </w:rPr>
        <w:t xml:space="preserve"> Security, other than the security interests and liens created under this Agreement;</w:t>
      </w:r>
    </w:p>
    <w:p w14:paraId="1C667C78" w14:textId="7AC8288B" w:rsidR="0091434C" w:rsidRPr="0027789B" w:rsidRDefault="00A5446C" w:rsidP="00673CD7">
      <w:pPr>
        <w:pStyle w:val="Heading4"/>
      </w:pPr>
      <w:r>
        <w:rPr>
          <w:w w:val="0"/>
        </w:rPr>
        <w:t>U</w:t>
      </w:r>
      <w:r w:rsidRPr="0027789B">
        <w:rPr>
          <w:w w:val="0"/>
        </w:rPr>
        <w:t xml:space="preserve">pon </w:t>
      </w:r>
      <w:r w:rsidR="0091434C" w:rsidRPr="0027789B">
        <w:rPr>
          <w:w w:val="0"/>
        </w:rPr>
        <w:t xml:space="preserve">the </w:t>
      </w:r>
      <w:r w:rsidR="0091434C">
        <w:rPr>
          <w:w w:val="0"/>
        </w:rPr>
        <w:t>posting</w:t>
      </w:r>
      <w:r w:rsidR="0091434C" w:rsidRPr="0027789B">
        <w:rPr>
          <w:w w:val="0"/>
        </w:rPr>
        <w:t xml:space="preserve"> of </w:t>
      </w:r>
      <w:r w:rsidR="0091434C">
        <w:rPr>
          <w:w w:val="0"/>
        </w:rPr>
        <w:t>Project</w:t>
      </w:r>
      <w:r w:rsidR="0091434C" w:rsidRPr="0027789B">
        <w:rPr>
          <w:w w:val="0"/>
        </w:rPr>
        <w:t xml:space="preserve"> Security by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22C1CEDA" w14:textId="77777777" w:rsidR="0091434C" w:rsidRDefault="0091434C" w:rsidP="00673CD7">
      <w:pPr>
        <w:pStyle w:val="Heading4"/>
        <w:rPr>
          <w:w w:val="0"/>
        </w:rPr>
      </w:pPr>
      <w:r w:rsidRPr="0027789B">
        <w:rPr>
          <w:w w:val="0"/>
        </w:rPr>
        <w:t xml:space="preserve">Seller is not and will not become a party to or otherwise be bound by any agreement, other than this Agreement, which restricts in any manner the rights of any present or future holder of any of the </w:t>
      </w:r>
      <w:r>
        <w:rPr>
          <w:w w:val="0"/>
        </w:rPr>
        <w:t>Project</w:t>
      </w:r>
      <w:r w:rsidRPr="0027789B">
        <w:rPr>
          <w:w w:val="0"/>
        </w:rPr>
        <w:t xml:space="preserve"> Security with respect hereto.</w:t>
      </w:r>
    </w:p>
    <w:p w14:paraId="09CCF3E9" w14:textId="4E2E8A94" w:rsidR="003E6501" w:rsidRDefault="003E6501" w:rsidP="00DB7FE0">
      <w:pPr>
        <w:pStyle w:val="Heading3"/>
      </w:pPr>
      <w:r w:rsidRPr="0027789B">
        <w:t xml:space="preserve">As of the Effective Date, </w:t>
      </w:r>
      <w:r w:rsidR="00604852">
        <w:t>Seller represents and</w:t>
      </w:r>
      <w:r w:rsidRPr="0027789B">
        <w:t xml:space="preserve"> warrants to SCE that Seller has not used, granted, pledged, assigned, sold or otherwise committed any Product to meet the RA Compliance Obligations of, or </w:t>
      </w:r>
      <w:r w:rsidR="00D700F7" w:rsidRPr="0027789B">
        <w:t>confer</w:t>
      </w:r>
      <w:r w:rsidR="00D700F7">
        <w:t>red</w:t>
      </w:r>
      <w:r w:rsidRPr="0027789B">
        <w:t xml:space="preserve"> Resource Adequacy Benefits upon, any entity other than SCE during the Delivery Period, except to </w:t>
      </w:r>
      <w:r w:rsidRPr="0027789B">
        <w:lastRenderedPageBreak/>
        <w:t>the extent such benefits are conferred on another entity pursuant to an order of the CPUC or at the direction of SCE</w:t>
      </w:r>
      <w:r>
        <w:t>.</w:t>
      </w:r>
    </w:p>
    <w:p w14:paraId="67BB7ED5" w14:textId="78732A20" w:rsidR="00824E49" w:rsidRPr="00824E49" w:rsidRDefault="00824E49" w:rsidP="00824E49">
      <w:pPr>
        <w:pStyle w:val="Heading3"/>
      </w:pPr>
      <w:r>
        <w:t>Seller represents and warrants to SCE that Seller has provided to SCE a list of services that Seller currently provides to SCE or to any other entity using the Storage Unit(s), in addition to the Product delivered to SCE under this Agreement.</w:t>
      </w:r>
    </w:p>
    <w:p w14:paraId="779307A6" w14:textId="641D3533" w:rsidR="00A6128D" w:rsidRPr="0027789B" w:rsidRDefault="00A6128D" w:rsidP="00A6128D">
      <w:pPr>
        <w:pStyle w:val="Heading2"/>
        <w:keepNext w:val="0"/>
        <w:keepLines w:val="0"/>
      </w:pPr>
      <w:bookmarkStart w:id="388" w:name="_Toc510788284"/>
      <w:r w:rsidRPr="0027789B">
        <w:t>Seller’s Covenants</w:t>
      </w:r>
      <w:r w:rsidRPr="00FF157D">
        <w:rPr>
          <w:u w:val="none"/>
        </w:rPr>
        <w:t>.</w:t>
      </w:r>
      <w:bookmarkEnd w:id="388"/>
    </w:p>
    <w:p w14:paraId="5D9DA6FB" w14:textId="238AFD86" w:rsidR="000C1651" w:rsidRPr="000C1651" w:rsidRDefault="00A6128D" w:rsidP="00A6128D">
      <w:pPr>
        <w:pStyle w:val="Heading3"/>
      </w:pPr>
      <w:r w:rsidRPr="0027789B">
        <w:t>Seller shall own and operate the Project</w:t>
      </w:r>
      <w:r w:rsidR="003E6815">
        <w:t>.</w:t>
      </w:r>
    </w:p>
    <w:p w14:paraId="5E997266" w14:textId="041BD210" w:rsidR="00A6128D" w:rsidRPr="000C1651" w:rsidRDefault="000C1651" w:rsidP="00A6128D">
      <w:pPr>
        <w:pStyle w:val="Heading3"/>
      </w:pPr>
      <w:r w:rsidRPr="000C1651">
        <w:t>Seller shall maintain ownership of and demonstrable exclusive rights to the Project throughout the Term.</w:t>
      </w:r>
    </w:p>
    <w:p w14:paraId="3FC6A013" w14:textId="77777777" w:rsidR="00A6128D" w:rsidRPr="0027789B" w:rsidRDefault="00A6128D" w:rsidP="00A6128D">
      <w:pPr>
        <w:pStyle w:val="Heading3"/>
      </w:pPr>
      <w:r w:rsidRPr="0027789B">
        <w:t>Seller shall deliver to SCE the Product free and clear of all liens, security interests, claims and encumbrances or any interest therein or thereto by any person.</w:t>
      </w:r>
    </w:p>
    <w:p w14:paraId="41F7DDC2" w14:textId="77777777" w:rsidR="00A6128D" w:rsidRPr="0027789B" w:rsidRDefault="00A6128D" w:rsidP="00A6128D">
      <w:pPr>
        <w:pStyle w:val="Heading3"/>
      </w:pPr>
      <w:r w:rsidRPr="0027789B">
        <w:t>Seller shall obtain, maintain and remain in compliance with all Permits, agreements (including interconnection agreements) and rights (including transmission rights) necessary to operate the Project and provide the Product to SCE in accordance with this Agreement.</w:t>
      </w:r>
    </w:p>
    <w:p w14:paraId="5D0321AF" w14:textId="77777777" w:rsidR="00A6128D" w:rsidRPr="0027789B" w:rsidRDefault="00A6128D" w:rsidP="00A6128D">
      <w:pPr>
        <w:pStyle w:val="Heading3"/>
      </w:pPr>
      <w:r w:rsidRPr="0027789B">
        <w:t xml:space="preserve">Seller </w:t>
      </w:r>
      <w:r w:rsidRPr="000C1651">
        <w:t xml:space="preserve">shall maintain and preserve its existence as a </w:t>
      </w:r>
      <w:r w:rsidRPr="00DB7FE0">
        <w:rPr>
          <w:i/>
          <w:color w:val="0000FF"/>
        </w:rPr>
        <w:t>[insert applicable corporate incorporation information]</w:t>
      </w:r>
      <w:r w:rsidRPr="00DB7FE0">
        <w:rPr>
          <w:color w:val="0000FF"/>
        </w:rPr>
        <w:t xml:space="preserve"> </w:t>
      </w:r>
      <w:r w:rsidRPr="000C1651">
        <w:t xml:space="preserve">formed under the laws of the State of </w:t>
      </w:r>
      <w:r w:rsidRPr="00DB7FE0">
        <w:rPr>
          <w:i/>
          <w:color w:val="0000FF"/>
        </w:rPr>
        <w:t>[XX]</w:t>
      </w:r>
      <w:r w:rsidRPr="000C1651">
        <w:rPr>
          <w:color w:val="FF0000"/>
        </w:rPr>
        <w:t xml:space="preserve"> </w:t>
      </w:r>
      <w:r w:rsidRPr="000C1651">
        <w:t>and all material rights, privileges and franchises necessary or desirable to enable it to perform</w:t>
      </w:r>
      <w:r w:rsidRPr="0027789B">
        <w:t xml:space="preserve"> its obligations under this Agreement.</w:t>
      </w:r>
    </w:p>
    <w:p w14:paraId="3C14D71E" w14:textId="4EDCC06C" w:rsidR="00A6128D" w:rsidRPr="0027789B" w:rsidRDefault="00A6128D" w:rsidP="00A6128D">
      <w:pPr>
        <w:pStyle w:val="Heading3"/>
      </w:pPr>
      <w:r w:rsidRPr="0027789B">
        <w:t>Seller shall maintain the Project as fully deliverable for the purposes of counting the Product, in an amount equal to the Contract Capacity, towards RA Compliance Obligations.</w:t>
      </w:r>
    </w:p>
    <w:p w14:paraId="068D7910" w14:textId="262CC3F7" w:rsidR="00A6128D" w:rsidRPr="0027789B" w:rsidRDefault="00A6128D" w:rsidP="00A6128D">
      <w:pPr>
        <w:pStyle w:val="Heading3"/>
      </w:pPr>
      <w:r w:rsidRPr="0027789B">
        <w:t>Seller shall (i) provide all information needed for the Product to be shown on Supply Plans and RA Compliance Showings and to be used to satisfy RA Compliance Obligations, including providing information with respect to the amount of Flexible Capacity and Inflexible Capacity available to be included in any applicable Supply Plan and RA Compliance Showing and (ii) provide any information requested by SCE related to the Project that is required to be provided to the CAISO or CPUC in order for SCE to comply with Applicable Laws.</w:t>
      </w:r>
    </w:p>
    <w:p w14:paraId="7C6A0226" w14:textId="77777777" w:rsidR="00A6128D" w:rsidRPr="0027789B" w:rsidRDefault="00A6128D" w:rsidP="00A6128D">
      <w:pPr>
        <w:pStyle w:val="Heading3"/>
      </w:pPr>
      <w:r w:rsidRPr="0027789B">
        <w:t>Seller shall obtain Site Control by the date specified therefor in the Critical Path Development Milestone Schedule.</w:t>
      </w:r>
    </w:p>
    <w:p w14:paraId="11CE4B70" w14:textId="4E597CE9" w:rsidR="00824E49" w:rsidRDefault="00824E49" w:rsidP="00824E49">
      <w:pPr>
        <w:pStyle w:val="Heading3"/>
        <w:keepNext/>
        <w:keepLines/>
      </w:pPr>
      <w:r>
        <w:lastRenderedPageBreak/>
        <w:t>If Seller agrees to use the Storage Unit(s) to provide any services to SCE or to any other entity in addition to the Product delivered to SCE under this Agreement, Seller shall inform SCE regarding such additional services in writing prior to providing such additional services.</w:t>
      </w:r>
      <w:r w:rsidR="000B03C7">
        <w:t xml:space="preserve"> Upon SCE’s request, Seller shall provide SCE with an update regarding any previously reported additional services or any new additional services delivered to SCE or any other entity.</w:t>
      </w:r>
    </w:p>
    <w:p w14:paraId="3230B266" w14:textId="77777777" w:rsidR="00824E49" w:rsidRDefault="00824E49" w:rsidP="00824E49">
      <w:pPr>
        <w:pStyle w:val="Heading3"/>
        <w:keepNext/>
        <w:keepLines/>
      </w:pPr>
      <w:r>
        <w:t>If Seller uses the Storage Unit(s) to provide any other service to SCE or to any other entity in addition to the Product delivered to SCE under this Agreement, Seller shall do so in compliance with the rules set forth in CPUC Decision (D.) 18-01-003 regarding multiple-use application issues for energy storage devices, as such rules are amended, modified or updated from time to time.</w:t>
      </w:r>
    </w:p>
    <w:p w14:paraId="09E15382" w14:textId="4C9E747E" w:rsidR="00A6128D" w:rsidRPr="0027789B" w:rsidRDefault="00A6128D" w:rsidP="00824E49">
      <w:pPr>
        <w:pStyle w:val="Heading3"/>
      </w:pPr>
      <w:r w:rsidRPr="0027789B">
        <w:t>Throughout the Delivery Period:</w:t>
      </w:r>
    </w:p>
    <w:p w14:paraId="244D64B1" w14:textId="6197FFD6" w:rsidR="00A6128D" w:rsidRPr="0027789B" w:rsidRDefault="00A6128D" w:rsidP="00A6128D">
      <w:pPr>
        <w:pStyle w:val="Heading4"/>
      </w:pPr>
      <w:r w:rsidRPr="0027789B">
        <w:t xml:space="preserve">Seller </w:t>
      </w:r>
      <w:r w:rsidR="00B31125">
        <w:t xml:space="preserve">shall </w:t>
      </w:r>
      <w:r w:rsidRPr="0027789B">
        <w:t>own or ha</w:t>
      </w:r>
      <w:r w:rsidR="00B31125">
        <w:t>ve</w:t>
      </w:r>
      <w:r w:rsidRPr="0027789B">
        <w:t xml:space="preserve"> the exclusive right to the Product, and shall furnish SCE, the CPUC</w:t>
      </w:r>
      <w:r w:rsidR="006E7922">
        <w:t>,</w:t>
      </w:r>
      <w:r w:rsidRPr="0027789B">
        <w:t xml:space="preserve"> each applicable Governmental Authority</w:t>
      </w:r>
      <w:r w:rsidR="006E7922">
        <w:t>, and the CAISO</w:t>
      </w:r>
      <w:r w:rsidRPr="0027789B">
        <w:t xml:space="preserve"> with such evidence as may reasonably be requested to demonstrate such ownership or exclusive right.</w:t>
      </w:r>
    </w:p>
    <w:p w14:paraId="481C9232" w14:textId="77777777" w:rsidR="00A6128D" w:rsidRPr="0027789B" w:rsidRDefault="00A6128D" w:rsidP="00A6128D">
      <w:pPr>
        <w:pStyle w:val="Heading4"/>
      </w:pPr>
      <w:r w:rsidRPr="0027789B">
        <w:t xml:space="preserve">No portion of the Product will be committed by Seller to any third party in order to satisfy RA Compliance Obligations or analogous obligations in any CAISO or non-CAISO markets, other than pursuant to an RMR Contract between the CAISO and Seller. </w:t>
      </w:r>
    </w:p>
    <w:p w14:paraId="61B59F71" w14:textId="56C8DB98" w:rsidR="00D8575F" w:rsidRDefault="00D8575F" w:rsidP="00A6128D">
      <w:pPr>
        <w:pStyle w:val="Heading4"/>
      </w:pPr>
      <w:r>
        <w:t>If the CAISO designates any portion of the Project as CPM Capacity Seller shall, and shall cause each Storage Unit’s SCE to:</w:t>
      </w:r>
    </w:p>
    <w:p w14:paraId="00849901" w14:textId="2EFB52D0" w:rsidR="00D8575F" w:rsidRDefault="00D8575F" w:rsidP="00DB7FE0">
      <w:pPr>
        <w:pStyle w:val="Heading5"/>
      </w:pPr>
      <w:r>
        <w:t>P</w:t>
      </w:r>
      <w:r w:rsidR="00A6128D" w:rsidRPr="0027789B">
        <w:t xml:space="preserve">romptly (and in any event within one (1) Business Day of the time Seller or such SC receives notification from the CAISO) notify SCE and </w:t>
      </w:r>
    </w:p>
    <w:p w14:paraId="0B217557" w14:textId="0FA26B48" w:rsidR="00A6128D" w:rsidRPr="0027789B" w:rsidRDefault="00D8575F" w:rsidP="00DB7FE0">
      <w:pPr>
        <w:pStyle w:val="Heading5"/>
      </w:pPr>
      <w:r>
        <w:t>N</w:t>
      </w:r>
      <w:r w:rsidR="00A6128D" w:rsidRPr="0027789B">
        <w:t>ot accept any such designation by the CAISO unless and until SCE has agreed to accept such designation, provided that SCE shall have the exclusive right to offer the Product and Project, or any portion thereof, to the CAISO as CPM Capacity.</w:t>
      </w:r>
    </w:p>
    <w:p w14:paraId="1D9F30AC" w14:textId="3ECB31F9" w:rsidR="00A6128D" w:rsidRPr="0027789B" w:rsidRDefault="00A6128D" w:rsidP="00A6128D">
      <w:pPr>
        <w:pStyle w:val="Heading4"/>
      </w:pPr>
      <w:r w:rsidRPr="0027789B">
        <w:t>Seller shall, and shall cause each Storage Unit’s SC to comply with Applicable Laws, relating to the Product</w:t>
      </w:r>
      <w:r>
        <w:t xml:space="preserve">. </w:t>
      </w:r>
      <w:r w:rsidRPr="0027789B">
        <w:t xml:space="preserve">SCE shall have no liability for the failure of Seller or the failure of any Storage Unit’s SC to comply with </w:t>
      </w:r>
      <w:r w:rsidR="00F14887">
        <w:t>Applicable Laws</w:t>
      </w:r>
      <w:r w:rsidRPr="0027789B">
        <w:t>, including any penalties, charges or fines imposed on Seller or any Storage Unit’s SC for such noncompliance.</w:t>
      </w:r>
    </w:p>
    <w:p w14:paraId="7F1AF472" w14:textId="77777777" w:rsidR="00A6128D" w:rsidRPr="0027789B" w:rsidRDefault="00A6128D" w:rsidP="00A6128D">
      <w:pPr>
        <w:pStyle w:val="Heading4"/>
      </w:pPr>
      <w:r w:rsidRPr="0027789B">
        <w:lastRenderedPageBreak/>
        <w:t>Seller shall notify the SC of each Storage Unit that Seller has transferred the Product to SCE, with respect to each day of each Showing Month, and shall cause such SC to deliver the Supply Plans in accordance with the CAISO Tariff and this Agreement.</w:t>
      </w:r>
    </w:p>
    <w:p w14:paraId="4820C1EF" w14:textId="77777777" w:rsidR="00A6128D" w:rsidRPr="0027789B" w:rsidRDefault="00A6128D" w:rsidP="00A6128D">
      <w:pPr>
        <w:pStyle w:val="Heading4"/>
      </w:pPr>
      <w:r w:rsidRPr="0027789B">
        <w:t>Seller shall cause each Storage Unit’s SC to provide to the SCE, at least fifteen (15) Business Days before the relevant deadlines for each RA Compliance Showing, the applicable Expected Contract Quantity of such Storage Unit for each day of such Showing Month, including the amount of Flexible Capacity and Inflexible Capacity, that is to be submitted in the Supply Plan associated with this Agreement for the applicable period.</w:t>
      </w:r>
    </w:p>
    <w:p w14:paraId="2BBCC5DE" w14:textId="11A10190" w:rsidR="00A6128D" w:rsidRPr="0027789B" w:rsidRDefault="00A6128D" w:rsidP="00A6128D">
      <w:pPr>
        <w:pStyle w:val="Heading4"/>
      </w:pPr>
      <w:r w:rsidRPr="001E217F">
        <w:t xml:space="preserve">Seller shall notify each Storage Unit’s SC that SCE is entitled to the revenues set forth in </w:t>
      </w:r>
      <w:r w:rsidRPr="00B022A3">
        <w:t xml:space="preserve">Section </w:t>
      </w:r>
      <w:r w:rsidR="00B022A3" w:rsidRPr="00B022A3">
        <w:t>3.07</w:t>
      </w:r>
      <w:r w:rsidRPr="00B022A3">
        <w:t>, and</w:t>
      </w:r>
      <w:r w:rsidRPr="0027789B">
        <w:t xml:space="preserve"> shall cause such SC to promptly deliver those revenues to SCE, along with appropriate documentation supporting the amount of those revenues.</w:t>
      </w:r>
    </w:p>
    <w:p w14:paraId="10094C5E" w14:textId="192F708C" w:rsidR="00A6128D" w:rsidRDefault="00A6128D" w:rsidP="00A6128D">
      <w:pPr>
        <w:pStyle w:val="Heading4"/>
      </w:pPr>
      <w:r w:rsidRPr="0027789B">
        <w:t>Seller shall maintain Site Control.</w:t>
      </w:r>
    </w:p>
    <w:p w14:paraId="19F2E05A" w14:textId="4449F357" w:rsidR="00604852" w:rsidRPr="00604852" w:rsidRDefault="00604852" w:rsidP="00604852">
      <w:pPr>
        <w:pStyle w:val="Heading4"/>
      </w:pPr>
      <w:r>
        <w:t>Seller shall</w:t>
      </w:r>
      <w:r w:rsidRPr="0027789B">
        <w:t xml:space="preserve"> not use, grant, pledge, assign, sell or otherwise commit any Product to meet the RA Compliance Obligations of, or confer Resource Adequacy Benefits upon, any entity other than SCE during the Delivery Period, except to the extent such benefits are conferred on another entity pursuant to an order of the CPUC or at the direction of SCE</w:t>
      </w:r>
      <w:r>
        <w:t>.</w:t>
      </w:r>
    </w:p>
    <w:p w14:paraId="4C5C6D47" w14:textId="14F50FBF" w:rsidR="00673ADF" w:rsidRPr="00673ADF" w:rsidRDefault="00673ADF" w:rsidP="00DB7FE0">
      <w:pPr>
        <w:pStyle w:val="Heading2"/>
        <w:rPr>
          <w:rStyle w:val="Heading4Char"/>
        </w:rPr>
      </w:pPr>
      <w:bookmarkStart w:id="389" w:name="_Toc473805500"/>
      <w:bookmarkStart w:id="390" w:name="_Toc474145103"/>
      <w:bookmarkStart w:id="391" w:name="_Toc474173309"/>
      <w:bookmarkStart w:id="392" w:name="_Toc510788285"/>
      <w:bookmarkStart w:id="393" w:name="_Toc467577477"/>
      <w:bookmarkStart w:id="394" w:name="_Toc470014737"/>
      <w:bookmarkStart w:id="395" w:name="_Toc470855930"/>
      <w:bookmarkStart w:id="396" w:name="_Toc467577598"/>
      <w:bookmarkStart w:id="397" w:name="_Toc470014858"/>
      <w:bookmarkStart w:id="398" w:name="_Toc470856049"/>
      <w:bookmarkStart w:id="399" w:name="_Toc467577606"/>
      <w:bookmarkStart w:id="400" w:name="_Toc470014866"/>
      <w:bookmarkStart w:id="401" w:name="_Toc470856057"/>
      <w:bookmarkEnd w:id="389"/>
      <w:bookmarkEnd w:id="390"/>
      <w:bookmarkEnd w:id="391"/>
      <w:r>
        <w:rPr>
          <w:rStyle w:val="Heading4Char"/>
        </w:rPr>
        <w:t>Resource Adequacy Covenants of the Seller and Buyer</w:t>
      </w:r>
      <w:r w:rsidR="00044D0D">
        <w:rPr>
          <w:rStyle w:val="Heading4Char"/>
          <w:u w:val="none"/>
        </w:rPr>
        <w:t>.</w:t>
      </w:r>
      <w:bookmarkEnd w:id="392"/>
    </w:p>
    <w:p w14:paraId="55697CF8" w14:textId="37E73DFD" w:rsidR="00673ADF" w:rsidRDefault="00673ADF" w:rsidP="00DB7FE0">
      <w:pPr>
        <w:pStyle w:val="Heading2Text"/>
      </w:pPr>
      <w:r w:rsidRPr="00673ADF">
        <w:t xml:space="preserve">Notwithstanding anything to the contrary in this Agreement, the Parties shall take all actions that may be necessary to effect the use of the Resource Adequacy Benefits of the Project in accordance with </w:t>
      </w:r>
      <w:r>
        <w:t xml:space="preserve">Section </w:t>
      </w:r>
      <w:r w:rsidR="0097489D">
        <w:t>1.05(a</w:t>
      </w:r>
      <w:r w:rsidR="003823D1">
        <w:t>)</w:t>
      </w:r>
      <w:r w:rsidRPr="00673ADF">
        <w:t xml:space="preserve"> throughout the Delivery Period, including: </w:t>
      </w:r>
    </w:p>
    <w:p w14:paraId="4D106054" w14:textId="1D02ABAF" w:rsidR="00673ADF" w:rsidRDefault="00673ADF" w:rsidP="00DB7FE0">
      <w:pPr>
        <w:pStyle w:val="Heading3"/>
      </w:pPr>
      <w:r w:rsidRPr="00673ADF">
        <w:t xml:space="preserve">amending this Agreement and complying with </w:t>
      </w:r>
      <w:r w:rsidR="00604852">
        <w:t xml:space="preserve">all current and future </w:t>
      </w:r>
      <w:r w:rsidR="00AC247E">
        <w:t>Applicable Laws</w:t>
      </w:r>
      <w:r w:rsidRPr="00673ADF">
        <w:t>, including all Resource Adequacy Rulings that address Resource Adequacy Benefits and RA Compliance Obligation</w:t>
      </w:r>
      <w:r w:rsidR="00644054">
        <w:t>s</w:t>
      </w:r>
      <w:r w:rsidRPr="00673ADF">
        <w:t xml:space="preserve">, including all performance obligations and penalties related thereto; </w:t>
      </w:r>
    </w:p>
    <w:p w14:paraId="6C82D3DD" w14:textId="40933931" w:rsidR="00673ADF" w:rsidRDefault="00673ADF" w:rsidP="00DB7FE0">
      <w:pPr>
        <w:pStyle w:val="Heading3"/>
      </w:pPr>
      <w:r w:rsidRPr="00673ADF">
        <w:t xml:space="preserve">ensuring that the Project is certified by the CAISO as being fully deliverable </w:t>
      </w:r>
      <w:r w:rsidRPr="00673ADF">
        <w:rPr>
          <w:rStyle w:val="DeltaViewInsertion"/>
          <w:b w:val="0"/>
          <w:u w:val="none"/>
        </w:rPr>
        <w:t>as of the Initial Delivery Date</w:t>
      </w:r>
      <w:r w:rsidRPr="00673ADF">
        <w:rPr>
          <w:b/>
          <w:color w:val="000000"/>
        </w:rPr>
        <w:t xml:space="preserve"> </w:t>
      </w:r>
      <w:r w:rsidRPr="00673ADF">
        <w:t xml:space="preserve">for the purposes of counting all of the Project’s Capacity Attributes towards SCE’s RA Compliance Obligations; and </w:t>
      </w:r>
    </w:p>
    <w:p w14:paraId="3BA7FEC7" w14:textId="665A1088" w:rsidR="00673ADF" w:rsidRDefault="00673ADF" w:rsidP="00DB7FE0">
      <w:pPr>
        <w:pStyle w:val="Heading3"/>
      </w:pPr>
      <w:r w:rsidRPr="00673ADF">
        <w:lastRenderedPageBreak/>
        <w:t xml:space="preserve">executing all documents or instruments; but excluding, in each case, any action which is inconsistent with any Applicable Laws or any Permit; </w:t>
      </w:r>
    </w:p>
    <w:p w14:paraId="6C22BA3E" w14:textId="36E5F4AE" w:rsidR="00673ADF" w:rsidRPr="00673ADF" w:rsidRDefault="00673ADF" w:rsidP="00DB7FE0">
      <w:pPr>
        <w:pStyle w:val="Heading2Text"/>
      </w:pPr>
      <w:r w:rsidRPr="00673ADF">
        <w:t xml:space="preserve">provided, however, that no such action shall require Seller to modify the Project, except to the extent set forth in </w:t>
      </w:r>
      <w:r w:rsidRPr="000678FD">
        <w:t>Sections 6.01 and 6.02.</w:t>
      </w:r>
    </w:p>
    <w:p w14:paraId="6E00A080" w14:textId="5C73742C" w:rsidR="00D509A2" w:rsidRPr="0027789B" w:rsidRDefault="00D509A2" w:rsidP="00D509A2">
      <w:pPr>
        <w:pStyle w:val="Heading1"/>
        <w:keepNext w:val="0"/>
        <w:keepLines w:val="0"/>
      </w:pPr>
      <w:bookmarkStart w:id="402" w:name="_Toc510788286"/>
      <w:r w:rsidRPr="0027789B">
        <w:t>EVENTS OF DEFAULT; TERMINATION</w:t>
      </w:r>
      <w:bookmarkEnd w:id="393"/>
      <w:bookmarkEnd w:id="394"/>
      <w:bookmarkEnd w:id="395"/>
      <w:bookmarkEnd w:id="402"/>
    </w:p>
    <w:p w14:paraId="291A31B5" w14:textId="77777777" w:rsidR="00D509A2" w:rsidRPr="00FF157D" w:rsidRDefault="00D509A2" w:rsidP="00D509A2">
      <w:pPr>
        <w:pStyle w:val="Heading2"/>
        <w:keepNext w:val="0"/>
        <w:keepLines w:val="0"/>
        <w:rPr>
          <w:u w:val="none"/>
        </w:rPr>
      </w:pPr>
      <w:bookmarkStart w:id="403" w:name="_Toc467577478"/>
      <w:bookmarkStart w:id="404" w:name="_Toc470014738"/>
      <w:bookmarkStart w:id="405" w:name="_Toc470855931"/>
      <w:bookmarkStart w:id="406" w:name="_Toc510788287"/>
      <w:r w:rsidRPr="0027789B">
        <w:t>Events of Default</w:t>
      </w:r>
      <w:r w:rsidRPr="00FF157D">
        <w:rPr>
          <w:u w:val="none"/>
        </w:rPr>
        <w:t>.</w:t>
      </w:r>
      <w:bookmarkEnd w:id="403"/>
      <w:bookmarkEnd w:id="404"/>
      <w:bookmarkEnd w:id="405"/>
      <w:bookmarkEnd w:id="406"/>
    </w:p>
    <w:p w14:paraId="6CF1B31C" w14:textId="77777777" w:rsidR="00D509A2" w:rsidRPr="0027789B" w:rsidRDefault="00D509A2" w:rsidP="00D509A2">
      <w:pPr>
        <w:pStyle w:val="Heading2Text"/>
      </w:pPr>
      <w:r w:rsidRPr="0027789B">
        <w:t>An “</w:t>
      </w:r>
      <w:r w:rsidRPr="0027789B">
        <w:rPr>
          <w:u w:val="single"/>
        </w:rPr>
        <w:t>Event of Default</w:t>
      </w:r>
      <w:r w:rsidRPr="0027789B">
        <w:t>” means, with respect to a Party (</w:t>
      </w:r>
      <w:r>
        <w:t>a</w:t>
      </w:r>
      <w:r w:rsidRPr="0027789B">
        <w:t xml:space="preserve"> “</w:t>
      </w:r>
      <w:r w:rsidRPr="0027789B">
        <w:rPr>
          <w:u w:val="single"/>
        </w:rPr>
        <w:t>Defaulting Party</w:t>
      </w:r>
      <w:r w:rsidRPr="0027789B">
        <w:t>”), the occurrence of any of the following:</w:t>
      </w:r>
    </w:p>
    <w:p w14:paraId="0F712885" w14:textId="77777777" w:rsidR="00D509A2" w:rsidRDefault="00D509A2" w:rsidP="00D509A2">
      <w:pPr>
        <w:pStyle w:val="Heading3"/>
        <w:rPr>
          <w:rFonts w:eastAsia="Fd177276-Identity-H"/>
        </w:rPr>
      </w:pPr>
      <w:r>
        <w:rPr>
          <w:rFonts w:eastAsia="Fd177276-Identity-H"/>
        </w:rPr>
        <w:t>With respect to either Party:</w:t>
      </w:r>
    </w:p>
    <w:p w14:paraId="032C26CD" w14:textId="77777777" w:rsidR="00D509A2" w:rsidRPr="009B3FA5" w:rsidRDefault="00D509A2" w:rsidP="00D509A2">
      <w:pPr>
        <w:pStyle w:val="Heading4"/>
        <w:rPr>
          <w:rFonts w:eastAsia="Fd177276-Identity-H"/>
        </w:rPr>
      </w:pPr>
      <w:r w:rsidRPr="0027789B">
        <w:rPr>
          <w:rFonts w:eastAsia="Fd177276-Identity-H"/>
        </w:rPr>
        <w:t xml:space="preserve">Such Party fails to make when due any payment required under this Agreement and this failure is not cured within five (5) Business Days after Notice of the failure; </w:t>
      </w:r>
    </w:p>
    <w:p w14:paraId="4FD92797" w14:textId="77777777" w:rsidR="00D509A2" w:rsidRPr="0027789B" w:rsidRDefault="00D509A2" w:rsidP="00D509A2">
      <w:pPr>
        <w:pStyle w:val="Heading4"/>
        <w:rPr>
          <w:rFonts w:eastAsia="Fd177276-Identity-H"/>
        </w:rPr>
      </w:pPr>
      <w:r w:rsidRPr="0027789B">
        <w:rPr>
          <w:rFonts w:eastAsia="Fd177276-Identity-H"/>
        </w:rPr>
        <w:t xml:space="preserve">Any representation or warranty made by such Party herein is false or misleading in any material respect when made or when deemed made or repeated if the representation or warranty is continuing in nature, </w:t>
      </w:r>
      <w:r w:rsidRPr="00FF157D">
        <w:t>provided,</w:t>
      </w:r>
      <w:r w:rsidRPr="0027789B">
        <w:rPr>
          <w:rFonts w:eastAsia="Fd177276-Identity-H"/>
        </w:rPr>
        <w:t xml:space="preserve"> if the misrepresentation or breach of warranty is capable of a cure, an Event of Default will be deemed to occur if the misrepresentation or breach of warranty is not remedied within five (5) Business Days after Notice from the non-breaching Party; </w:t>
      </w:r>
    </w:p>
    <w:p w14:paraId="58D0B0A3" w14:textId="77777777" w:rsidR="00D509A2" w:rsidRPr="0027789B" w:rsidRDefault="00D509A2" w:rsidP="00D509A2">
      <w:pPr>
        <w:pStyle w:val="Heading4"/>
        <w:rPr>
          <w:rFonts w:eastAsia="Fd177276-Identity-H"/>
        </w:rPr>
      </w:pPr>
      <w:r>
        <w:rPr>
          <w:rFonts w:eastAsia="Fd177276-Identity-H"/>
        </w:rPr>
        <w:t>Such Party fails</w:t>
      </w:r>
      <w:r w:rsidRPr="0027789B">
        <w:rPr>
          <w:rFonts w:eastAsia="Fd177276-Identity-H"/>
        </w:rPr>
        <w:t xml:space="preserve"> to perform any material covenant or obligation set forth in this Agreement (except to the extent constituting a separate Event of Default) if such failure is not remedied within thirty (30) days after Notice of the failure, which Notice sets forth in reasonable detail the nature of the failure; </w:t>
      </w:r>
      <w:r w:rsidRPr="00FF157D">
        <w:t>provided</w:t>
      </w:r>
      <w:r w:rsidRPr="0027789B">
        <w:rPr>
          <w:rFonts w:eastAsia="Fd177276-Identity-H"/>
        </w:rPr>
        <w:t>, if the failure is not reasonably capable of being cured within the thirty (30) day cure period specified above, the Party will have such additional time (not exceeding an additional sixty (60) days) as is reasonably necessary to cure the failure, so long as the Party promptly commences and diligently pursues the cure;</w:t>
      </w:r>
      <w:r>
        <w:rPr>
          <w:rFonts w:eastAsia="Fd177276-Identity-H"/>
        </w:rPr>
        <w:t xml:space="preserve"> or</w:t>
      </w:r>
    </w:p>
    <w:p w14:paraId="59153375" w14:textId="77777777" w:rsidR="00D509A2" w:rsidRPr="00867921" w:rsidRDefault="00D509A2" w:rsidP="00D509A2">
      <w:pPr>
        <w:pStyle w:val="Heading4"/>
        <w:rPr>
          <w:rFonts w:eastAsia="Fd177276-Identity-H"/>
        </w:rPr>
      </w:pPr>
      <w:r w:rsidRPr="00867921">
        <w:rPr>
          <w:rFonts w:eastAsia="Fd177276-Identity-H"/>
        </w:rPr>
        <w:t>Such Party becomes Bankrupt.</w:t>
      </w:r>
    </w:p>
    <w:p w14:paraId="1D63EBF8" w14:textId="77777777" w:rsidR="00D509A2" w:rsidRPr="0027789B" w:rsidRDefault="00D509A2" w:rsidP="00D509A2">
      <w:pPr>
        <w:pStyle w:val="Heading3"/>
      </w:pPr>
      <w:r>
        <w:t>With respect to Seller</w:t>
      </w:r>
      <w:r w:rsidRPr="0027789B">
        <w:t>:</w:t>
      </w:r>
    </w:p>
    <w:p w14:paraId="1D60421E" w14:textId="77777777" w:rsidR="00D509A2" w:rsidRPr="0084576D" w:rsidRDefault="00D509A2" w:rsidP="00D509A2">
      <w:pPr>
        <w:pStyle w:val="Heading4"/>
        <w:rPr>
          <w:rFonts w:eastAsia="Fd177276-Identity-H"/>
        </w:rPr>
      </w:pPr>
      <w:r w:rsidRPr="0027789B">
        <w:rPr>
          <w:rFonts w:eastAsia="Fd177276-Identity-H"/>
        </w:rPr>
        <w:t>Seller</w:t>
      </w:r>
      <w:r w:rsidRPr="00867921">
        <w:rPr>
          <w:rFonts w:eastAsia="Fd177276-Identity-H"/>
        </w:rPr>
        <w:t xml:space="preserve"> consolidates or amalgamates with, or merges with or into, or transfers all or substantially all of its assets to, another entity and, at the time of such consolidation, amalgamation, merger or transfer, the </w:t>
      </w:r>
      <w:r w:rsidRPr="00867921">
        <w:rPr>
          <w:rFonts w:eastAsia="Fd177276-Identity-H"/>
        </w:rPr>
        <w:lastRenderedPageBreak/>
        <w:t xml:space="preserve">resulting, surviving or transferee entity fails to assume all the obligations of Seller under this Agreement either by operation of law or </w:t>
      </w:r>
      <w:r w:rsidRPr="0084576D">
        <w:rPr>
          <w:rFonts w:eastAsia="Fd177276-Identity-H"/>
        </w:rPr>
        <w:t>pursuant to an agreement reasonably satisfactory to SCE;</w:t>
      </w:r>
    </w:p>
    <w:p w14:paraId="10D53525" w14:textId="050C04C7" w:rsidR="00D509A2" w:rsidRPr="0084576D" w:rsidRDefault="00D509A2" w:rsidP="00D509A2">
      <w:pPr>
        <w:pStyle w:val="Heading4"/>
      </w:pPr>
      <w:r w:rsidRPr="0084576D">
        <w:t xml:space="preserve">Seller fails to satisfy the credit and collateral requirements set forth in </w:t>
      </w:r>
      <w:r w:rsidRPr="008923FE">
        <w:t>Article </w:t>
      </w:r>
      <w:r w:rsidR="009B2ACF">
        <w:t>7</w:t>
      </w:r>
      <w:r w:rsidRPr="008923FE">
        <w:t>, including</w:t>
      </w:r>
      <w:r w:rsidRPr="0084576D">
        <w:t xml:space="preserve"> failure to post or maintain Project Security, and such failure is not cured within three (3) Business Days after Notice from SCE;</w:t>
      </w:r>
    </w:p>
    <w:p w14:paraId="5E64816A" w14:textId="283930DC" w:rsidR="00D509A2" w:rsidRPr="0084576D" w:rsidRDefault="00D509A2" w:rsidP="00D509A2">
      <w:pPr>
        <w:pStyle w:val="Heading4"/>
        <w:rPr>
          <w:rFonts w:eastAsia="Fd177276-Identity-H"/>
        </w:rPr>
      </w:pPr>
      <w:r w:rsidRPr="0084576D">
        <w:rPr>
          <w:rFonts w:eastAsia="Fd177276-Identity-H"/>
        </w:rPr>
        <w:t>Seller fails to achieve the Initial Delivery Date for the Project by the Initial Delivery Deadline except if (</w:t>
      </w:r>
      <w:r w:rsidR="00945CE0">
        <w:rPr>
          <w:rFonts w:eastAsia="Fd177276-Identity-H"/>
        </w:rPr>
        <w:t>A</w:t>
      </w:r>
      <w:r w:rsidRPr="0084576D">
        <w:rPr>
          <w:rFonts w:eastAsia="Fd177276-Identity-H"/>
        </w:rPr>
        <w:t xml:space="preserve">) the cause of such failure is due to an </w:t>
      </w:r>
      <w:r w:rsidRPr="006179DF">
        <w:rPr>
          <w:rFonts w:eastAsia="Fd177276-Identity-H"/>
        </w:rPr>
        <w:t>event of Force Majeure, (</w:t>
      </w:r>
      <w:r w:rsidR="00945CE0" w:rsidRPr="006179DF">
        <w:rPr>
          <w:rFonts w:eastAsia="Fd177276-Identity-H"/>
        </w:rPr>
        <w:t>B</w:t>
      </w:r>
      <w:r w:rsidRPr="006179DF">
        <w:rPr>
          <w:rFonts w:eastAsia="Fd177276-Identity-H"/>
        </w:rPr>
        <w:t xml:space="preserve">) Seller has complied with its obligations under Article </w:t>
      </w:r>
      <w:r w:rsidR="009B2ACF">
        <w:rPr>
          <w:rFonts w:eastAsia="Fd177276-Identity-H"/>
        </w:rPr>
        <w:t>8</w:t>
      </w:r>
      <w:r w:rsidRPr="006179DF">
        <w:rPr>
          <w:rFonts w:eastAsia="Fd177276-Identity-H"/>
        </w:rPr>
        <w:t xml:space="preserve"> as the Claiming Party, and (</w:t>
      </w:r>
      <w:r w:rsidR="00945CE0" w:rsidRPr="006179DF">
        <w:rPr>
          <w:rFonts w:eastAsia="Fd177276-Identity-H"/>
        </w:rPr>
        <w:t>C</w:t>
      </w:r>
      <w:r w:rsidRPr="006179DF">
        <w:rPr>
          <w:rFonts w:eastAsia="Fd177276-Identity-H"/>
        </w:rPr>
        <w:t>) th</w:t>
      </w:r>
      <w:r w:rsidR="008B6681">
        <w:rPr>
          <w:rFonts w:eastAsia="Fd177276-Identity-H"/>
        </w:rPr>
        <w:t>is</w:t>
      </w:r>
      <w:r w:rsidRPr="006179DF">
        <w:rPr>
          <w:rFonts w:eastAsia="Fd177276-Identity-H"/>
        </w:rPr>
        <w:t xml:space="preserve"> Agreement is subject to termination under Section </w:t>
      </w:r>
      <w:r w:rsidR="009B2ACF">
        <w:rPr>
          <w:rFonts w:eastAsia="Fd177276-Identity-H"/>
        </w:rPr>
        <w:t>8</w:t>
      </w:r>
      <w:r w:rsidRPr="006179DF">
        <w:rPr>
          <w:rFonts w:eastAsia="Fd177276-Identity-H"/>
        </w:rPr>
        <w:t>.03(a);</w:t>
      </w:r>
    </w:p>
    <w:p w14:paraId="50C5A975" w14:textId="77777777" w:rsidR="00D509A2" w:rsidRPr="00867921" w:rsidRDefault="00D509A2" w:rsidP="00D509A2">
      <w:pPr>
        <w:pStyle w:val="Heading4"/>
        <w:rPr>
          <w:rFonts w:eastAsia="Fd177276-Identity-H"/>
        </w:rPr>
      </w:pPr>
      <w:r w:rsidRPr="00867921">
        <w:rPr>
          <w:rFonts w:eastAsia="Fd177276-Identity-H"/>
        </w:rPr>
        <w:t>Seller intentionally or knowingly delivers, or attempts to deliver Product for sale under this Agreement that is not associated with the Project;</w:t>
      </w:r>
    </w:p>
    <w:p w14:paraId="4A02C133" w14:textId="77777777" w:rsidR="00D509A2" w:rsidRPr="00867921" w:rsidRDefault="00D509A2" w:rsidP="00D509A2">
      <w:pPr>
        <w:pStyle w:val="Heading4"/>
        <w:rPr>
          <w:rFonts w:eastAsia="Fd177276-Identity-H"/>
        </w:rPr>
      </w:pPr>
      <w:r w:rsidRPr="00867921">
        <w:rPr>
          <w:rFonts w:eastAsia="Fd177276-Identity-H"/>
        </w:rPr>
        <w:t>Seller removes from the Site equipment upon which the Capacity has been based, except for the purposes of replacement, refurbishment, repair or maintenance, and the equipment is not returned within five (5) Business Days after Notice from SCE;</w:t>
      </w:r>
    </w:p>
    <w:p w14:paraId="66BA973E" w14:textId="77777777" w:rsidR="00D509A2" w:rsidRPr="00867921" w:rsidRDefault="00D509A2" w:rsidP="00D509A2">
      <w:pPr>
        <w:pStyle w:val="Heading4"/>
        <w:rPr>
          <w:rFonts w:eastAsia="Fd177276-Identity-H"/>
        </w:rPr>
      </w:pPr>
      <w:r w:rsidRPr="00867921">
        <w:rPr>
          <w:rFonts w:eastAsia="Fd177276-Identity-H"/>
        </w:rPr>
        <w:t>A termination of service under any agreement necessary for Seller:</w:t>
      </w:r>
    </w:p>
    <w:p w14:paraId="1F491DEF" w14:textId="77777777" w:rsidR="00D509A2" w:rsidRPr="00867921" w:rsidRDefault="00D509A2" w:rsidP="00D509A2">
      <w:pPr>
        <w:pStyle w:val="Heading5"/>
        <w:rPr>
          <w:rFonts w:eastAsia="Fd177276-Identity-H"/>
        </w:rPr>
      </w:pPr>
      <w:r w:rsidRPr="00867921">
        <w:rPr>
          <w:rFonts w:eastAsia="Fd177276-Identity-H"/>
        </w:rPr>
        <w:t>To interconnect the Project to the Transmission Provider’s electric system;</w:t>
      </w:r>
    </w:p>
    <w:p w14:paraId="530E2FB1" w14:textId="77777777" w:rsidR="00D509A2" w:rsidRPr="00867921" w:rsidRDefault="00D509A2" w:rsidP="00D509A2">
      <w:pPr>
        <w:pStyle w:val="Heading5"/>
        <w:rPr>
          <w:rFonts w:eastAsia="Fd177276-Identity-H"/>
        </w:rPr>
      </w:pPr>
      <w:r w:rsidRPr="00867921">
        <w:rPr>
          <w:rFonts w:eastAsia="Fd177276-Identity-H"/>
        </w:rPr>
        <w:t>To transmit the electric energy on the Transmission Provider’s electric system; or</w:t>
      </w:r>
    </w:p>
    <w:p w14:paraId="62487948" w14:textId="77777777" w:rsidR="00D509A2" w:rsidRPr="00867921" w:rsidRDefault="00D509A2" w:rsidP="00D509A2">
      <w:pPr>
        <w:pStyle w:val="Heading5"/>
        <w:rPr>
          <w:rFonts w:eastAsia="Fd177276-Identity-H"/>
        </w:rPr>
      </w:pPr>
      <w:r w:rsidRPr="00867921">
        <w:rPr>
          <w:rFonts w:eastAsia="Fd177276-Identity-H"/>
        </w:rPr>
        <w:t>To comply with the CAISO Tariff;</w:t>
      </w:r>
    </w:p>
    <w:p w14:paraId="1161B326" w14:textId="77777777" w:rsidR="00D509A2" w:rsidRPr="0082321D" w:rsidRDefault="00D509A2" w:rsidP="00D509A2">
      <w:pPr>
        <w:pStyle w:val="Heading4Text"/>
      </w:pPr>
      <w:r w:rsidRPr="00C24157">
        <w:t>provided, if SCE and Seller mutually agree that a termination of, or cessation of service under, any such agreement is not due to the fault of Seller, Seller shall have thirty (30) days from such termination or cessation to cure such default;</w:t>
      </w:r>
    </w:p>
    <w:p w14:paraId="6C22732C" w14:textId="71D5DC90" w:rsidR="00D509A2" w:rsidRPr="00867921" w:rsidRDefault="00D509A2" w:rsidP="00D509A2">
      <w:pPr>
        <w:pStyle w:val="Heading4"/>
        <w:rPr>
          <w:rFonts w:eastAsia="Fd177276-Identity-H"/>
        </w:rPr>
      </w:pPr>
      <w:r w:rsidRPr="00867921">
        <w:rPr>
          <w:rFonts w:eastAsia="Fd177276-Identity-H"/>
        </w:rPr>
        <w:t xml:space="preserve">Seller fails to take any actions </w:t>
      </w:r>
      <w:r w:rsidRPr="0084576D">
        <w:rPr>
          <w:rFonts w:eastAsia="Fd177276-Identity-H"/>
        </w:rPr>
        <w:t xml:space="preserve">necessary to dedicate, convey or effectuate the use of any and all Resource Adequacy Benefits for SCE’s sole benefit as specified in </w:t>
      </w:r>
      <w:r w:rsidRPr="000678FD">
        <w:rPr>
          <w:rFonts w:eastAsia="Fd177276-Identity-H"/>
        </w:rPr>
        <w:t>Section</w:t>
      </w:r>
      <w:r w:rsidR="00673ADF">
        <w:rPr>
          <w:rFonts w:eastAsia="Fd177276-Identity-H"/>
        </w:rPr>
        <w:t>s</w:t>
      </w:r>
      <w:r w:rsidRPr="000678FD">
        <w:rPr>
          <w:rFonts w:eastAsia="Fd177276-Identity-H"/>
        </w:rPr>
        <w:t xml:space="preserve"> 1.01(</w:t>
      </w:r>
      <w:r w:rsidR="00CA7AF7">
        <w:rPr>
          <w:rFonts w:eastAsia="Fd177276-Identity-H"/>
        </w:rPr>
        <w:t>b</w:t>
      </w:r>
      <w:r w:rsidRPr="000678FD">
        <w:rPr>
          <w:rFonts w:eastAsia="Fd177276-Identity-H"/>
        </w:rPr>
        <w:t>)</w:t>
      </w:r>
      <w:r w:rsidR="003823D1">
        <w:rPr>
          <w:rFonts w:eastAsia="Fd177276-Identity-H"/>
        </w:rPr>
        <w:t>, 1.05(a)</w:t>
      </w:r>
      <w:r w:rsidR="00673ADF">
        <w:rPr>
          <w:rFonts w:eastAsia="Fd177276-Identity-H"/>
        </w:rPr>
        <w:t xml:space="preserve"> and 9.04</w:t>
      </w:r>
      <w:r w:rsidRPr="000678FD">
        <w:rPr>
          <w:rFonts w:eastAsia="Fd177276-Identity-H"/>
        </w:rPr>
        <w:t>;</w:t>
      </w:r>
      <w:r w:rsidRPr="00867921">
        <w:rPr>
          <w:rFonts w:eastAsia="Fd177276-Identity-H"/>
        </w:rPr>
        <w:t xml:space="preserve"> or</w:t>
      </w:r>
    </w:p>
    <w:p w14:paraId="00A94BEF" w14:textId="6F21E10C" w:rsidR="00D509A2" w:rsidRDefault="00D509A2" w:rsidP="00D509A2">
      <w:pPr>
        <w:pStyle w:val="Heading4"/>
        <w:rPr>
          <w:rFonts w:eastAsia="Fd177276-Identity-H"/>
        </w:rPr>
      </w:pPr>
      <w:r w:rsidRPr="00867921">
        <w:rPr>
          <w:rFonts w:eastAsia="Fd177276-Identity-H"/>
        </w:rPr>
        <w:lastRenderedPageBreak/>
        <w:t xml:space="preserve">Subject to the terms of a Collateral Assignment Agreement, which shall control in the event of any conflict or </w:t>
      </w:r>
      <w:r w:rsidRPr="00541852">
        <w:rPr>
          <w:rFonts w:eastAsia="Fd177276-Identity-H"/>
        </w:rPr>
        <w:t>inconsistency with this Section</w:t>
      </w:r>
      <w:r w:rsidR="00541852" w:rsidRPr="00541852">
        <w:rPr>
          <w:rFonts w:eastAsia="Fd177276-Identity-H"/>
        </w:rPr>
        <w:t xml:space="preserve"> </w:t>
      </w:r>
      <w:r w:rsidR="009B2ACF">
        <w:rPr>
          <w:rFonts w:eastAsia="Fd177276-Identity-H"/>
        </w:rPr>
        <w:t>10</w:t>
      </w:r>
      <w:r w:rsidRPr="00541852">
        <w:rPr>
          <w:rFonts w:eastAsia="Fd177276-Identity-H"/>
        </w:rPr>
        <w:t>.01(b)(viii), the</w:t>
      </w:r>
      <w:r w:rsidRPr="00867921">
        <w:rPr>
          <w:rFonts w:eastAsia="Fd177276-Identity-H"/>
        </w:rPr>
        <w:t xml:space="preserve"> occurrence and continuation of an event of default of Seller under one or more agreements or instruments relating to indebtedness for borrowed money, in the aggregate amount of not less </w:t>
      </w:r>
      <w:r w:rsidRPr="00546E7F">
        <w:rPr>
          <w:rFonts w:eastAsia="Fd177276-Identity-H"/>
        </w:rPr>
        <w:t xml:space="preserve">than </w:t>
      </w:r>
      <w:r w:rsidRPr="00DB7FE0">
        <w:rPr>
          <w:i/>
          <w:color w:val="0000FF"/>
        </w:rPr>
        <w:t>[dollar amount text]</w:t>
      </w:r>
      <w:r w:rsidRPr="00546E7F">
        <w:t xml:space="preserve"> dollars ($</w:t>
      </w:r>
      <w:r w:rsidRPr="00DB7FE0">
        <w:rPr>
          <w:i/>
          <w:color w:val="0000FF"/>
        </w:rPr>
        <w:t>[Number]</w:t>
      </w:r>
      <w:r w:rsidRPr="00546E7F">
        <w:t>)</w:t>
      </w:r>
      <w:r w:rsidRPr="00546E7F">
        <w:rPr>
          <w:rFonts w:eastAsia="Fd177276-Identity-H"/>
        </w:rPr>
        <w:t xml:space="preserve"> </w:t>
      </w:r>
      <w:r w:rsidRPr="00DB7FE0">
        <w:rPr>
          <w:i/>
          <w:color w:val="0000FF"/>
        </w:rPr>
        <w:t>[amount to be determined by SCE]</w:t>
      </w:r>
      <w:r w:rsidRPr="00867921">
        <w:rPr>
          <w:rFonts w:eastAsia="Fd177276-Identity-H"/>
        </w:rPr>
        <w:t xml:space="preserve"> which results in the indebtedness having been declared immediately due and payable.</w:t>
      </w:r>
    </w:p>
    <w:p w14:paraId="79D2C77E" w14:textId="77777777" w:rsidR="00D509A2" w:rsidRPr="00867921" w:rsidRDefault="00D509A2" w:rsidP="00D509A2">
      <w:pPr>
        <w:pStyle w:val="Heading4"/>
        <w:rPr>
          <w:rFonts w:eastAsia="Fd177276-Identity-H"/>
        </w:rPr>
      </w:pPr>
      <w:r w:rsidRPr="00867921">
        <w:rPr>
          <w:rFonts w:eastAsia="Fd177276-Identity-H"/>
        </w:rPr>
        <w:t>The stock or equity ownership interests in Seller or assets of Seller are directly or indirectly pledged or assigned, as collateral to any party other than Lender;</w:t>
      </w:r>
    </w:p>
    <w:p w14:paraId="263C2B68" w14:textId="58F41EEF" w:rsidR="00D509A2" w:rsidRPr="00867921" w:rsidRDefault="00D509A2" w:rsidP="00D509A2">
      <w:pPr>
        <w:pStyle w:val="Heading4"/>
        <w:rPr>
          <w:rFonts w:eastAsia="Fd177276-Identity-H"/>
        </w:rPr>
      </w:pPr>
      <w:r w:rsidRPr="00867921">
        <w:rPr>
          <w:rFonts w:eastAsia="Fd177276-Identity-H"/>
        </w:rPr>
        <w:t xml:space="preserve">Seller makes any material misrepresentation or omission in any report, including any status report, or the </w:t>
      </w:r>
      <w:r w:rsidRPr="0084576D">
        <w:rPr>
          <w:rFonts w:eastAsia="Fd177276-Identity-H"/>
        </w:rPr>
        <w:t>Milestone Schedule (including the log, records and reports require</w:t>
      </w:r>
      <w:r w:rsidRPr="00B022A3">
        <w:rPr>
          <w:rFonts w:eastAsia="Fd177276-Identity-H"/>
        </w:rPr>
        <w:t xml:space="preserve">d under Sections </w:t>
      </w:r>
      <w:r w:rsidR="000F3889">
        <w:rPr>
          <w:rFonts w:eastAsia="Fd177276-Identity-H"/>
        </w:rPr>
        <w:t xml:space="preserve">5.03(d), </w:t>
      </w:r>
      <w:r w:rsidR="00B022A3" w:rsidRPr="00B022A3">
        <w:rPr>
          <w:rFonts w:eastAsia="Fd177276-Identity-H"/>
        </w:rPr>
        <w:t>6</w:t>
      </w:r>
      <w:r w:rsidRPr="00B022A3">
        <w:rPr>
          <w:rFonts w:eastAsia="Fd177276-Identity-H"/>
        </w:rPr>
        <w:t xml:space="preserve">.01(b), </w:t>
      </w:r>
      <w:r w:rsidR="006179DF" w:rsidRPr="00B022A3">
        <w:rPr>
          <w:rFonts w:eastAsia="Fd177276-Identity-H"/>
        </w:rPr>
        <w:t>6</w:t>
      </w:r>
      <w:r w:rsidRPr="00B022A3">
        <w:rPr>
          <w:rFonts w:eastAsia="Fd177276-Identity-H"/>
        </w:rPr>
        <w:t>.0</w:t>
      </w:r>
      <w:r w:rsidR="006179DF" w:rsidRPr="00B022A3">
        <w:rPr>
          <w:rFonts w:eastAsia="Fd177276-Identity-H"/>
        </w:rPr>
        <w:t>6</w:t>
      </w:r>
      <w:r w:rsidR="00B71E7E">
        <w:rPr>
          <w:rFonts w:eastAsia="Fd177276-Identity-H"/>
        </w:rPr>
        <w:t>,</w:t>
      </w:r>
      <w:r w:rsidR="006179DF" w:rsidRPr="00B022A3">
        <w:rPr>
          <w:rFonts w:eastAsia="Fd177276-Identity-H"/>
        </w:rPr>
        <w:t xml:space="preserve"> </w:t>
      </w:r>
      <w:bookmarkStart w:id="407" w:name="_DV_C422"/>
      <w:r w:rsidR="009B2ACF">
        <w:rPr>
          <w:rFonts w:eastAsia="Fd177276-Identity-H"/>
        </w:rPr>
        <w:t>9</w:t>
      </w:r>
      <w:r w:rsidRPr="002F5C7B">
        <w:rPr>
          <w:rFonts w:eastAsia="Fd177276-Identity-H"/>
        </w:rPr>
        <w:t>.03(g)</w:t>
      </w:r>
      <w:bookmarkEnd w:id="407"/>
      <w:r w:rsidRPr="002F5C7B">
        <w:rPr>
          <w:rFonts w:eastAsia="Fd177276-Identity-H"/>
        </w:rPr>
        <w:t xml:space="preserve">, </w:t>
      </w:r>
      <w:r w:rsidR="00D86212">
        <w:rPr>
          <w:rFonts w:eastAsia="Fd177276-Identity-H"/>
        </w:rPr>
        <w:t xml:space="preserve">and 14.06(d), and </w:t>
      </w:r>
      <w:r w:rsidRPr="002F5C7B">
        <w:rPr>
          <w:u w:val="single"/>
        </w:rPr>
        <w:t>Exhibit</w:t>
      </w:r>
      <w:r w:rsidRPr="00482B73">
        <w:rPr>
          <w:u w:val="single"/>
        </w:rPr>
        <w:t xml:space="preserve"> </w:t>
      </w:r>
      <w:r w:rsidR="00367C93">
        <w:rPr>
          <w:u w:val="single"/>
        </w:rPr>
        <w:t>H</w:t>
      </w:r>
      <w:r w:rsidRPr="00482B73">
        <w:rPr>
          <w:rFonts w:eastAsia="Fd177276-Identity-H"/>
        </w:rPr>
        <w:t xml:space="preserve"> or </w:t>
      </w:r>
      <w:r w:rsidRPr="00482B73">
        <w:rPr>
          <w:u w:val="single"/>
        </w:rPr>
        <w:t xml:space="preserve">Exhibit </w:t>
      </w:r>
      <w:r w:rsidR="00367C93">
        <w:rPr>
          <w:u w:val="single"/>
        </w:rPr>
        <w:t>I</w:t>
      </w:r>
      <w:r w:rsidRPr="00C600E0">
        <w:rPr>
          <w:rFonts w:eastAsia="Fd177276-Identity-H"/>
        </w:rPr>
        <w:t>) required to be made or furnished by Seller pursuant to this Agreement</w:t>
      </w:r>
      <w:r w:rsidRPr="00867921">
        <w:rPr>
          <w:rFonts w:eastAsia="Fd177276-Identity-H"/>
        </w:rPr>
        <w:t xml:space="preserve"> and such misrepresentation or omission is not remedied within five (5) Business Days after Notice from SCE;</w:t>
      </w:r>
    </w:p>
    <w:p w14:paraId="6D59F2BF" w14:textId="2853A1F9" w:rsidR="00D509A2" w:rsidRPr="009676F1" w:rsidRDefault="00D509A2" w:rsidP="00D509A2">
      <w:pPr>
        <w:pStyle w:val="Heading4"/>
        <w:rPr>
          <w:rFonts w:eastAsia="Fd177276-Identity-H"/>
        </w:rPr>
      </w:pPr>
      <w:r w:rsidRPr="006179DF">
        <w:rPr>
          <w:rFonts w:eastAsia="Fd177276-Identity-H"/>
        </w:rPr>
        <w:t xml:space="preserve">Subject to Section </w:t>
      </w:r>
      <w:r w:rsidR="006179DF" w:rsidRPr="006179DF">
        <w:rPr>
          <w:rFonts w:eastAsia="Fd177276-Identity-H"/>
        </w:rPr>
        <w:t>6</w:t>
      </w:r>
      <w:r w:rsidRPr="006179DF">
        <w:rPr>
          <w:rFonts w:eastAsia="Fd177276-Identity-H"/>
        </w:rPr>
        <w:t>.0</w:t>
      </w:r>
      <w:r w:rsidR="006179DF" w:rsidRPr="006179DF">
        <w:rPr>
          <w:rFonts w:eastAsia="Fd177276-Identity-H"/>
        </w:rPr>
        <w:t>7(a)</w:t>
      </w:r>
      <w:r w:rsidRPr="006179DF">
        <w:rPr>
          <w:rFonts w:eastAsia="Fd177276-Identity-H"/>
        </w:rPr>
        <w:t xml:space="preserve">, Seller makes any material misrepresentation or omission in any Availability Notice (including the log, records and reports required under Section </w:t>
      </w:r>
      <w:r w:rsidR="006179DF" w:rsidRPr="006179DF">
        <w:rPr>
          <w:rFonts w:eastAsia="Fd177276-Identity-H"/>
        </w:rPr>
        <w:t>6</w:t>
      </w:r>
      <w:r w:rsidRPr="009676F1">
        <w:rPr>
          <w:rFonts w:eastAsia="Fd177276-Identity-H"/>
        </w:rPr>
        <w:t>.0</w:t>
      </w:r>
      <w:r w:rsidR="006179DF">
        <w:rPr>
          <w:rFonts w:eastAsia="Fd177276-Identity-H"/>
        </w:rPr>
        <w:t>7(a)</w:t>
      </w:r>
      <w:r w:rsidRPr="009676F1">
        <w:rPr>
          <w:rFonts w:eastAsia="Fd177276-Identity-H"/>
        </w:rPr>
        <w:t xml:space="preserve"> or </w:t>
      </w:r>
      <w:r w:rsidRPr="00D01883">
        <w:rPr>
          <w:u w:val="single"/>
        </w:rPr>
        <w:t xml:space="preserve">Exhibit </w:t>
      </w:r>
      <w:r w:rsidR="00367C93">
        <w:rPr>
          <w:u w:val="single"/>
        </w:rPr>
        <w:t>N</w:t>
      </w:r>
      <w:r w:rsidRPr="00D01883">
        <w:rPr>
          <w:rFonts w:eastAsia="Fd177276-Identity-H"/>
        </w:rPr>
        <w:t>).</w:t>
      </w:r>
    </w:p>
    <w:p w14:paraId="2EC26B8B" w14:textId="77777777" w:rsidR="00D509A2" w:rsidRPr="00867921" w:rsidRDefault="00D509A2" w:rsidP="00D509A2">
      <w:pPr>
        <w:pStyle w:val="Heading4"/>
        <w:rPr>
          <w:rFonts w:eastAsia="Fd177276-Identity-H"/>
        </w:rPr>
      </w:pPr>
      <w:r w:rsidRPr="00867921">
        <w:rPr>
          <w:rFonts w:eastAsia="Fd177276-Identity-H"/>
        </w:rPr>
        <w:t>Seller sells, assigns, or otherwise transfers, or commits to sell, assign, or otherwise transfer, the Product, or any portion thereof, to any party other than SCE during the applicable portion of the Delivery Period;</w:t>
      </w:r>
    </w:p>
    <w:p w14:paraId="73A48B89" w14:textId="21A4A899" w:rsidR="00D509A2" w:rsidRPr="005E0C5F" w:rsidRDefault="00D509A2" w:rsidP="00D509A2">
      <w:pPr>
        <w:pStyle w:val="Heading4"/>
        <w:rPr>
          <w:rFonts w:eastAsia="Fd177276-Identity-H"/>
        </w:rPr>
      </w:pPr>
      <w:r w:rsidRPr="00867921">
        <w:rPr>
          <w:rFonts w:eastAsia="Fd177276-Identity-H"/>
        </w:rPr>
        <w:t xml:space="preserve">Seller starts-up, operates, charges, or discharges or permits or causes any third party to start-up, operate, charge or </w:t>
      </w:r>
      <w:r w:rsidRPr="0084576D">
        <w:rPr>
          <w:rFonts w:eastAsia="Fd177276-Identity-H"/>
        </w:rPr>
        <w:t xml:space="preserve">discharge any Storage Unit other than as specifically permitted </w:t>
      </w:r>
      <w:r w:rsidRPr="00541852">
        <w:rPr>
          <w:rFonts w:eastAsia="Fd177276-Identity-H"/>
        </w:rPr>
        <w:t>under Section</w:t>
      </w:r>
      <w:r w:rsidR="008923FE" w:rsidRPr="00541852">
        <w:rPr>
          <w:rFonts w:eastAsia="Fd177276-Identity-H"/>
        </w:rPr>
        <w:t>s</w:t>
      </w:r>
      <w:r w:rsidRPr="00541852">
        <w:rPr>
          <w:rFonts w:eastAsia="Fd177276-Identity-H"/>
        </w:rPr>
        <w:t xml:space="preserve"> 2.0</w:t>
      </w:r>
      <w:r w:rsidR="00541852" w:rsidRPr="00541852">
        <w:rPr>
          <w:rFonts w:eastAsia="Fd177276-Identity-H"/>
        </w:rPr>
        <w:t>2</w:t>
      </w:r>
      <w:r w:rsidRPr="00541852">
        <w:rPr>
          <w:rFonts w:eastAsia="Fd177276-Identity-H"/>
        </w:rPr>
        <w:t>,</w:t>
      </w:r>
      <w:r w:rsidRPr="005E0C5F">
        <w:rPr>
          <w:rFonts w:eastAsia="Fd177276-Identity-H"/>
        </w:rPr>
        <w:t xml:space="preserve"> </w:t>
      </w:r>
      <w:r w:rsidR="00E33735">
        <w:rPr>
          <w:rFonts w:eastAsia="Fd177276-Identity-H"/>
        </w:rPr>
        <w:t xml:space="preserve">5.03, </w:t>
      </w:r>
      <w:r w:rsidR="008923FE">
        <w:rPr>
          <w:rFonts w:eastAsia="Fd177276-Identity-H"/>
        </w:rPr>
        <w:t>6.0</w:t>
      </w:r>
      <w:r w:rsidR="00D01E0D">
        <w:rPr>
          <w:rFonts w:eastAsia="Fd177276-Identity-H"/>
        </w:rPr>
        <w:t>8</w:t>
      </w:r>
      <w:r w:rsidR="008923FE">
        <w:rPr>
          <w:rFonts w:eastAsia="Fd177276-Identity-H"/>
        </w:rPr>
        <w:t xml:space="preserve">, </w:t>
      </w:r>
      <w:r w:rsidR="002D26FA">
        <w:rPr>
          <w:rFonts w:eastAsia="Fd177276-Identity-H"/>
        </w:rPr>
        <w:t>or</w:t>
      </w:r>
      <w:r w:rsidR="00E33735">
        <w:rPr>
          <w:rFonts w:eastAsia="Fd177276-Identity-H"/>
        </w:rPr>
        <w:t xml:space="preserve"> </w:t>
      </w:r>
      <w:r w:rsidR="003B3D2A">
        <w:rPr>
          <w:rFonts w:eastAsia="Fd177276-Identity-H"/>
        </w:rPr>
        <w:t>6.</w:t>
      </w:r>
      <w:r w:rsidR="00D01E0D">
        <w:rPr>
          <w:rFonts w:eastAsia="Fd177276-Identity-H"/>
        </w:rPr>
        <w:t>09</w:t>
      </w:r>
      <w:r w:rsidRPr="005E0C5F">
        <w:rPr>
          <w:rFonts w:eastAsia="Fd177276-Identity-H"/>
        </w:rPr>
        <w:t>;</w:t>
      </w:r>
    </w:p>
    <w:p w14:paraId="0A89F105" w14:textId="4D9806FA" w:rsidR="00D509A2" w:rsidRPr="00867921" w:rsidRDefault="00D509A2" w:rsidP="00D509A2">
      <w:pPr>
        <w:pStyle w:val="Heading4"/>
        <w:rPr>
          <w:rFonts w:eastAsia="Fd177276-Identity-H"/>
        </w:rPr>
      </w:pPr>
      <w:r w:rsidRPr="005E0C5F">
        <w:rPr>
          <w:rFonts w:eastAsia="Fd177276-Identity-H"/>
        </w:rPr>
        <w:t>Seller fails to comply with any of its obligations und</w:t>
      </w:r>
      <w:r w:rsidRPr="00B022A3">
        <w:rPr>
          <w:rFonts w:eastAsia="Fd177276-Identity-H"/>
        </w:rPr>
        <w:t xml:space="preserve">er Sections </w:t>
      </w:r>
      <w:r w:rsidR="00B022A3" w:rsidRPr="00B022A3">
        <w:rPr>
          <w:rFonts w:eastAsia="Fd177276-Identity-H"/>
        </w:rPr>
        <w:t>6</w:t>
      </w:r>
      <w:r w:rsidRPr="00B022A3">
        <w:rPr>
          <w:rFonts w:eastAsia="Fd177276-Identity-H"/>
        </w:rPr>
        <w:t xml:space="preserve">.02(b), </w:t>
      </w:r>
      <w:r w:rsidR="00B022A3" w:rsidRPr="00B022A3">
        <w:rPr>
          <w:rFonts w:eastAsia="Fd177276-Identity-H"/>
        </w:rPr>
        <w:t>6</w:t>
      </w:r>
      <w:r w:rsidRPr="00B022A3">
        <w:rPr>
          <w:rFonts w:eastAsia="Fd177276-Identity-H"/>
        </w:rPr>
        <w:t xml:space="preserve">.02(c), </w:t>
      </w:r>
      <w:r w:rsidR="00B022A3" w:rsidRPr="00B022A3">
        <w:rPr>
          <w:rFonts w:eastAsia="Fd177276-Identity-H"/>
        </w:rPr>
        <w:t>6</w:t>
      </w:r>
      <w:r w:rsidRPr="00B022A3">
        <w:rPr>
          <w:rFonts w:eastAsia="Fd177276-Identity-H"/>
        </w:rPr>
        <w:t>.02(d)</w:t>
      </w:r>
      <w:r w:rsidR="003E65A8">
        <w:rPr>
          <w:rFonts w:eastAsia="Fd177276-Identity-H"/>
        </w:rPr>
        <w:t>, 6.02(e)</w:t>
      </w:r>
      <w:r w:rsidRPr="00B022A3">
        <w:rPr>
          <w:rFonts w:eastAsia="Fd177276-Identity-H"/>
        </w:rPr>
        <w:t xml:space="preserve"> or </w:t>
      </w:r>
      <w:r w:rsidR="00B022A3" w:rsidRPr="00B022A3">
        <w:rPr>
          <w:rFonts w:eastAsia="Fd177276-Identity-H"/>
        </w:rPr>
        <w:t>6</w:t>
      </w:r>
      <w:r w:rsidRPr="00B022A3">
        <w:rPr>
          <w:rFonts w:eastAsia="Fd177276-Identity-H"/>
        </w:rPr>
        <w:t>.02(f) within the time</w:t>
      </w:r>
      <w:r w:rsidRPr="005E0C5F">
        <w:rPr>
          <w:rFonts w:eastAsia="Fd177276-Identity-H"/>
        </w:rPr>
        <w:t xml:space="preserve"> periods set forth</w:t>
      </w:r>
      <w:r w:rsidRPr="00867921">
        <w:rPr>
          <w:rFonts w:eastAsia="Fd177276-Identity-H"/>
        </w:rPr>
        <w:t xml:space="preserve"> therein;</w:t>
      </w:r>
    </w:p>
    <w:p w14:paraId="68F0162B" w14:textId="04E05317" w:rsidR="00D509A2" w:rsidRPr="00867921" w:rsidRDefault="00D509A2" w:rsidP="00D509A2">
      <w:pPr>
        <w:pStyle w:val="Heading4"/>
        <w:rPr>
          <w:rFonts w:eastAsia="Fd177276-Identity-H"/>
        </w:rPr>
      </w:pPr>
      <w:r w:rsidRPr="00867921">
        <w:rPr>
          <w:rFonts w:eastAsia="Fd177276-Identity-H"/>
        </w:rPr>
        <w:t>Seller does not have Site Control in accordance wi</w:t>
      </w:r>
      <w:r w:rsidRPr="0084576D">
        <w:rPr>
          <w:rFonts w:eastAsia="Fd177276-Identity-H"/>
        </w:rPr>
        <w:t xml:space="preserve">th </w:t>
      </w:r>
      <w:r w:rsidRPr="002F5C7B">
        <w:rPr>
          <w:rFonts w:eastAsia="Fd177276-Identity-H"/>
        </w:rPr>
        <w:t xml:space="preserve">Section </w:t>
      </w:r>
      <w:r w:rsidR="009B2ACF">
        <w:rPr>
          <w:rFonts w:eastAsia="Fd177276-Identity-H"/>
        </w:rPr>
        <w:t>9</w:t>
      </w:r>
      <w:r w:rsidRPr="0084576D">
        <w:rPr>
          <w:rFonts w:eastAsia="Fd177276-Identity-H"/>
        </w:rPr>
        <w:t>.03(</w:t>
      </w:r>
      <w:r w:rsidR="00713E8A">
        <w:rPr>
          <w:rFonts w:eastAsia="Fd177276-Identity-H"/>
        </w:rPr>
        <w:t>h</w:t>
      </w:r>
      <w:r w:rsidRPr="0084576D">
        <w:rPr>
          <w:rFonts w:eastAsia="Fd177276-Identity-H"/>
        </w:rPr>
        <w:t>);</w:t>
      </w:r>
    </w:p>
    <w:p w14:paraId="5D8F6927" w14:textId="77777777" w:rsidR="00D509A2" w:rsidRPr="00867921" w:rsidRDefault="00D509A2" w:rsidP="00D509A2">
      <w:pPr>
        <w:pStyle w:val="Heading4"/>
        <w:rPr>
          <w:rFonts w:eastAsia="Fd177276-Identity-H"/>
        </w:rPr>
      </w:pPr>
      <w:r w:rsidRPr="00867921">
        <w:rPr>
          <w:rFonts w:eastAsia="Fd177276-Identity-H"/>
        </w:rPr>
        <w:t xml:space="preserve">Seller transfers or assigns the Interconnection Queue Position or the interconnection agreement; </w:t>
      </w:r>
    </w:p>
    <w:p w14:paraId="61C1EED5" w14:textId="0FC697A0" w:rsidR="00D509A2" w:rsidRPr="009676F1" w:rsidRDefault="00644054" w:rsidP="00F86599">
      <w:pPr>
        <w:pStyle w:val="Heading4"/>
      </w:pPr>
      <w:r>
        <w:rPr>
          <w:rFonts w:eastAsia="Fd177276-Identity-H"/>
        </w:rPr>
        <w:lastRenderedPageBreak/>
        <w:t xml:space="preserve">Subject to Seller’s one-time right to cure pursuant to Section 4.07, </w:t>
      </w:r>
      <w:r w:rsidR="00D509A2" w:rsidRPr="00867921">
        <w:rPr>
          <w:rFonts w:eastAsia="Fd177276-Identity-H"/>
        </w:rPr>
        <w:t>Seller fails to achieve a Critical Path Development Milestone</w:t>
      </w:r>
      <w:r>
        <w:rPr>
          <w:rFonts w:eastAsia="Fd177276-Identity-H"/>
        </w:rPr>
        <w:t xml:space="preserve"> on or before the deadline to achieve such Critical Path Development Milestone set forth in this Agreement</w:t>
      </w:r>
      <w:r w:rsidR="003C102D">
        <w:rPr>
          <w:rFonts w:eastAsia="Fd177276-Identity-H"/>
        </w:rPr>
        <w:t>;</w:t>
      </w:r>
      <w:r>
        <w:rPr>
          <w:rFonts w:eastAsia="Fd177276-Identity-H"/>
        </w:rPr>
        <w:t xml:space="preserve"> </w:t>
      </w:r>
    </w:p>
    <w:p w14:paraId="4DE95E01" w14:textId="77777777" w:rsidR="003C102D" w:rsidRPr="008B3C43" w:rsidRDefault="00D509A2" w:rsidP="00CA37E4">
      <w:pPr>
        <w:pStyle w:val="Heading4"/>
        <w:rPr>
          <w:rFonts w:eastAsia="Fd177276-Identity-H"/>
          <w:i/>
        </w:rPr>
      </w:pPr>
      <w:r w:rsidRPr="00867921">
        <w:rPr>
          <w:rFonts w:eastAsia="Fd177276-Identity-H"/>
        </w:rPr>
        <w:t xml:space="preserve">Upon any designation of a Local Resource Constrained Day by SCE during any RA Period, Seller fails to submit Bids into the CAISO Day-Ahead Market or Real-Time Market, as directed by SCE, pursuant </w:t>
      </w:r>
      <w:r w:rsidRPr="0084576D">
        <w:rPr>
          <w:rFonts w:eastAsia="Fd177276-Identity-H"/>
        </w:rPr>
        <w:t xml:space="preserve">to </w:t>
      </w:r>
      <w:r w:rsidRPr="0024612D">
        <w:rPr>
          <w:rFonts w:eastAsia="Fd177276-Identity-H"/>
        </w:rPr>
        <w:t xml:space="preserve">Section </w:t>
      </w:r>
      <w:r w:rsidR="0024612D" w:rsidRPr="0024612D">
        <w:rPr>
          <w:rFonts w:eastAsia="Fd177276-Identity-H"/>
        </w:rPr>
        <w:t>6</w:t>
      </w:r>
      <w:r w:rsidRPr="0024612D">
        <w:rPr>
          <w:rFonts w:eastAsia="Fd177276-Identity-H"/>
        </w:rPr>
        <w:t>.0</w:t>
      </w:r>
      <w:r w:rsidR="0024612D" w:rsidRPr="0024612D">
        <w:rPr>
          <w:rFonts w:eastAsia="Fd177276-Identity-H"/>
        </w:rPr>
        <w:t>4</w:t>
      </w:r>
      <w:r w:rsidR="003C102D">
        <w:rPr>
          <w:rFonts w:eastAsia="Fd177276-Identity-H"/>
        </w:rPr>
        <w:t>; or</w:t>
      </w:r>
    </w:p>
    <w:p w14:paraId="12355741" w14:textId="77777777" w:rsidR="003C102D" w:rsidRPr="00561154" w:rsidRDefault="003C102D" w:rsidP="003C102D">
      <w:pPr>
        <w:pStyle w:val="Heading4"/>
        <w:rPr>
          <w:rFonts w:eastAsia="Fd177276-Identity-H"/>
          <w:i/>
        </w:rPr>
      </w:pPr>
      <w:r w:rsidRPr="00561154">
        <w:rPr>
          <w:i/>
          <w:color w:val="00B050"/>
        </w:rPr>
        <w:t>[Seller fails to exercise Maximum Efforts at any time during an N-2 Event</w:t>
      </w:r>
      <w:r w:rsidRPr="00561154">
        <w:rPr>
          <w:rFonts w:eastAsia="Fd177276-Identity-H"/>
          <w:i/>
          <w:color w:val="00B050"/>
        </w:rPr>
        <w:t>.]</w:t>
      </w:r>
    </w:p>
    <w:p w14:paraId="67F45045" w14:textId="50B380E2" w:rsidR="00D509A2" w:rsidRPr="00561154" w:rsidRDefault="00F277CC" w:rsidP="008B3C43">
      <w:pPr>
        <w:pStyle w:val="Heading4"/>
        <w:numPr>
          <w:ilvl w:val="0"/>
          <w:numId w:val="0"/>
        </w:numPr>
        <w:ind w:left="1728"/>
        <w:rPr>
          <w:rFonts w:eastAsia="Fd177276-Identity-H"/>
          <w:i/>
        </w:rPr>
      </w:pPr>
      <w:r w:rsidRPr="00561154">
        <w:rPr>
          <w:rFonts w:eastAsia="Fd177276-Identity-H"/>
          <w:color w:val="00B050"/>
        </w:rPr>
        <w:t xml:space="preserve"> </w:t>
      </w:r>
    </w:p>
    <w:p w14:paraId="22B860AD" w14:textId="77777777" w:rsidR="00D509A2" w:rsidRPr="00FF157D" w:rsidRDefault="00D509A2" w:rsidP="00D509A2">
      <w:pPr>
        <w:pStyle w:val="Heading2"/>
        <w:keepNext w:val="0"/>
        <w:keepLines w:val="0"/>
        <w:rPr>
          <w:u w:val="none"/>
        </w:rPr>
      </w:pPr>
      <w:bookmarkStart w:id="408" w:name="_Toc467577480"/>
      <w:bookmarkStart w:id="409" w:name="_Toc470014740"/>
      <w:bookmarkStart w:id="410" w:name="_Toc470855933"/>
      <w:bookmarkStart w:id="411" w:name="_Toc510788288"/>
      <w:r w:rsidRPr="0027789B">
        <w:t>Early Termination Date</w:t>
      </w:r>
      <w:r w:rsidRPr="00FF157D">
        <w:rPr>
          <w:u w:val="none"/>
        </w:rPr>
        <w:t>.</w:t>
      </w:r>
      <w:bookmarkEnd w:id="408"/>
      <w:bookmarkEnd w:id="409"/>
      <w:bookmarkEnd w:id="410"/>
      <w:bookmarkEnd w:id="411"/>
    </w:p>
    <w:p w14:paraId="16619F1F" w14:textId="04D4FCA7" w:rsidR="00D509A2" w:rsidRPr="0027789B" w:rsidRDefault="00D509A2" w:rsidP="00D509A2">
      <w:pPr>
        <w:pStyle w:val="Heading2Text"/>
      </w:pPr>
      <w:r w:rsidRPr="0027789B">
        <w:t>If an Event of Default with respect to a Defaulting Party shall have occurred and be continuing, the other Party (the “</w:t>
      </w:r>
      <w:r w:rsidRPr="0027789B">
        <w:rPr>
          <w:u w:val="single"/>
        </w:rPr>
        <w:t>Non-Defaulting Party</w:t>
      </w:r>
      <w:r w:rsidRPr="0027789B">
        <w:t>”) shall have the right, by delivery of Notice to the Defaulting Party, to (a) designate a day, no earlier than the day such Notice is effective and no later than twenty (20) days after such Notice is effective, as an “</w:t>
      </w:r>
      <w:r w:rsidRPr="0027789B">
        <w:rPr>
          <w:u w:val="single"/>
        </w:rPr>
        <w:t>Early Termination Date</w:t>
      </w:r>
      <w:r w:rsidRPr="0027789B">
        <w:t xml:space="preserve">,” and to terminate this Agreement as of the Early Termination Date, (b) accelerate all amounts owing between the Parties under this Agreement, (c) withhold any payments due to the Defaulting Party under this Agreement, (d) suspend performance pending </w:t>
      </w:r>
      <w:r w:rsidRPr="00561154">
        <w:rPr>
          <w:rFonts w:eastAsia="MS Mincho"/>
          <w:color w:val="000000"/>
        </w:rPr>
        <w:t>termination of this Agreement</w:t>
      </w:r>
      <w:r w:rsidR="00B71E7E" w:rsidRPr="00561154">
        <w:rPr>
          <w:rFonts w:eastAsia="MS Mincho"/>
          <w:color w:val="000000"/>
        </w:rPr>
        <w:t>; and (e) pursue all remedies available at law or in equity against the Defaulting Party (including monetary damages and, where appropriate, specific performance or injunctive relief), except to the extent that such remedies are limited by the terms of this Agreement</w:t>
      </w:r>
      <w:r w:rsidRPr="00561154">
        <w:rPr>
          <w:rFonts w:eastAsia="MS Mincho"/>
          <w:color w:val="000000"/>
        </w:rPr>
        <w:t xml:space="preserve">. </w:t>
      </w:r>
    </w:p>
    <w:p w14:paraId="3A222CAC" w14:textId="77777777" w:rsidR="00D509A2" w:rsidRPr="00FF157D" w:rsidRDefault="00D509A2" w:rsidP="00D509A2">
      <w:pPr>
        <w:pStyle w:val="Heading2"/>
        <w:keepNext w:val="0"/>
        <w:keepLines w:val="0"/>
        <w:rPr>
          <w:u w:val="none"/>
        </w:rPr>
      </w:pPr>
      <w:bookmarkStart w:id="412" w:name="_Toc467577481"/>
      <w:bookmarkStart w:id="413" w:name="_Toc470014741"/>
      <w:bookmarkStart w:id="414" w:name="_Toc470855934"/>
      <w:bookmarkStart w:id="415" w:name="_Toc510788289"/>
      <w:r w:rsidRPr="0027789B">
        <w:t>Calculation of Termination Payment</w:t>
      </w:r>
      <w:r w:rsidRPr="00FF157D">
        <w:rPr>
          <w:u w:val="none"/>
        </w:rPr>
        <w:t>.</w:t>
      </w:r>
      <w:bookmarkEnd w:id="412"/>
      <w:bookmarkEnd w:id="413"/>
      <w:bookmarkEnd w:id="414"/>
      <w:bookmarkEnd w:id="415"/>
    </w:p>
    <w:p w14:paraId="4C18961B" w14:textId="252B7D2A" w:rsidR="00D509A2" w:rsidRPr="009676F1" w:rsidRDefault="00D509A2" w:rsidP="00D509A2">
      <w:pPr>
        <w:pStyle w:val="Heading2Text"/>
      </w:pPr>
      <w:r w:rsidRPr="0027789B">
        <w:t xml:space="preserve">If an Early Termination Date has been declared, the Non-Defaulting Party shall calculate, in a </w:t>
      </w:r>
      <w:r w:rsidRPr="009676F1">
        <w:t xml:space="preserve">commercially reasonable manner, the Termination Payment in accordance with </w:t>
      </w:r>
      <w:r w:rsidRPr="00541852">
        <w:t>this Section</w:t>
      </w:r>
      <w:r w:rsidR="00541852" w:rsidRPr="00541852">
        <w:t xml:space="preserve"> </w:t>
      </w:r>
      <w:r w:rsidR="009B2ACF">
        <w:t>10</w:t>
      </w:r>
      <w:r w:rsidRPr="00541852">
        <w:t>.03.</w:t>
      </w:r>
    </w:p>
    <w:p w14:paraId="3D5CC4B6" w14:textId="77777777" w:rsidR="00FD0DA6" w:rsidRDefault="00D509A2" w:rsidP="00D509A2">
      <w:pPr>
        <w:pStyle w:val="Heading3"/>
      </w:pPr>
      <w:r w:rsidRPr="009676F1">
        <w:rPr>
          <w:u w:val="single"/>
        </w:rPr>
        <w:t>Termination Payment Prior to Initial Delivery Date</w:t>
      </w:r>
      <w:r w:rsidRPr="009676F1">
        <w:t xml:space="preserve">. </w:t>
      </w:r>
    </w:p>
    <w:p w14:paraId="6643588E" w14:textId="2AF33E87" w:rsidR="00D509A2" w:rsidRPr="009676F1" w:rsidRDefault="00D509A2" w:rsidP="00DB7FE0">
      <w:pPr>
        <w:pStyle w:val="Heading3Text"/>
      </w:pPr>
      <w:r w:rsidRPr="009676F1">
        <w:t xml:space="preserve">If the Early Termination Date occurs before the Initial Delivery Date, then the Termination Payment shall be calculated in accordance </w:t>
      </w:r>
      <w:r w:rsidRPr="00541852">
        <w:t xml:space="preserve">with this Section </w:t>
      </w:r>
      <w:r w:rsidR="009B2ACF">
        <w:t>10</w:t>
      </w:r>
      <w:r w:rsidRPr="00541852">
        <w:t>.03(</w:t>
      </w:r>
      <w:r w:rsidRPr="009676F1">
        <w:t>a).</w:t>
      </w:r>
    </w:p>
    <w:p w14:paraId="40A93C1E" w14:textId="1D35FACE" w:rsidR="00D509A2" w:rsidRPr="009676F1" w:rsidRDefault="00D509A2" w:rsidP="00D509A2">
      <w:pPr>
        <w:pStyle w:val="Heading4"/>
      </w:pPr>
      <w:r w:rsidRPr="009676F1">
        <w:t xml:space="preserve">If Seller is the Defaulting Party, then the Termination Payment shall be owed to SCE and shall be equal to the entire Development Security amount and any interest accrued thereon. SCE shall be entitled to </w:t>
      </w:r>
      <w:r w:rsidRPr="009676F1">
        <w:lastRenderedPageBreak/>
        <w:t>immediately retain for its own benefit those funds held as Development Security and any interest accrued thereon, and any amount of Development Security that Seller has not yet posted with SCE will be immediately due and payable by Seller to SCE. There will be no amounts owed to Seller. The Parties agree that SCE’s damages in the event of an Early Termination Date prior to the Initial Delivery Date caused by Seller’</w:t>
      </w:r>
      <w:r w:rsidRPr="00541852">
        <w:t>s default would be difficult or impossible to determine and that the damages set forth in this Section</w:t>
      </w:r>
      <w:r w:rsidR="00541852" w:rsidRPr="00541852">
        <w:t xml:space="preserve"> </w:t>
      </w:r>
      <w:r w:rsidR="009B2ACF">
        <w:t>10</w:t>
      </w:r>
      <w:r w:rsidRPr="00541852">
        <w:t>.03(a)(i) are a reasonable</w:t>
      </w:r>
      <w:r w:rsidRPr="009676F1">
        <w:t xml:space="preserve"> approximation of SCE’s harm or loss.</w:t>
      </w:r>
    </w:p>
    <w:p w14:paraId="37742064" w14:textId="13812495" w:rsidR="00D509A2" w:rsidRPr="009676F1" w:rsidRDefault="00D509A2" w:rsidP="00D509A2">
      <w:pPr>
        <w:pStyle w:val="Heading4"/>
      </w:pPr>
      <w:r w:rsidRPr="009676F1">
        <w:t>If SCE is the Defaulting Party, then the Termination Payment shall be owed to Seller and shall equal the sum of the actual, documented and verifiable costs incurred by Seller between the Effective Date and the Early Termination Date in connection with the Project, less the fair market value (determined in a commercially reasonable manner) of (A) all Seller’s assets individually, or (B) the entire Project, whichever is greater, regardless of whether or not any Seller asset or the entire Project is actually sold or disposed of. There will be no amount owed to SCE. The Parties agree that Seller’s damages in the event of an Early Termination Date prior to the Initial Delivery Date caused by SCE’s default would be difficult or impossible to determine and that the damages set forth i</w:t>
      </w:r>
      <w:r w:rsidRPr="00541852">
        <w:t>n this Section</w:t>
      </w:r>
      <w:r w:rsidR="00541852" w:rsidRPr="00541852">
        <w:t xml:space="preserve"> </w:t>
      </w:r>
      <w:r w:rsidR="009B2ACF">
        <w:t>10</w:t>
      </w:r>
      <w:r w:rsidRPr="009676F1">
        <w:t xml:space="preserve">.03(a)(ii) are a reasonable approximation of Seller’s harm or loss. </w:t>
      </w:r>
    </w:p>
    <w:p w14:paraId="5EDF2ED3" w14:textId="77777777" w:rsidR="00FD0DA6" w:rsidRDefault="00D509A2" w:rsidP="00D509A2">
      <w:pPr>
        <w:pStyle w:val="Heading3"/>
      </w:pPr>
      <w:r w:rsidRPr="009676F1">
        <w:rPr>
          <w:u w:val="single"/>
        </w:rPr>
        <w:t>Termination Payment After the Initial Delivery Date Occurs</w:t>
      </w:r>
      <w:r w:rsidRPr="009676F1">
        <w:t xml:space="preserve">. </w:t>
      </w:r>
    </w:p>
    <w:p w14:paraId="7D0B7FD4" w14:textId="218CC62D" w:rsidR="00D509A2" w:rsidRPr="009676F1" w:rsidRDefault="00D509A2" w:rsidP="00DB7FE0">
      <w:pPr>
        <w:pStyle w:val="Heading3Text"/>
      </w:pPr>
      <w:r w:rsidRPr="009676F1">
        <w:t>If the Early Termination Date occurs after the Initial Delivery Date, then 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w:t>
      </w:r>
      <w:r w:rsidR="006B7AB2">
        <w:t xml:space="preserve"> </w:t>
      </w:r>
      <w:r w:rsidR="006B7AB2" w:rsidRPr="00F92A56">
        <w:rPr>
          <w:i/>
          <w:color w:val="00B050"/>
        </w:rPr>
        <w:t>[Notwithstanding the foregoing, if this Agreement is terminated due to an Event of Default under Section 10.01(b)(x</w:t>
      </w:r>
      <w:r w:rsidR="006B7AB2">
        <w:rPr>
          <w:i/>
          <w:color w:val="00B050"/>
        </w:rPr>
        <w:t>ix</w:t>
      </w:r>
      <w:r w:rsidR="006B7AB2" w:rsidRPr="00F92A56">
        <w:rPr>
          <w:i/>
          <w:color w:val="00B050"/>
        </w:rPr>
        <w:t>) (failure to exercise Maximum Efforts during an N-2 Event), then the Termination Payment shall be the greater of (a) the amount calculated pursuant to the preceding sentence and (b) the Performance Assurance.]</w:t>
      </w:r>
    </w:p>
    <w:p w14:paraId="0CA26F9C" w14:textId="77777777" w:rsidR="00D509A2" w:rsidRPr="00FF157D" w:rsidRDefault="00D509A2" w:rsidP="00D509A2">
      <w:pPr>
        <w:pStyle w:val="Heading2"/>
        <w:keepNext w:val="0"/>
        <w:keepLines w:val="0"/>
        <w:rPr>
          <w:u w:val="none"/>
        </w:rPr>
      </w:pPr>
      <w:bookmarkStart w:id="416" w:name="_Toc505940276"/>
      <w:bookmarkStart w:id="417" w:name="_Toc505940394"/>
      <w:bookmarkStart w:id="418" w:name="_Toc467577482"/>
      <w:bookmarkStart w:id="419" w:name="_Toc470014742"/>
      <w:bookmarkStart w:id="420" w:name="_Toc470855935"/>
      <w:bookmarkStart w:id="421" w:name="_Toc510788290"/>
      <w:bookmarkEnd w:id="416"/>
      <w:bookmarkEnd w:id="417"/>
      <w:r w:rsidRPr="0027789B">
        <w:t>Notice of Termination Payment</w:t>
      </w:r>
      <w:r w:rsidRPr="00FF157D">
        <w:rPr>
          <w:u w:val="none"/>
        </w:rPr>
        <w:t>.</w:t>
      </w:r>
      <w:bookmarkEnd w:id="418"/>
      <w:bookmarkEnd w:id="419"/>
      <w:bookmarkEnd w:id="420"/>
      <w:bookmarkEnd w:id="421"/>
    </w:p>
    <w:p w14:paraId="4EA06C78" w14:textId="77777777" w:rsidR="00D509A2" w:rsidRDefault="00D509A2" w:rsidP="00D509A2">
      <w:pPr>
        <w:pStyle w:val="Heading2Text"/>
      </w:pPr>
      <w:r w:rsidRPr="0027789B">
        <w:t>As soon as practicable after an Early Termination Date is declared, the Non-Defaulting Party shall provide Notice to the Defaulting Party of the Termination Payment.</w:t>
      </w:r>
    </w:p>
    <w:p w14:paraId="7B6E054B" w14:textId="09465BED" w:rsidR="00D509A2" w:rsidRPr="0027789B" w:rsidRDefault="00D509A2" w:rsidP="00D509A2">
      <w:pPr>
        <w:pStyle w:val="Heading2Text"/>
      </w:pPr>
      <w:r w:rsidRPr="0027789B">
        <w:t xml:space="preserve">The Notice must include a written statement setting forth, in reasonable detail, the calculation of such Termination Payment, together with appropriate supporting </w:t>
      </w:r>
      <w:r w:rsidRPr="0027789B">
        <w:lastRenderedPageBreak/>
        <w:t>documentation.</w:t>
      </w:r>
      <w:r w:rsidR="00B52208">
        <w:t xml:space="preserve"> </w:t>
      </w:r>
      <w:r w:rsidR="00B52208" w:rsidRPr="00B52208">
        <w:t>If SCE is the Non-Defaulting Party and reasonably expects to incur penalties, fines or costs from the CAISO, the CPUC, or any other Governmental Authority, then SCE may estimate the amount of those penalties and fines and include them in the Termination Payment amount.</w:t>
      </w:r>
    </w:p>
    <w:p w14:paraId="46CDF5F2" w14:textId="5B00CD84" w:rsidR="00D509A2" w:rsidRPr="0027789B" w:rsidRDefault="00D509A2" w:rsidP="00D509A2">
      <w:pPr>
        <w:pStyle w:val="Heading2Text"/>
      </w:pPr>
      <w:r w:rsidRPr="0027789B">
        <w:t>If the Termination Payment is owed to the Non-Defaulting Party, then the Defaulting Party shall pay such amount to the Non-Defaulting Party within five (5) Business Days after the Notice is provided</w:t>
      </w:r>
      <w:r>
        <w:t xml:space="preserve">. </w:t>
      </w:r>
      <w:r w:rsidRPr="0027789B">
        <w:t xml:space="preserve">If the Termination Payment is owed to the Defaulting Party, then </w:t>
      </w:r>
      <w:r w:rsidR="001C1A8F" w:rsidRPr="00833EDE">
        <w:t>the Forward Settlement Amount shall be zero dollars ($0) and the Non-Defaulting Party shall only pay to the Defaulting Party, within thirty (30) days after the Notice is provided, any amounts owed by the Non-Defaulting Party to the Defaulting Party determined as of the Early Termination Date</w:t>
      </w:r>
      <w:r w:rsidRPr="0027789B">
        <w:t>.</w:t>
      </w:r>
    </w:p>
    <w:p w14:paraId="66612DBD" w14:textId="6F3623D9" w:rsidR="00D509A2" w:rsidRPr="0027789B" w:rsidRDefault="00D509A2" w:rsidP="00D509A2">
      <w:pPr>
        <w:pStyle w:val="Heading2Text"/>
      </w:pPr>
      <w:r w:rsidRPr="0027789B">
        <w:t>The Parties shall negotiate in good faith to resolve any disputes regarding the calculation of the Termination Payment</w:t>
      </w:r>
      <w:r>
        <w:t xml:space="preserve">. </w:t>
      </w:r>
      <w:r w:rsidRPr="0027789B">
        <w:t xml:space="preserve">Any Disputes which the Parties are unable to resolve through negotiation may be submitted for resolution through mediation and arbitration as provided in </w:t>
      </w:r>
      <w:r w:rsidRPr="002F5C7B">
        <w:t xml:space="preserve">Article </w:t>
      </w:r>
      <w:r w:rsidR="009B2ACF">
        <w:t>12</w:t>
      </w:r>
      <w:r w:rsidR="002F5C7B" w:rsidRPr="002F5C7B">
        <w:t xml:space="preserve"> (Disputes)</w:t>
      </w:r>
      <w:r w:rsidRPr="002F5C7B">
        <w:t>.</w:t>
      </w:r>
    </w:p>
    <w:p w14:paraId="392489EC" w14:textId="77777777" w:rsidR="00D509A2" w:rsidRPr="00FF157D" w:rsidRDefault="00D509A2" w:rsidP="00D509A2">
      <w:pPr>
        <w:pStyle w:val="Heading2"/>
        <w:keepNext w:val="0"/>
        <w:keepLines w:val="0"/>
        <w:rPr>
          <w:u w:val="none"/>
        </w:rPr>
      </w:pPr>
      <w:bookmarkStart w:id="422" w:name="_Toc467577483"/>
      <w:bookmarkStart w:id="423" w:name="_Toc470014743"/>
      <w:bookmarkStart w:id="424" w:name="_Toc470855936"/>
      <w:bookmarkStart w:id="425" w:name="_Toc510788291"/>
      <w:r w:rsidRPr="0027789B">
        <w:t>Limitation on Seller’s Ability to Make or Agree to Third Party Sales from the Project/Storage Units after Early Termination Date</w:t>
      </w:r>
      <w:r w:rsidRPr="00FF157D">
        <w:rPr>
          <w:u w:val="none"/>
        </w:rPr>
        <w:t>.</w:t>
      </w:r>
      <w:bookmarkEnd w:id="422"/>
      <w:bookmarkEnd w:id="423"/>
      <w:bookmarkEnd w:id="424"/>
      <w:bookmarkEnd w:id="425"/>
    </w:p>
    <w:p w14:paraId="49CBE98B" w14:textId="713C7426" w:rsidR="00D509A2" w:rsidRPr="00541852" w:rsidRDefault="00D509A2" w:rsidP="00D509A2">
      <w:pPr>
        <w:pStyle w:val="Heading2Text"/>
      </w:pPr>
      <w:r w:rsidRPr="0027789B">
        <w:t xml:space="preserve">If Seller terminates this Agreement as </w:t>
      </w:r>
      <w:r w:rsidRPr="00B06EAD">
        <w:t>provided in Section</w:t>
      </w:r>
      <w:r w:rsidR="00B06EAD" w:rsidRPr="00B06EAD">
        <w:t>s 2.0</w:t>
      </w:r>
      <w:r w:rsidR="00633AAC">
        <w:t>7</w:t>
      </w:r>
      <w:r w:rsidRPr="00B06EAD">
        <w:t xml:space="preserve"> or</w:t>
      </w:r>
      <w:r w:rsidRPr="0084576D">
        <w:t xml:space="preserve"> </w:t>
      </w:r>
      <w:r w:rsidR="009B2ACF">
        <w:t>8</w:t>
      </w:r>
      <w:r w:rsidRPr="0084576D">
        <w:t>.03(a) or (b) (based on a Force Majeure as to which Seller is the Claiming Party), or if SCE</w:t>
      </w:r>
      <w:r w:rsidRPr="0027789B">
        <w:t xml:space="preserve"> terminates this Agreement due to Seller’s Event of Default prior to the Initial Delivery Date, neither Seller nor Seller’s Affiliates may sell, market or deliver any Resource Adequacy Benefits associated with or attributable to any Storage Unit or the Project to a party other than SCE for a period of two (2) years following the Early Termination Date, unless prior to selling, marketing or delivering such Resource Adequacy Benefits, or entering into the agreement to sell, market or deliver such Resource Adequacy Benefits to a party other than SCE, Seller or Seller’s Affiliates provides SCE with a written offer to sell the Resource Adequacy Benefits which provides SCE the right to select in its sole discretion to purchase such Resource Adequacy Benefits on either the terms and conditions materially similar to the terms and conditions contained in this Agreement or the terms and conditions to which the third party agreed, and SCE fails to accept such offer within </w:t>
      </w:r>
      <w:r w:rsidRPr="009676F1">
        <w:t>forty-fi</w:t>
      </w:r>
      <w:r w:rsidRPr="00541852">
        <w:t xml:space="preserve">ve (45) days </w:t>
      </w:r>
      <w:r w:rsidR="005E44F5">
        <w:t>after</w:t>
      </w:r>
      <w:r w:rsidR="005E44F5" w:rsidRPr="00541852">
        <w:t xml:space="preserve"> </w:t>
      </w:r>
      <w:r w:rsidRPr="00541852">
        <w:t>SCE’s receipt thereof.</w:t>
      </w:r>
    </w:p>
    <w:p w14:paraId="2ECB45ED" w14:textId="15D86D84" w:rsidR="00D509A2" w:rsidRPr="00541852" w:rsidRDefault="00D509A2" w:rsidP="00D509A2">
      <w:pPr>
        <w:pStyle w:val="Heading2Text"/>
      </w:pPr>
      <w:r w:rsidRPr="00541852">
        <w:t>Neither Seller nor Seller’s Affiliates may sell or transfer the Project, or any part thereof, or land rights or interests in the Site (including the Interconnection Queue Position) so long as the limitations contained in this Section</w:t>
      </w:r>
      <w:r w:rsidR="00541852" w:rsidRPr="00541852">
        <w:t xml:space="preserve"> </w:t>
      </w:r>
      <w:r w:rsidR="009B2ACF">
        <w:t>10</w:t>
      </w:r>
      <w:r w:rsidRPr="00541852">
        <w:t>.05 apply, unless the transferee agrees to be bound by the terms set forth in this Section</w:t>
      </w:r>
      <w:r w:rsidR="00541852" w:rsidRPr="00541852">
        <w:t xml:space="preserve"> </w:t>
      </w:r>
      <w:r w:rsidR="009B2ACF">
        <w:t>10</w:t>
      </w:r>
      <w:r w:rsidRPr="00541852">
        <w:t>.05 pursuant to a written agreement approved by SCE.</w:t>
      </w:r>
    </w:p>
    <w:p w14:paraId="47465310" w14:textId="14F02035" w:rsidR="00D509A2" w:rsidRPr="00541852" w:rsidRDefault="00D509A2" w:rsidP="00D509A2">
      <w:pPr>
        <w:pStyle w:val="Heading2Text"/>
      </w:pPr>
      <w:r w:rsidRPr="00541852">
        <w:t>Upon termination of this Agreement pursuant to the Sections referenced in the first paragraph of this Section</w:t>
      </w:r>
      <w:r w:rsidR="00541852" w:rsidRPr="00541852">
        <w:t xml:space="preserve"> </w:t>
      </w:r>
      <w:r w:rsidR="009B2ACF">
        <w:t>10</w:t>
      </w:r>
      <w:r w:rsidRPr="00541852">
        <w:t xml:space="preserve">.05, Seller shall deliver a notice of SCE’s rights in respect </w:t>
      </w:r>
      <w:r w:rsidRPr="00541852">
        <w:lastRenderedPageBreak/>
        <w:t>of the Site, in a form reasonably acceptable to SCE, that SCE may record giving notice of SCE’s rights under this Section</w:t>
      </w:r>
      <w:r w:rsidR="00541852" w:rsidRPr="00541852">
        <w:t xml:space="preserve"> </w:t>
      </w:r>
      <w:r w:rsidR="009B2ACF">
        <w:t>10</w:t>
      </w:r>
      <w:r w:rsidRPr="00541852">
        <w:t>.05.</w:t>
      </w:r>
    </w:p>
    <w:p w14:paraId="02C6F7FD" w14:textId="77777777" w:rsidR="00D509A2" w:rsidRPr="00FF157D" w:rsidRDefault="00D509A2" w:rsidP="00D509A2">
      <w:pPr>
        <w:pStyle w:val="Heading2"/>
        <w:keepNext w:val="0"/>
        <w:keepLines w:val="0"/>
        <w:rPr>
          <w:u w:val="none"/>
        </w:rPr>
      </w:pPr>
      <w:bookmarkStart w:id="426" w:name="_Toc497310344"/>
      <w:bookmarkStart w:id="427" w:name="_Toc497310477"/>
      <w:bookmarkStart w:id="428" w:name="_Toc497468457"/>
      <w:bookmarkStart w:id="429" w:name="_Toc467577484"/>
      <w:bookmarkStart w:id="430" w:name="_Toc470014744"/>
      <w:bookmarkStart w:id="431" w:name="_Toc470855937"/>
      <w:bookmarkStart w:id="432" w:name="_Toc510788292"/>
      <w:bookmarkEnd w:id="426"/>
      <w:bookmarkEnd w:id="427"/>
      <w:bookmarkEnd w:id="428"/>
      <w:r w:rsidRPr="0027789B">
        <w:t>Effect of Termination</w:t>
      </w:r>
      <w:r w:rsidRPr="00FF157D">
        <w:rPr>
          <w:u w:val="none"/>
        </w:rPr>
        <w:t>.</w:t>
      </w:r>
      <w:bookmarkEnd w:id="429"/>
      <w:bookmarkEnd w:id="430"/>
      <w:bookmarkEnd w:id="431"/>
      <w:bookmarkEnd w:id="432"/>
    </w:p>
    <w:p w14:paraId="0BF36684" w14:textId="5BC15B3E" w:rsidR="00D509A2" w:rsidRDefault="00D509A2" w:rsidP="00D509A2">
      <w:pPr>
        <w:pStyle w:val="Heading2Text"/>
      </w:pPr>
      <w:r w:rsidRPr="0027789B">
        <w:t>Termination of this Agreement shall not operate to discharge any liability which has been incurred by either Party prior to the effective date of such termination.</w:t>
      </w:r>
    </w:p>
    <w:p w14:paraId="2EA10D3E" w14:textId="13B08B88" w:rsidR="00D509A2" w:rsidRPr="0027789B" w:rsidRDefault="00D509A2" w:rsidP="00D509A2">
      <w:pPr>
        <w:pStyle w:val="Heading1"/>
        <w:keepNext w:val="0"/>
        <w:keepLines w:val="0"/>
      </w:pPr>
      <w:bookmarkStart w:id="433" w:name="_Toc510788293"/>
      <w:r w:rsidRPr="0027789B">
        <w:t>LIMITATIONS</w:t>
      </w:r>
      <w:bookmarkEnd w:id="396"/>
      <w:bookmarkEnd w:id="397"/>
      <w:bookmarkEnd w:id="398"/>
      <w:bookmarkEnd w:id="433"/>
    </w:p>
    <w:p w14:paraId="7385E11B" w14:textId="77777777" w:rsidR="00D509A2" w:rsidRPr="00FF157D" w:rsidRDefault="00D509A2" w:rsidP="00D509A2">
      <w:pPr>
        <w:pStyle w:val="Heading2"/>
        <w:keepNext w:val="0"/>
        <w:keepLines w:val="0"/>
        <w:rPr>
          <w:u w:val="none"/>
        </w:rPr>
      </w:pPr>
      <w:bookmarkStart w:id="434" w:name="_Toc467577599"/>
      <w:bookmarkStart w:id="435" w:name="_Toc470014859"/>
      <w:bookmarkStart w:id="436" w:name="_Toc470856050"/>
      <w:bookmarkStart w:id="437" w:name="_Toc510788294"/>
      <w:r w:rsidRPr="0027789B">
        <w:t>Limitation of Remedies, Liability and Damages</w:t>
      </w:r>
      <w:r w:rsidRPr="00FF157D">
        <w:rPr>
          <w:u w:val="none"/>
        </w:rPr>
        <w:t>.</w:t>
      </w:r>
      <w:bookmarkEnd w:id="434"/>
      <w:bookmarkEnd w:id="435"/>
      <w:bookmarkEnd w:id="436"/>
      <w:bookmarkEnd w:id="437"/>
    </w:p>
    <w:p w14:paraId="7219C3FD" w14:textId="77777777" w:rsidR="00D509A2" w:rsidRPr="0027789B" w:rsidRDefault="00D509A2" w:rsidP="00546E7F">
      <w:pPr>
        <w:pStyle w:val="Heading2Text"/>
        <w:ind w:left="900"/>
      </w:pPr>
      <w:r w:rsidRPr="0027789B">
        <w:t>EXCEPT AS SET FORTH HEREIN, THERE ARE NO WARRANTIES BY EITHER PARTY UNDER THIS AGREEMENT, INCLUDING ANY WARRANTY OF MERCHANTABILITY OR FITNESS FOR A PARTICULAR PURPOSE, AND ANY AND ALL IMPLIED WARRANTIES ARE DISCLAIMED</w:t>
      </w:r>
      <w:r>
        <w:t xml:space="preserve">. </w:t>
      </w:r>
      <w:r w:rsidRPr="0027789B">
        <w:t>THE PARTIES CONFIRM THAT THE EXPRESS REMEDIES AND MEASURES OF DAMAGES PROVIDED IN THIS AGREEMENT SATISFY THE ESSENTIAL PURPOSES HEREOF.</w:t>
      </w:r>
    </w:p>
    <w:p w14:paraId="6180B26D" w14:textId="77777777" w:rsidR="00D509A2" w:rsidRPr="0027789B" w:rsidRDefault="00D509A2" w:rsidP="00546E7F">
      <w:pPr>
        <w:pStyle w:val="Heading2Text"/>
        <w:ind w:left="900"/>
      </w:pPr>
      <w:r w:rsidRPr="0027789B">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2149E0A2" w14:textId="65D72BC0" w:rsidR="00D509A2" w:rsidRPr="0027789B" w:rsidRDefault="00D509A2" w:rsidP="00546E7F">
      <w:pPr>
        <w:pStyle w:val="Heading2Text"/>
        <w:ind w:left="900"/>
        <w:rPr>
          <w:i/>
          <w:iCs/>
        </w:rPr>
      </w:pPr>
      <w:r w:rsidRPr="0027789B">
        <w:t>SUBJECT TO SECTION </w:t>
      </w:r>
      <w:r w:rsidR="009B2ACF">
        <w:t>12</w:t>
      </w:r>
      <w:r w:rsidRPr="0027789B">
        <w:t>.04</w:t>
      </w:r>
      <w:r w:rsidR="002F5C7B">
        <w:t xml:space="preserve"> (PROVISIONAL RELIEF)</w:t>
      </w:r>
      <w:r w:rsidRPr="0027789B">
        <w:t>,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2A3B62F2" w14:textId="2B1464DB" w:rsidR="00D509A2" w:rsidRPr="0027789B" w:rsidRDefault="00D509A2" w:rsidP="00546E7F">
      <w:pPr>
        <w:pStyle w:val="Heading2Text"/>
        <w:ind w:left="900"/>
      </w:pPr>
      <w:r w:rsidRPr="0027789B">
        <w:t xml:space="preserve">UNLESS EXPRESSLY PROVIDED IN THIS AGREEMENT, INCLUDING THE PROVISIONS OF ARTICLE </w:t>
      </w:r>
      <w:r w:rsidR="002E2123">
        <w:t>13</w:t>
      </w:r>
      <w:r w:rsidRPr="0027789B">
        <w:t xml:space="preserve"> (INDEMNIFICATION), NEITHER PARTY WILL BE LIABLE FOR CONSEQUENTIAL, INCIDENTAL, PUNITIVE, EXEMPLARY OR INDIRECT DAMAGES, LOST PROFITS OR OTHER BUSINESS INTERRUPTION DAMAGES, BY STATUTE, IN TORT OR CONTRACT, UNDER ANY INDEMNITY PROVISION OR OTHERWISE.</w:t>
      </w:r>
    </w:p>
    <w:p w14:paraId="434FAB51" w14:textId="77777777" w:rsidR="00D509A2" w:rsidRPr="0027789B" w:rsidRDefault="00D509A2" w:rsidP="00546E7F">
      <w:pPr>
        <w:pStyle w:val="Heading2Text"/>
        <w:ind w:left="900"/>
      </w:pPr>
      <w:r w:rsidRPr="0027789B">
        <w:lastRenderedPageBreak/>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626C0E40" w14:textId="77777777" w:rsidR="00D509A2" w:rsidRPr="0027789B" w:rsidRDefault="00D509A2" w:rsidP="00546E7F">
      <w:pPr>
        <w:pStyle w:val="Heading2Text"/>
        <w:ind w:left="900"/>
      </w:pPr>
      <w:r w:rsidRPr="0027789B">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666BA68F" w14:textId="77777777" w:rsidR="00D509A2" w:rsidRPr="0027789B" w:rsidRDefault="00D509A2" w:rsidP="00546E7F">
      <w:pPr>
        <w:pStyle w:val="Heading2Text"/>
        <w:ind w:left="900"/>
        <w:rPr>
          <w:caps/>
        </w:rPr>
      </w:pPr>
      <w:r w:rsidRPr="0027789B">
        <w:t xml:space="preserve">NOTHING IN THIS ARTICLE PREVENTS, OR IS INTENDED TO PREVENT SCE FROM PROCEEDING AGAINST OR EXERCISING ITS RIGHTS WITH RESPECT TO ANY </w:t>
      </w:r>
      <w:r>
        <w:t>PROJECT</w:t>
      </w:r>
      <w:r w:rsidRPr="0027789B">
        <w:t xml:space="preserve"> SECURITY.</w:t>
      </w:r>
    </w:p>
    <w:p w14:paraId="4AE198B6" w14:textId="77777777" w:rsidR="00D509A2" w:rsidRPr="00FF157D" w:rsidRDefault="00D509A2" w:rsidP="00D509A2">
      <w:pPr>
        <w:pStyle w:val="Heading2"/>
        <w:keepNext w:val="0"/>
        <w:keepLines w:val="0"/>
        <w:rPr>
          <w:u w:val="none"/>
        </w:rPr>
      </w:pPr>
      <w:bookmarkStart w:id="438" w:name="_Toc467577600"/>
      <w:bookmarkStart w:id="439" w:name="_Toc470014860"/>
      <w:bookmarkStart w:id="440" w:name="_Toc470856051"/>
      <w:bookmarkStart w:id="441" w:name="_Toc510788295"/>
      <w:r w:rsidRPr="0027789B">
        <w:t>No Representation by SCE</w:t>
      </w:r>
      <w:r w:rsidRPr="00FF157D">
        <w:rPr>
          <w:u w:val="none"/>
        </w:rPr>
        <w:t>.</w:t>
      </w:r>
      <w:bookmarkEnd w:id="438"/>
      <w:bookmarkEnd w:id="439"/>
      <w:bookmarkEnd w:id="440"/>
      <w:bookmarkEnd w:id="441"/>
    </w:p>
    <w:p w14:paraId="4158E1ED" w14:textId="4FAFCEBD" w:rsidR="00D509A2" w:rsidRDefault="00D509A2" w:rsidP="00D509A2">
      <w:pPr>
        <w:pStyle w:val="Heading2Text"/>
      </w:pPr>
      <w:r w:rsidRPr="0027789B">
        <w:t>Any review by SCE or its consultants of the Project, including the design, construction or refurbishment, operation or maintenance of the Project, or otherwise, is solely for SCE’s information</w:t>
      </w:r>
      <w:r>
        <w:t xml:space="preserve">. </w:t>
      </w:r>
      <w:r w:rsidRPr="0027789B">
        <w:t>By making such review, SCE makes no representation as to the economic and technical feasibility, operational capability, or reliability of the Project, and Seller shall in no way represent to any third party that any such review by SCE of the Project, including any review of the design, construction or renovation, operation, or maintenance of the Project by SCE, constitutes any such representation by SCE</w:t>
      </w:r>
      <w:r>
        <w:t xml:space="preserve">. </w:t>
      </w:r>
      <w:r w:rsidRPr="0027789B">
        <w:t>Seller is solely responsible for the economic and technical feasibility, operational capability, and reliability of the Project.</w:t>
      </w:r>
    </w:p>
    <w:p w14:paraId="7AA0073E" w14:textId="77777777" w:rsidR="00D3276C" w:rsidRPr="00FF157D" w:rsidRDefault="00D3276C" w:rsidP="00D3276C">
      <w:pPr>
        <w:pStyle w:val="Heading2"/>
        <w:keepNext w:val="0"/>
        <w:keepLines w:val="0"/>
        <w:rPr>
          <w:u w:val="none"/>
        </w:rPr>
      </w:pPr>
      <w:bookmarkStart w:id="442" w:name="_Toc510788296"/>
      <w:r w:rsidRPr="0027789B">
        <w:t>Separation of Functions</w:t>
      </w:r>
      <w:r w:rsidRPr="00FF157D">
        <w:rPr>
          <w:u w:val="none"/>
        </w:rPr>
        <w:t>.</w:t>
      </w:r>
      <w:bookmarkEnd w:id="442"/>
    </w:p>
    <w:p w14:paraId="6842CB4F" w14:textId="6D4B9B5C" w:rsidR="00D3276C" w:rsidRDefault="00D3276C" w:rsidP="00D3276C">
      <w:pPr>
        <w:pStyle w:val="Heading2Text"/>
      </w:pPr>
      <w:r w:rsidRPr="0027789B">
        <w:t>The Parties acknowledge that they have no rights against each other or obligations to each other under this Agreement with respect to any relationship between the Parties in which SCE is acting in its capacity as an owner or provider of electrical interconnection, transmission, or distribution service or equipment, and that this Agreement conveys no rights or obligations with respect to electrical interconnection, transmission, or distribution service or equipment. The Parties further acknowledge that SCE is not responsible for or liable in any way for any delay or failure by Seller to achieve the Initial Delivery Date by the Expected Initial Delivery Date</w:t>
      </w:r>
      <w:r>
        <w:t xml:space="preserve"> or Initial Delivery Deadline, as applicable</w:t>
      </w:r>
      <w:r w:rsidRPr="0027789B">
        <w:t>, and Seller’s non-performance of any provision of this Agreement shall not be excused to any greater extent due to any action or inaction of SCE in its capacity as an owner or provider of electrical interconnection,</w:t>
      </w:r>
      <w:r w:rsidRPr="0027789B">
        <w:rPr>
          <w:strike/>
        </w:rPr>
        <w:t xml:space="preserve"> </w:t>
      </w:r>
      <w:r w:rsidRPr="0027789B">
        <w:t>transmission, or distribution service or equipment than it would be if the non-performance were due to any action or inaction of a person other than SCE.</w:t>
      </w:r>
    </w:p>
    <w:p w14:paraId="34FF4C34" w14:textId="77777777" w:rsidR="00A01DF3" w:rsidRPr="009676F1" w:rsidRDefault="008E65AA" w:rsidP="00FF157D">
      <w:pPr>
        <w:pStyle w:val="Heading1"/>
        <w:keepNext w:val="0"/>
        <w:keepLines w:val="0"/>
      </w:pPr>
      <w:bookmarkStart w:id="443" w:name="_Toc497310350"/>
      <w:bookmarkStart w:id="444" w:name="_Toc497310483"/>
      <w:bookmarkStart w:id="445" w:name="_Toc497468463"/>
      <w:bookmarkStart w:id="446" w:name="_Toc510788297"/>
      <w:bookmarkEnd w:id="443"/>
      <w:bookmarkEnd w:id="444"/>
      <w:bookmarkEnd w:id="445"/>
      <w:r w:rsidRPr="009676F1">
        <w:lastRenderedPageBreak/>
        <w:t>DISPUTES</w:t>
      </w:r>
      <w:bookmarkEnd w:id="399"/>
      <w:bookmarkEnd w:id="400"/>
      <w:bookmarkEnd w:id="401"/>
      <w:bookmarkEnd w:id="446"/>
    </w:p>
    <w:p w14:paraId="411B3EB5" w14:textId="77777777" w:rsidR="00C56E4F" w:rsidRPr="009676F1" w:rsidRDefault="008E65AA" w:rsidP="00FF157D">
      <w:pPr>
        <w:pStyle w:val="Heading2"/>
        <w:keepNext w:val="0"/>
        <w:keepLines w:val="0"/>
        <w:rPr>
          <w:u w:val="none"/>
        </w:rPr>
      </w:pPr>
      <w:bookmarkStart w:id="447" w:name="_Toc467577607"/>
      <w:bookmarkStart w:id="448" w:name="_Toc470014867"/>
      <w:bookmarkStart w:id="449" w:name="_Toc470856058"/>
      <w:bookmarkStart w:id="450" w:name="_Toc510788298"/>
      <w:r w:rsidRPr="009676F1">
        <w:t>Dispute Resolution</w:t>
      </w:r>
      <w:r w:rsidRPr="009676F1">
        <w:rPr>
          <w:u w:val="none"/>
        </w:rPr>
        <w:t>.</w:t>
      </w:r>
      <w:bookmarkEnd w:id="447"/>
      <w:bookmarkEnd w:id="448"/>
      <w:bookmarkEnd w:id="449"/>
      <w:bookmarkEnd w:id="450"/>
    </w:p>
    <w:p w14:paraId="4D417B19" w14:textId="4CA9DBDE" w:rsidR="00A01DF3" w:rsidRPr="002F5C7B" w:rsidRDefault="008E65AA" w:rsidP="00FF157D">
      <w:pPr>
        <w:pStyle w:val="Heading2Text"/>
      </w:pPr>
      <w:r w:rsidRPr="009676F1">
        <w:t xml:space="preserve">Other than requests for provisional </w:t>
      </w:r>
      <w:r w:rsidRPr="002F5C7B">
        <w:t>relief under Section </w:t>
      </w:r>
      <w:r w:rsidR="009B2ACF">
        <w:t>12</w:t>
      </w:r>
      <w:r w:rsidRPr="002F5C7B">
        <w:t>.04</w:t>
      </w:r>
      <w:r w:rsidR="002F5C7B" w:rsidRPr="002F5C7B">
        <w:t xml:space="preserve"> (Provisional Relief)</w:t>
      </w:r>
      <w:r w:rsidRPr="002F5C7B">
        <w:t>, any and all Disputes which the Parties have been unable to resolve by informal methods after undertaking a good faith effort to do so, must first be submitted to mediation under the procedures described in Section </w:t>
      </w:r>
      <w:r w:rsidR="009B2ACF">
        <w:t>12</w:t>
      </w:r>
      <w:r w:rsidRPr="002F5C7B">
        <w:t>.02</w:t>
      </w:r>
      <w:r w:rsidR="002F5C7B" w:rsidRPr="002F5C7B">
        <w:t xml:space="preserve"> (Mediation)</w:t>
      </w:r>
      <w:r w:rsidRPr="002F5C7B">
        <w:t xml:space="preserve"> below, and if the matter is not resolved through mediation, then for final and binding arbitration under the procedures described in Section </w:t>
      </w:r>
      <w:r w:rsidR="009B2ACF">
        <w:t>12</w:t>
      </w:r>
      <w:r w:rsidRPr="002F5C7B">
        <w:t>.03</w:t>
      </w:r>
      <w:r w:rsidR="002F5C7B" w:rsidRPr="002F5C7B">
        <w:t xml:space="preserve"> (Arbitration)</w:t>
      </w:r>
      <w:r w:rsidRPr="002F5C7B">
        <w:t xml:space="preserve"> below.</w:t>
      </w:r>
    </w:p>
    <w:p w14:paraId="641C43A6" w14:textId="4B3A9806" w:rsidR="00A01DF3" w:rsidRPr="0027789B" w:rsidRDefault="008E65AA" w:rsidP="00FF157D">
      <w:pPr>
        <w:pStyle w:val="Heading2Text"/>
      </w:pPr>
      <w:r w:rsidRPr="002F5C7B">
        <w:t>The Parties agree that there will be no interlocutory appellate relief (such as writs) available</w:t>
      </w:r>
      <w:r w:rsidR="001D4101" w:rsidRPr="002F5C7B">
        <w:t xml:space="preserve">. </w:t>
      </w:r>
      <w:r w:rsidRPr="002F5C7B">
        <w:t xml:space="preserve">Any Dispute resolution process pursuant to this Article </w:t>
      </w:r>
      <w:r w:rsidR="009B2ACF">
        <w:t>12</w:t>
      </w:r>
      <w:r w:rsidR="002F5C7B" w:rsidRPr="002F5C7B">
        <w:t xml:space="preserve"> (Disputes</w:t>
      </w:r>
      <w:r w:rsidR="002F5C7B">
        <w:t>)</w:t>
      </w:r>
      <w:r w:rsidRPr="009676F1">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w:t>
      </w:r>
      <w:r w:rsidRPr="0027789B">
        <w:t xml:space="preserve"> on the earliest date that such facts were reasonably capable of being discovere</w:t>
      </w:r>
      <w:r w:rsidR="00021999" w:rsidRPr="0027789B">
        <w:t>d, and in no event more than four (4) years after the Dispute occurred</w:t>
      </w:r>
      <w:r w:rsidR="001D4101">
        <w:t xml:space="preserve">. </w:t>
      </w:r>
      <w:r w:rsidR="00021999" w:rsidRPr="0027789B">
        <w:t xml:space="preserve">If any </w:t>
      </w:r>
      <w:r w:rsidRPr="0027789B">
        <w:t xml:space="preserve">Dispute resolution process pursuant to </w:t>
      </w:r>
      <w:r w:rsidR="00021999" w:rsidRPr="0027789B">
        <w:t xml:space="preserve">this </w:t>
      </w:r>
      <w:r w:rsidRPr="002F5C7B">
        <w:t xml:space="preserve">Article </w:t>
      </w:r>
      <w:r w:rsidR="009B2ACF">
        <w:t>12</w:t>
      </w:r>
      <w:r w:rsidRPr="002F5C7B">
        <w:t xml:space="preserve"> with</w:t>
      </w:r>
      <w:r w:rsidRPr="0027789B">
        <w:t xml:space="preserve"> respect to a Dispute is not commenced within such one (1) year time period, such Dispute shall be barred, without regard to any other limitations period set forth by law or statute.</w:t>
      </w:r>
    </w:p>
    <w:p w14:paraId="2B5C21C8" w14:textId="77777777" w:rsidR="00C56E4F" w:rsidRPr="00FF157D" w:rsidRDefault="008E65AA" w:rsidP="00FF157D">
      <w:pPr>
        <w:pStyle w:val="Heading2"/>
        <w:keepNext w:val="0"/>
        <w:keepLines w:val="0"/>
        <w:rPr>
          <w:u w:val="none"/>
        </w:rPr>
      </w:pPr>
      <w:bookmarkStart w:id="451" w:name="_Toc467577608"/>
      <w:bookmarkStart w:id="452" w:name="_Toc470014868"/>
      <w:bookmarkStart w:id="453" w:name="_Toc470856059"/>
      <w:bookmarkStart w:id="454" w:name="_Toc510788299"/>
      <w:r w:rsidRPr="0027789B">
        <w:t>Mediation</w:t>
      </w:r>
      <w:r w:rsidRPr="00FF157D">
        <w:rPr>
          <w:u w:val="none"/>
        </w:rPr>
        <w:t>.</w:t>
      </w:r>
      <w:bookmarkEnd w:id="451"/>
      <w:bookmarkEnd w:id="452"/>
      <w:bookmarkEnd w:id="453"/>
      <w:bookmarkEnd w:id="454"/>
    </w:p>
    <w:p w14:paraId="0888AD68" w14:textId="618DBA16" w:rsidR="00A01DF3" w:rsidRPr="0027789B" w:rsidRDefault="008E65AA" w:rsidP="00477BAF">
      <w:pPr>
        <w:pStyle w:val="Heading2Text"/>
        <w:widowControl w:val="0"/>
      </w:pPr>
      <w:r w:rsidRPr="0027789B">
        <w:t xml:space="preserve">Either Party may initiate mediation by providing Notice to the other Party in accordance </w:t>
      </w:r>
      <w:r w:rsidRPr="009676F1">
        <w:t xml:space="preserve">with </w:t>
      </w:r>
      <w:r w:rsidRPr="000678FD">
        <w:t>Section</w:t>
      </w:r>
      <w:r w:rsidR="002E2123">
        <w:t> 14</w:t>
      </w:r>
      <w:r w:rsidRPr="000678FD">
        <w:t>.02 of a written request</w:t>
      </w:r>
      <w:r w:rsidRPr="0027789B">
        <w:t xml:space="preserve"> for mediation, setting forth a description of the Dispute and the relief requested.</w:t>
      </w:r>
    </w:p>
    <w:p w14:paraId="7E7127A6" w14:textId="77777777" w:rsidR="00A01DF3" w:rsidRPr="0027789B" w:rsidRDefault="008E65AA" w:rsidP="00477BAF">
      <w:pPr>
        <w:pStyle w:val="Heading2Text"/>
      </w:pPr>
      <w:r w:rsidRPr="0027789B">
        <w:t>The Parties will cooperate with one another in selecting the mediator (“</w:t>
      </w:r>
      <w:r w:rsidRPr="0027789B">
        <w:rPr>
          <w:u w:val="single"/>
        </w:rPr>
        <w:t>Mediator</w:t>
      </w:r>
      <w:r w:rsidRPr="0027789B">
        <w:t>”) from the panel of neutrals from Judicial Arbitration and Mediation Services, Inc. (“</w:t>
      </w:r>
      <w:r w:rsidRPr="0027789B">
        <w:rPr>
          <w:u w:val="single"/>
        </w:rPr>
        <w:t>JAMS</w:t>
      </w:r>
      <w:r w:rsidRPr="0027789B">
        <w:t>”), its successor, or any other mutually acceptable non-JAMS Mediator, and in scheduling the time and place of the mediation.</w:t>
      </w:r>
    </w:p>
    <w:p w14:paraId="560B0656" w14:textId="77777777" w:rsidR="00A01DF3" w:rsidRPr="0027789B" w:rsidRDefault="008E65AA" w:rsidP="00477BAF">
      <w:pPr>
        <w:pStyle w:val="Heading2Text"/>
      </w:pPr>
      <w:r w:rsidRPr="0027789B">
        <w:t>Such selection and scheduling will be completed within forty-five (45) days after Notice of the request for mediation.</w:t>
      </w:r>
    </w:p>
    <w:p w14:paraId="7FFEF4F8" w14:textId="77777777" w:rsidR="00A01DF3" w:rsidRPr="0027789B" w:rsidRDefault="008E65AA" w:rsidP="00477BAF">
      <w:pPr>
        <w:pStyle w:val="Heading2Text"/>
      </w:pPr>
      <w:r w:rsidRPr="0027789B">
        <w:t>Unless otherwise agreed to by the Parties, the mediation will not be scheduled for a date that is greater than one hundred twenty (120) days from the date of Notice of the request for mediation.</w:t>
      </w:r>
    </w:p>
    <w:p w14:paraId="7308C53A" w14:textId="77777777" w:rsidR="00A01DF3" w:rsidRPr="0027789B" w:rsidRDefault="008E65AA" w:rsidP="00477BAF">
      <w:pPr>
        <w:pStyle w:val="Heading2Text"/>
      </w:pPr>
      <w:r w:rsidRPr="0027789B">
        <w:t xml:space="preserve">The Parties covenant that they will participate in the mediation in good faith, and that they will share equally in its costs (other than each Party’s individual attorneys’ fees </w:t>
      </w:r>
      <w:r w:rsidRPr="0027789B">
        <w:lastRenderedPageBreak/>
        <w:t>and costs related to the Party’s participation in the mediation, which fees and costs will be borne by such Party).</w:t>
      </w:r>
    </w:p>
    <w:p w14:paraId="32833B15" w14:textId="77777777" w:rsidR="00A01DF3" w:rsidRPr="0027789B" w:rsidRDefault="008E65AA" w:rsidP="00477BAF">
      <w:pPr>
        <w:pStyle w:val="Heading2Text"/>
      </w:pPr>
      <w:r w:rsidRPr="0027789B">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provided, evidence that is otherwise admissible or discoverable will not be rendered inadmissible or non-discoverable as a result of its use in the mediation.</w:t>
      </w:r>
    </w:p>
    <w:p w14:paraId="6F7E5597" w14:textId="77777777" w:rsidR="00C56E4F" w:rsidRPr="00477BAF" w:rsidRDefault="008E65AA" w:rsidP="00477BAF">
      <w:pPr>
        <w:pStyle w:val="Heading2"/>
        <w:keepNext w:val="0"/>
        <w:keepLines w:val="0"/>
        <w:rPr>
          <w:u w:val="none"/>
        </w:rPr>
      </w:pPr>
      <w:bookmarkStart w:id="455" w:name="_Toc467577609"/>
      <w:bookmarkStart w:id="456" w:name="_Toc470014869"/>
      <w:bookmarkStart w:id="457" w:name="_Toc470856060"/>
      <w:bookmarkStart w:id="458" w:name="_Toc510788300"/>
      <w:r w:rsidRPr="0027789B">
        <w:t>Arbitration</w:t>
      </w:r>
      <w:r w:rsidRPr="00477BAF">
        <w:rPr>
          <w:u w:val="none"/>
        </w:rPr>
        <w:t>.</w:t>
      </w:r>
      <w:bookmarkEnd w:id="455"/>
      <w:bookmarkEnd w:id="456"/>
      <w:bookmarkEnd w:id="457"/>
      <w:bookmarkEnd w:id="458"/>
    </w:p>
    <w:p w14:paraId="5CA66E33" w14:textId="347044A6" w:rsidR="00A01DF3" w:rsidRPr="009676F1" w:rsidRDefault="008E65AA" w:rsidP="00477BAF">
      <w:pPr>
        <w:pStyle w:val="Heading2Text"/>
      </w:pPr>
      <w:r w:rsidRPr="0027789B">
        <w:t xml:space="preserve">Either Party may initiate binding arbitration with respect to the matters first submitted to mediation by providing Notice in accordance </w:t>
      </w:r>
      <w:r w:rsidRPr="009676F1">
        <w:t xml:space="preserve">with </w:t>
      </w:r>
      <w:r w:rsidRPr="000678FD">
        <w:t>Section</w:t>
      </w:r>
      <w:r w:rsidR="000678FD" w:rsidRPr="000678FD">
        <w:t> </w:t>
      </w:r>
      <w:r w:rsidR="002E2123">
        <w:t>14</w:t>
      </w:r>
      <w:r w:rsidRPr="009676F1">
        <w:t>.02 of a demand for binding arbitration before a single, neutral arbitrator (the “</w:t>
      </w:r>
      <w:r w:rsidRPr="009676F1">
        <w:rPr>
          <w:u w:val="single"/>
        </w:rPr>
        <w:t>Arbitrator</w:t>
      </w:r>
      <w:r w:rsidRPr="009676F1">
        <w:t xml:space="preserve">”) within sixty (60) days following the unsuccessful conclusion of the mediation provided for in </w:t>
      </w:r>
      <w:r w:rsidRPr="002F5C7B">
        <w:t>Section </w:t>
      </w:r>
      <w:r w:rsidR="009B2ACF">
        <w:t>12</w:t>
      </w:r>
      <w:r w:rsidRPr="002F5C7B">
        <w:t>.02</w:t>
      </w:r>
      <w:r w:rsidR="002F5C7B" w:rsidRPr="002F5C7B">
        <w:t xml:space="preserve"> (Mediation</w:t>
      </w:r>
      <w:r w:rsidR="002F5C7B">
        <w:t>)</w:t>
      </w:r>
      <w:r w:rsidR="001D4101" w:rsidRPr="009676F1">
        <w:t xml:space="preserve">. </w:t>
      </w:r>
      <w:r w:rsidRPr="009676F1">
        <w:t xml:space="preserve">If Notice of arbitration is not provided by either Party within sixty (60) days following the unsuccessful conclusion of the mediation provided </w:t>
      </w:r>
      <w:r w:rsidRPr="002F5C7B">
        <w:t xml:space="preserve">for in Section </w:t>
      </w:r>
      <w:r w:rsidR="009B2ACF">
        <w:t>12</w:t>
      </w:r>
      <w:r w:rsidRPr="002F5C7B">
        <w:t>.02</w:t>
      </w:r>
      <w:r w:rsidRPr="009676F1">
        <w:t>, the Dispute resolution process shall be deemed complete and further resolution of such Dispute shall be barred, without regard to any other limitations period set forth by law or statute.</w:t>
      </w:r>
    </w:p>
    <w:p w14:paraId="77DE8D8A" w14:textId="77777777" w:rsidR="00A01DF3" w:rsidRPr="009676F1" w:rsidRDefault="008E65AA" w:rsidP="00477BAF">
      <w:pPr>
        <w:pStyle w:val="Heading2Text"/>
      </w:pPr>
      <w:r w:rsidRPr="009676F1">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14:paraId="2FE8E05E" w14:textId="77777777" w:rsidR="00A01DF3" w:rsidRPr="00496FAE" w:rsidRDefault="008E65AA" w:rsidP="00477BAF">
      <w:pPr>
        <w:pStyle w:val="Heading2Text"/>
      </w:pPr>
      <w:r w:rsidRPr="009676F1">
        <w:t xml:space="preserve">If, notwithstanding their good faith efforts, the Parties are unable to agree upon a mutually-acceptable Arbitrator, the Arbitrator will be appointed as provided for in California Code of Civil Procedure </w:t>
      </w:r>
      <w:r w:rsidRPr="00496FAE">
        <w:t>Section 1281.6.</w:t>
      </w:r>
    </w:p>
    <w:p w14:paraId="13F44C18" w14:textId="77777777" w:rsidR="00A01DF3" w:rsidRPr="009676F1" w:rsidRDefault="008E65AA" w:rsidP="00477BAF">
      <w:pPr>
        <w:pStyle w:val="Heading2Text"/>
      </w:pPr>
      <w:r w:rsidRPr="00496FAE">
        <w:t>To be qualified as an Arbitrator, each candidate must be</w:t>
      </w:r>
      <w:r w:rsidRPr="009676F1">
        <w:t xml:space="preserve"> a retired judge of a trial court of any state or federal court, or retired justice of any appellate or supreme court.</w:t>
      </w:r>
    </w:p>
    <w:p w14:paraId="1E17F54F" w14:textId="77777777" w:rsidR="00A01DF3" w:rsidRPr="009676F1" w:rsidRDefault="008E65AA" w:rsidP="00477BAF">
      <w:pPr>
        <w:pStyle w:val="Heading2Text"/>
      </w:pPr>
      <w:r w:rsidRPr="009676F1">
        <w:t xml:space="preserve">Unless otherwise agreed to by the Parties, the individual acting as the Mediator will be disqualified from serving as the Arbitrator in the </w:t>
      </w:r>
      <w:r w:rsidR="00A539D7" w:rsidRPr="009676F1">
        <w:t>dispute</w:t>
      </w:r>
      <w:r w:rsidRPr="009676F1">
        <w:t>, although the Arbitrator may be another member of the JAMS panel of neutrals or such other panel of neutrals from which the Parties have agreed to select the Mediator.</w:t>
      </w:r>
    </w:p>
    <w:p w14:paraId="182AA135" w14:textId="77777777" w:rsidR="00A01DF3" w:rsidRPr="009676F1" w:rsidRDefault="008E65AA" w:rsidP="00477BAF">
      <w:pPr>
        <w:pStyle w:val="Heading2Text"/>
      </w:pPr>
      <w:r w:rsidRPr="009676F1">
        <w:t xml:space="preserve">Upon Notice of a Party’s demand for binding arbitration, such Dispute submitted to arbitration, including the determination of the scope or applicability of this agreement to </w:t>
      </w:r>
      <w:r w:rsidRPr="009676F1">
        <w:lastRenderedPageBreak/>
        <w:t>arbitrate, will be determined by binding arbitration before the Arbitrator, in accordance with the laws of the State of California, without regard to principles of conflicts of laws.</w:t>
      </w:r>
    </w:p>
    <w:p w14:paraId="36772900" w14:textId="77777777" w:rsidR="00A01DF3" w:rsidRPr="009676F1" w:rsidRDefault="008E65AA" w:rsidP="00477BAF">
      <w:pPr>
        <w:pStyle w:val="Heading2Text"/>
      </w:pPr>
      <w:r w:rsidRPr="009676F1">
        <w:t>Except as provided for herein, the arbitration will be conducted by the Arbitrator in accordance with the rules and procedures for arbitration of complex business disputes for the organization with which the Arbitrator is associated.</w:t>
      </w:r>
    </w:p>
    <w:p w14:paraId="146CA810" w14:textId="77777777" w:rsidR="00A01DF3" w:rsidRPr="009676F1" w:rsidRDefault="008E65AA" w:rsidP="00477BAF">
      <w:pPr>
        <w:pStyle w:val="Heading2Text"/>
      </w:pPr>
      <w:r w:rsidRPr="009676F1">
        <w:t xml:space="preserve">Absent the existence of such rules and procedures, the arbitration will be conducted in </w:t>
      </w:r>
      <w:r w:rsidRPr="00A26DC1">
        <w:t>accordance with the California Arbitration Act, California Code of Civil Procedure Section 1280 et seq</w:t>
      </w:r>
      <w:r w:rsidRPr="009676F1">
        <w:t>. and California procedural law (including the Code of Civil Procedure, Civil Code, Evidence Code and Rules of Court, but excluding local rules).</w:t>
      </w:r>
    </w:p>
    <w:p w14:paraId="27783718" w14:textId="77777777" w:rsidR="00A01DF3" w:rsidRPr="009676F1" w:rsidRDefault="008E65AA" w:rsidP="00477BAF">
      <w:pPr>
        <w:pStyle w:val="Heading2Text"/>
      </w:pPr>
      <w:r w:rsidRPr="009676F1">
        <w:t>Notwithstanding the rules and procedures that would otherwise apply to the arbitration, and unless the Parties agree to a different arrangement, the place of the arbitration will be in Los Angeles County, California.</w:t>
      </w:r>
    </w:p>
    <w:p w14:paraId="49E65FEC" w14:textId="77777777" w:rsidR="00A01DF3" w:rsidRPr="009676F1" w:rsidRDefault="008E65AA" w:rsidP="00477BAF">
      <w:pPr>
        <w:pStyle w:val="Heading2Text"/>
      </w:pPr>
      <w:r w:rsidRPr="009676F1">
        <w:t>Also notwithstanding the rules and procedures that would otherwise apply to the arbitration, and unless the Parties agree to a different arrangement, discovery will be limited as follows:</w:t>
      </w:r>
    </w:p>
    <w:p w14:paraId="25FAB029" w14:textId="77777777" w:rsidR="00A01DF3" w:rsidRPr="009676F1" w:rsidRDefault="008E65AA" w:rsidP="00477BAF">
      <w:pPr>
        <w:pStyle w:val="Heading3"/>
      </w:pPr>
      <w:r w:rsidRPr="009676F1">
        <w:t>Before discovery commences, the Parties shall exchange an initial disclosure of all documents and percipient witnesses which they intend to rely upon or use at any arbitration proceeding (except for documents and witnesses to be used solely for impeachment);</w:t>
      </w:r>
    </w:p>
    <w:p w14:paraId="1D44DD0E" w14:textId="77777777" w:rsidR="00A01DF3" w:rsidRPr="009676F1" w:rsidRDefault="008E65AA" w:rsidP="00477BAF">
      <w:pPr>
        <w:pStyle w:val="Heading3"/>
      </w:pPr>
      <w:r w:rsidRPr="009676F1">
        <w:t>The initial disclosure will occur within thirty (30) days after the initial conference with the Arbitrator or at such time as the Arbitrator may order;</w:t>
      </w:r>
    </w:p>
    <w:p w14:paraId="75E1127D" w14:textId="77777777" w:rsidR="00A01DF3" w:rsidRPr="009676F1" w:rsidRDefault="008E65AA" w:rsidP="00477BAF">
      <w:pPr>
        <w:pStyle w:val="Heading3"/>
      </w:pPr>
      <w:r w:rsidRPr="009676F1">
        <w:t>Discovery may commence at any time after the Parties’ initial disclosure;</w:t>
      </w:r>
    </w:p>
    <w:p w14:paraId="568F2C49" w14:textId="77777777" w:rsidR="00A01DF3" w:rsidRPr="009676F1" w:rsidRDefault="008E65AA" w:rsidP="00477BAF">
      <w:pPr>
        <w:pStyle w:val="Heading3"/>
      </w:pPr>
      <w:r w:rsidRPr="009676F1">
        <w:t>The Parties will not be permitted to propound any interrogatories or requests for admissions;</w:t>
      </w:r>
    </w:p>
    <w:p w14:paraId="4DA2D57E" w14:textId="77777777" w:rsidR="00A01DF3" w:rsidRPr="009676F1" w:rsidRDefault="008E65AA" w:rsidP="00477BAF">
      <w:pPr>
        <w:pStyle w:val="Heading3"/>
      </w:pPr>
      <w:r w:rsidRPr="009676F1">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7AE52EF7" w14:textId="77777777" w:rsidR="00A01DF3" w:rsidRPr="009676F1" w:rsidRDefault="008E65AA" w:rsidP="00477BAF">
      <w:pPr>
        <w:pStyle w:val="Heading3"/>
      </w:pPr>
      <w:r w:rsidRPr="009676F1">
        <w:t>Each Party is allowed a maximum of three (3) expert witnesses, excluding rebuttal experts;</w:t>
      </w:r>
    </w:p>
    <w:p w14:paraId="4547C506" w14:textId="77777777" w:rsidR="00A01DF3" w:rsidRPr="009676F1" w:rsidRDefault="008E65AA" w:rsidP="00477BAF">
      <w:pPr>
        <w:pStyle w:val="Heading3"/>
      </w:pPr>
      <w:r w:rsidRPr="009676F1">
        <w:lastRenderedPageBreak/>
        <w:t>Within sixty (60) days after the initial disclosure, or at such other time as the Arbitrator may order, the Parties shall exchange a list of all experts upon which they intend to rely at the arbitration proceeding;</w:t>
      </w:r>
    </w:p>
    <w:p w14:paraId="6D5E446E" w14:textId="77777777" w:rsidR="00A01DF3" w:rsidRPr="009676F1" w:rsidRDefault="008E65AA" w:rsidP="00477BAF">
      <w:pPr>
        <w:pStyle w:val="Heading3"/>
      </w:pPr>
      <w:r w:rsidRPr="009676F1">
        <w:t>Within thirty (30) days after the initial expert disclosure, the Parties may designate a maximum of two (2) rebuttal experts;</w:t>
      </w:r>
    </w:p>
    <w:p w14:paraId="54741437" w14:textId="77777777" w:rsidR="00A01DF3" w:rsidRPr="009676F1" w:rsidRDefault="008E65AA" w:rsidP="00477BAF">
      <w:pPr>
        <w:pStyle w:val="Heading3"/>
      </w:pPr>
      <w:r w:rsidRPr="009676F1">
        <w:t>Unless the Parties agree otherwise, all direct testimony will be in form of affidavits or declarations under penalty of perjury; and</w:t>
      </w:r>
    </w:p>
    <w:p w14:paraId="04385D52" w14:textId="77777777" w:rsidR="00A01DF3" w:rsidRPr="0027789B" w:rsidRDefault="008E65AA" w:rsidP="00477BAF">
      <w:pPr>
        <w:pStyle w:val="Heading3"/>
      </w:pPr>
      <w:r w:rsidRPr="009676F1">
        <w:t>Each Party shall make available for cross examination at the arbitration hearing its witnesses whose direct testimony has been</w:t>
      </w:r>
      <w:r w:rsidRPr="0027789B">
        <w:t xml:space="preserve"> so submitted.</w:t>
      </w:r>
    </w:p>
    <w:p w14:paraId="0160D661" w14:textId="1D8C356A" w:rsidR="00A01DF3" w:rsidRPr="0027789B" w:rsidRDefault="008E65AA" w:rsidP="00477BAF">
      <w:pPr>
        <w:pStyle w:val="Heading2Text"/>
      </w:pPr>
      <w:r w:rsidRPr="005E0C5F">
        <w:t xml:space="preserve">Subject </w:t>
      </w:r>
      <w:r w:rsidRPr="002F5C7B">
        <w:t xml:space="preserve">to </w:t>
      </w:r>
      <w:r w:rsidR="00021999" w:rsidRPr="002F5C7B">
        <w:t xml:space="preserve">Section </w:t>
      </w:r>
      <w:r w:rsidR="009B2ACF">
        <w:t>11</w:t>
      </w:r>
      <w:r w:rsidR="00021999" w:rsidRPr="002F5C7B">
        <w:t>.01</w:t>
      </w:r>
      <w:r w:rsidR="002F5C7B">
        <w:t xml:space="preserve"> (Limitation of Remedies, Liability and Damages)</w:t>
      </w:r>
      <w:r w:rsidR="00021999" w:rsidRPr="0027789B">
        <w:t xml:space="preserve">, </w:t>
      </w:r>
      <w:r w:rsidRPr="0027789B">
        <w:t>the Arbitrator will have the authority to grant any form of equitable or legal relief a Party might recover in a court action</w:t>
      </w:r>
      <w:r w:rsidR="001D4101">
        <w:t xml:space="preserve">. </w:t>
      </w:r>
    </w:p>
    <w:p w14:paraId="7B0CF491" w14:textId="17012F61" w:rsidR="00A01DF3" w:rsidRPr="00484686" w:rsidRDefault="008E65AA" w:rsidP="00477BAF">
      <w:pPr>
        <w:pStyle w:val="Heading2Text"/>
      </w:pPr>
      <w:r w:rsidRPr="0027789B">
        <w:t xml:space="preserve">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w:t>
      </w:r>
      <w:r w:rsidRPr="00484686">
        <w:t xml:space="preserve">other security, to specific performance and injunctive or other equitable relief as a remedy for a breach of </w:t>
      </w:r>
      <w:r w:rsidR="00541852" w:rsidRPr="00B06EAD">
        <w:t xml:space="preserve">Sections 1.01, </w:t>
      </w:r>
      <w:r w:rsidR="00C40E6C">
        <w:t>6.03</w:t>
      </w:r>
      <w:r w:rsidR="003B3D2A" w:rsidRPr="000678FD">
        <w:t xml:space="preserve">, </w:t>
      </w:r>
      <w:r w:rsidR="003B3D2A" w:rsidRPr="003B3D2A">
        <w:t>6</w:t>
      </w:r>
      <w:r w:rsidRPr="003B3D2A">
        <w:t>.05</w:t>
      </w:r>
      <w:r w:rsidR="003B3D2A" w:rsidRPr="003B3D2A">
        <w:t>(d) (Duties Related to Resource Adequacy Resources)</w:t>
      </w:r>
      <w:r w:rsidRPr="003B3D2A">
        <w:t xml:space="preserve">, </w:t>
      </w:r>
      <w:r w:rsidR="009B2ACF">
        <w:t>9</w:t>
      </w:r>
      <w:r w:rsidR="00240743" w:rsidRPr="003B3D2A">
        <w:t>.03</w:t>
      </w:r>
      <w:r w:rsidR="00880776" w:rsidRPr="002F5C7B">
        <w:t>(</w:t>
      </w:r>
      <w:r w:rsidR="006B7AB2">
        <w:t>k</w:t>
      </w:r>
      <w:r w:rsidR="00AC53BA" w:rsidRPr="002F5C7B">
        <w:t>)</w:t>
      </w:r>
      <w:r w:rsidR="00880776" w:rsidRPr="002F5C7B">
        <w:t>(vii) and (viii)</w:t>
      </w:r>
      <w:r w:rsidR="00C40E6C">
        <w:t xml:space="preserve">, </w:t>
      </w:r>
      <w:r w:rsidR="00044D0D">
        <w:t xml:space="preserve">9.04, </w:t>
      </w:r>
      <w:r w:rsidR="009B2ACF">
        <w:t>10</w:t>
      </w:r>
      <w:r w:rsidR="00C40E6C">
        <w:t>.05</w:t>
      </w:r>
      <w:r w:rsidRPr="002F5C7B">
        <w:t xml:space="preserve"> and</w:t>
      </w:r>
      <w:r w:rsidRPr="00484686">
        <w:t xml:space="preserve"> </w:t>
      </w:r>
      <w:r w:rsidR="002E2123">
        <w:t>14</w:t>
      </w:r>
      <w:r w:rsidR="000B3399">
        <w:t>.05</w:t>
      </w:r>
      <w:r w:rsidR="00681382">
        <w:t xml:space="preserve"> (Confidentiality)</w:t>
      </w:r>
      <w:r w:rsidRPr="00484686">
        <w:t>.</w:t>
      </w:r>
    </w:p>
    <w:p w14:paraId="3B0F5AC2" w14:textId="77777777" w:rsidR="00A539D7" w:rsidRPr="0027789B" w:rsidRDefault="00A539D7" w:rsidP="00477BAF">
      <w:pPr>
        <w:pStyle w:val="Heading2Text"/>
      </w:pPr>
      <w:r w:rsidRPr="00484686">
        <w:t>Judgment on the award may be entered in</w:t>
      </w:r>
      <w:r w:rsidRPr="0027789B">
        <w:t xml:space="preserve"> any court having jurisdiction.</w:t>
      </w:r>
    </w:p>
    <w:p w14:paraId="5719A210" w14:textId="77777777" w:rsidR="00A01DF3" w:rsidRPr="0027789B" w:rsidRDefault="008E65AA" w:rsidP="00477BAF">
      <w:pPr>
        <w:pStyle w:val="Heading2Text"/>
      </w:pPr>
      <w:r w:rsidRPr="0027789B">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14:paraId="0D6B14A2" w14:textId="77777777" w:rsidR="00A01DF3" w:rsidRPr="0027789B" w:rsidRDefault="008E65AA" w:rsidP="00477BAF">
      <w:pPr>
        <w:pStyle w:val="Heading2Text"/>
      </w:pPr>
      <w:r w:rsidRPr="0027789B">
        <w:t>Until such award is made, however, the Parties will share equally in paying the costs of the arbitration.</w:t>
      </w:r>
    </w:p>
    <w:p w14:paraId="60035601" w14:textId="77777777" w:rsidR="00A01DF3" w:rsidRPr="0027789B" w:rsidRDefault="008E65AA" w:rsidP="00477BAF">
      <w:pPr>
        <w:pStyle w:val="Heading2Text"/>
      </w:pPr>
      <w:r w:rsidRPr="0027789B">
        <w:t>At the conclusion of the arbitration hearing, the Arbitrator shall prepare in writing and provide to each Party a decision setting forth factual findings, legal analysis, and the reasons on which the Arbitrator’s decision is based</w:t>
      </w:r>
      <w:r w:rsidR="001D4101">
        <w:t xml:space="preserve">. </w:t>
      </w:r>
      <w:r w:rsidRPr="0027789B">
        <w:t>The Arbitrator shall also have the authority to resolve claims or issues in advance of the arbitration hearing that would be appropriate for a California superior court judge to resolve in advance of trial</w:t>
      </w:r>
      <w:r w:rsidR="001D4101">
        <w:t xml:space="preserve">. </w:t>
      </w:r>
      <w:r w:rsidRPr="0027789B">
        <w:t xml:space="preserve">The Arbitrator shall not have the power to commit errors of law or fact, or to commit any abuse of discretion, that would constitute reversible error had the decision been </w:t>
      </w:r>
      <w:r w:rsidRPr="0027789B">
        <w:lastRenderedPageBreak/>
        <w:t>rendered by a California superior court</w:t>
      </w:r>
      <w:r w:rsidR="001D4101">
        <w:t xml:space="preserve">. </w:t>
      </w:r>
      <w:r w:rsidRPr="0027789B">
        <w:t>The Arbitrator’s decision may be vacated or corrected on appeal to a California court of competent jurisdiction for such error</w:t>
      </w:r>
      <w:r w:rsidR="001D4101">
        <w:t xml:space="preserve">. </w:t>
      </w:r>
      <w:r w:rsidRPr="0027789B">
        <w:t>Unless otherwise agreed to by the Parties, all proceedings before the Arbitrator shall be reported and transcribed by a certified court reporter, with each Party bearing one-half of the court reporter’s fees.</w:t>
      </w:r>
    </w:p>
    <w:p w14:paraId="7B074551" w14:textId="77777777" w:rsidR="00C56E4F" w:rsidRPr="00FF157D" w:rsidRDefault="008E65AA" w:rsidP="00477BAF">
      <w:pPr>
        <w:pStyle w:val="Heading2"/>
        <w:keepNext w:val="0"/>
        <w:keepLines w:val="0"/>
        <w:rPr>
          <w:u w:val="none"/>
        </w:rPr>
      </w:pPr>
      <w:bookmarkStart w:id="459" w:name="_Toc467577610"/>
      <w:bookmarkStart w:id="460" w:name="_Toc470014870"/>
      <w:bookmarkStart w:id="461" w:name="_Toc470856061"/>
      <w:bookmarkStart w:id="462" w:name="_Toc510788301"/>
      <w:r w:rsidRPr="0027789B">
        <w:t>Provisional Relief</w:t>
      </w:r>
      <w:r w:rsidRPr="00FF157D">
        <w:rPr>
          <w:u w:val="none"/>
        </w:rPr>
        <w:t>.</w:t>
      </w:r>
      <w:bookmarkEnd w:id="459"/>
      <w:bookmarkEnd w:id="460"/>
      <w:bookmarkEnd w:id="461"/>
      <w:bookmarkEnd w:id="462"/>
    </w:p>
    <w:p w14:paraId="60FB3646" w14:textId="5D8638ED" w:rsidR="00A01DF3" w:rsidRPr="002F5C7B" w:rsidRDefault="008E65AA" w:rsidP="00477BAF">
      <w:pPr>
        <w:pStyle w:val="Heading2Text"/>
      </w:pPr>
      <w:r w:rsidRPr="0027789B">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w:t>
      </w:r>
      <w:r w:rsidRPr="00484686">
        <w:t xml:space="preserve">preliminary injunction, temporary restraining order, or other provisional relief as a remedy for a breach of </w:t>
      </w:r>
      <w:r w:rsidR="00541852" w:rsidRPr="00B06EAD">
        <w:t xml:space="preserve">Sections 1.01, </w:t>
      </w:r>
      <w:r w:rsidR="00C40E6C">
        <w:t>6.03</w:t>
      </w:r>
      <w:r w:rsidR="003B3D2A" w:rsidRPr="000678FD">
        <w:t>, 6</w:t>
      </w:r>
      <w:r w:rsidRPr="000678FD">
        <w:t>.05</w:t>
      </w:r>
      <w:r w:rsidR="003B3D2A" w:rsidRPr="000678FD">
        <w:t>(d)</w:t>
      </w:r>
      <w:r w:rsidR="003B3D2A" w:rsidRPr="003B3D2A">
        <w:t xml:space="preserve"> (Duties Related to Resource Adequacy Resources)</w:t>
      </w:r>
      <w:r w:rsidRPr="003B3D2A">
        <w:t xml:space="preserve">, </w:t>
      </w:r>
      <w:r w:rsidR="009B2ACF">
        <w:t>9</w:t>
      </w:r>
      <w:r w:rsidR="00880776" w:rsidRPr="003B3D2A">
        <w:t>.03(</w:t>
      </w:r>
      <w:r w:rsidR="000E579A">
        <w:t>k</w:t>
      </w:r>
      <w:r w:rsidR="00880776" w:rsidRPr="003B3D2A">
        <w:t>)(vii)</w:t>
      </w:r>
      <w:r w:rsidR="00C40E6C">
        <w:t xml:space="preserve"> </w:t>
      </w:r>
      <w:r w:rsidR="000E579A" w:rsidRPr="003B3D2A">
        <w:t>or (vii</w:t>
      </w:r>
      <w:r w:rsidR="000E579A" w:rsidRPr="002F5C7B">
        <w:t>i)</w:t>
      </w:r>
      <w:r w:rsidR="000E579A">
        <w:t>,</w:t>
      </w:r>
      <w:r w:rsidR="000E579A" w:rsidRPr="002F5C7B">
        <w:t xml:space="preserve"> </w:t>
      </w:r>
      <w:r w:rsidR="00044D0D">
        <w:t xml:space="preserve">9.04, </w:t>
      </w:r>
      <w:r w:rsidR="009B2ACF">
        <w:t>10</w:t>
      </w:r>
      <w:r w:rsidR="00C40E6C">
        <w:t>.05</w:t>
      </w:r>
      <w:r w:rsidR="00880776" w:rsidRPr="003B3D2A">
        <w:t xml:space="preserve"> </w:t>
      </w:r>
      <w:r w:rsidRPr="002F5C7B">
        <w:t xml:space="preserve">or </w:t>
      </w:r>
      <w:r w:rsidR="002E2123">
        <w:t>14</w:t>
      </w:r>
      <w:r w:rsidR="000B3399">
        <w:t>.05</w:t>
      </w:r>
      <w:r w:rsidR="00681382">
        <w:t xml:space="preserve"> (Confidentiality)</w:t>
      </w:r>
      <w:r w:rsidRPr="00484686">
        <w:t xml:space="preserve"> in any court of competent jurisdiction, notwithstanding the obligation to submit all other</w:t>
      </w:r>
      <w:r w:rsidRPr="0027789B">
        <w:t xml:space="preserve"> Disputes (</w:t>
      </w:r>
      <w:r w:rsidRPr="009676F1">
        <w:t xml:space="preserve">including all claims for monetary damages under this Agreement) to arbitration pursuant </w:t>
      </w:r>
      <w:r w:rsidRPr="002F5C7B">
        <w:t>to Section </w:t>
      </w:r>
      <w:r w:rsidR="009B2ACF">
        <w:t>12</w:t>
      </w:r>
      <w:r w:rsidRPr="002F5C7B">
        <w:t>.01</w:t>
      </w:r>
      <w:r w:rsidR="002F5C7B" w:rsidRPr="002F5C7B">
        <w:t xml:space="preserve"> (Dispute Resolution)</w:t>
      </w:r>
      <w:r w:rsidR="001D4101" w:rsidRPr="002F5C7B">
        <w:t xml:space="preserve">. </w:t>
      </w:r>
      <w:r w:rsidRPr="002F5C7B">
        <w:t>The Parties further acknowledge and agree that the results of the arbitration may be rendered ineffectual without the provisional relief.</w:t>
      </w:r>
    </w:p>
    <w:p w14:paraId="205E1364" w14:textId="4A9EC9F0" w:rsidR="00A01DF3" w:rsidRPr="009676F1" w:rsidRDefault="008E65AA" w:rsidP="00477BAF">
      <w:pPr>
        <w:pStyle w:val="Heading2Text"/>
      </w:pPr>
      <w:r w:rsidRPr="002F5C7B">
        <w:t xml:space="preserve">Such a request for provisional relief does not waive a Party’s right to seek other remedies for the breach of the provisions specified above in accordance with </w:t>
      </w:r>
      <w:r w:rsidR="009676F1" w:rsidRPr="002F5C7B">
        <w:t xml:space="preserve">this </w:t>
      </w:r>
      <w:r w:rsidR="00F2735B" w:rsidRPr="002F5C7B">
        <w:t xml:space="preserve">Article </w:t>
      </w:r>
      <w:r w:rsidR="009B2ACF">
        <w:t>12</w:t>
      </w:r>
      <w:r w:rsidRPr="002F5C7B">
        <w:t>, notwithstanding</w:t>
      </w:r>
      <w:r w:rsidRPr="009676F1">
        <w:t xml:space="preserve"> any prohibition against claim-splitting or other similar doctrine</w:t>
      </w:r>
      <w:r w:rsidR="001D4101" w:rsidRPr="009676F1">
        <w:t xml:space="preserve">. </w:t>
      </w:r>
      <w:r w:rsidRPr="009676F1">
        <w:t>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14:paraId="541AB5C0" w14:textId="77777777" w:rsidR="00C56E4F" w:rsidRPr="009676F1" w:rsidRDefault="008E65AA" w:rsidP="00477BAF">
      <w:pPr>
        <w:pStyle w:val="Heading2"/>
        <w:keepNext w:val="0"/>
        <w:keepLines w:val="0"/>
        <w:rPr>
          <w:u w:val="none"/>
        </w:rPr>
      </w:pPr>
      <w:bookmarkStart w:id="463" w:name="_Toc467577611"/>
      <w:bookmarkStart w:id="464" w:name="_Toc470014871"/>
      <w:bookmarkStart w:id="465" w:name="_Toc470856062"/>
      <w:bookmarkStart w:id="466" w:name="_Toc510788302"/>
      <w:r w:rsidRPr="009676F1">
        <w:t>Consolidation of Matters</w:t>
      </w:r>
      <w:r w:rsidRPr="009676F1">
        <w:rPr>
          <w:u w:val="none"/>
        </w:rPr>
        <w:t>.</w:t>
      </w:r>
      <w:bookmarkEnd w:id="463"/>
      <w:bookmarkEnd w:id="464"/>
      <w:bookmarkEnd w:id="465"/>
      <w:bookmarkEnd w:id="466"/>
    </w:p>
    <w:p w14:paraId="1FBB5919" w14:textId="7DF1A0E7" w:rsidR="00A01DF3" w:rsidRPr="009676F1" w:rsidRDefault="008E65AA" w:rsidP="00477BAF">
      <w:pPr>
        <w:pStyle w:val="Heading2Text"/>
      </w:pPr>
      <w:r w:rsidRPr="009676F1">
        <w:t xml:space="preserve">The Parties shall make diligent good faith efforts to consolidate any provisional relief, mediation, arbitration or other dispute resolution proceedings arising pursuant to this </w:t>
      </w:r>
      <w:r w:rsidRPr="002F5C7B">
        <w:t xml:space="preserve">Article </w:t>
      </w:r>
      <w:r w:rsidR="009B2ACF">
        <w:t>12</w:t>
      </w:r>
      <w:r w:rsidRPr="002F5C7B">
        <w:t xml:space="preserve"> that arise</w:t>
      </w:r>
      <w:r w:rsidRPr="009676F1">
        <w:t xml:space="preserve"> from or relate to the same act, omission or issue.</w:t>
      </w:r>
    </w:p>
    <w:p w14:paraId="7155DF75" w14:textId="6228A004" w:rsidR="00A01DF3" w:rsidRPr="009676F1" w:rsidRDefault="008E65AA" w:rsidP="00477BAF">
      <w:pPr>
        <w:pStyle w:val="Heading1"/>
        <w:keepNext w:val="0"/>
        <w:keepLines w:val="0"/>
      </w:pPr>
      <w:bookmarkStart w:id="467" w:name="_Toc467577612"/>
      <w:bookmarkStart w:id="468" w:name="_Toc470014872"/>
      <w:bookmarkStart w:id="469" w:name="_Toc470856063"/>
      <w:bookmarkStart w:id="470" w:name="_Toc510788303"/>
      <w:r w:rsidRPr="009676F1">
        <w:t>INDEMNIFICATION</w:t>
      </w:r>
      <w:bookmarkEnd w:id="467"/>
      <w:bookmarkEnd w:id="468"/>
      <w:bookmarkEnd w:id="469"/>
      <w:r w:rsidR="009B2ACF">
        <w:t>; Governmental charges</w:t>
      </w:r>
      <w:bookmarkEnd w:id="470"/>
    </w:p>
    <w:p w14:paraId="066A815F" w14:textId="77777777" w:rsidR="00A01DF3" w:rsidRPr="009676F1" w:rsidRDefault="008E65AA" w:rsidP="00477BAF">
      <w:pPr>
        <w:pStyle w:val="Heading2"/>
        <w:keepNext w:val="0"/>
        <w:keepLines w:val="0"/>
        <w:rPr>
          <w:u w:val="none"/>
        </w:rPr>
      </w:pPr>
      <w:bookmarkStart w:id="471" w:name="_Toc467577613"/>
      <w:bookmarkStart w:id="472" w:name="_Toc470014873"/>
      <w:bookmarkStart w:id="473" w:name="_Toc470856064"/>
      <w:bookmarkStart w:id="474" w:name="_Toc510788304"/>
      <w:r w:rsidRPr="009676F1">
        <w:t>SCE’s Indemnification Obligations</w:t>
      </w:r>
      <w:r w:rsidRPr="009676F1">
        <w:rPr>
          <w:u w:val="none"/>
        </w:rPr>
        <w:t>.</w:t>
      </w:r>
      <w:bookmarkEnd w:id="471"/>
      <w:bookmarkEnd w:id="472"/>
      <w:bookmarkEnd w:id="473"/>
      <w:bookmarkEnd w:id="474"/>
    </w:p>
    <w:p w14:paraId="3EF1C259" w14:textId="54F6D48F" w:rsidR="00AA1F44" w:rsidRDefault="008E65AA" w:rsidP="00477BAF">
      <w:pPr>
        <w:pStyle w:val="Heading2Text"/>
      </w:pPr>
      <w:r w:rsidRPr="009676F1">
        <w:t xml:space="preserve">In addition to any other indemnification obligations SCE may have elsewhere in this Agreement, which are hereby incorporated in </w:t>
      </w:r>
      <w:r w:rsidRPr="00496FAE">
        <w:t>this Section</w:t>
      </w:r>
      <w:r w:rsidR="00496FAE" w:rsidRPr="00496FAE">
        <w:t> </w:t>
      </w:r>
      <w:r w:rsidR="002E2123">
        <w:t>13</w:t>
      </w:r>
      <w:r w:rsidRPr="00496FAE">
        <w:t>.01</w:t>
      </w:r>
      <w:r w:rsidRPr="009676F1">
        <w:t xml:space="preserve">, SCE releases, and shall indemnify, defend and hold harmless Seller, and Seller’s directors, officers, employees, agents, assigns, and successors in interest, from and against any and all loss, liability, damage, claim, cost, charge, demand, fine, penalty or expense of any kind or </w:t>
      </w:r>
      <w:r w:rsidRPr="009676F1">
        <w:lastRenderedPageBreak/>
        <w:t>nature (including any direct damage, claim, cost, charge, demand, or expense, and attorneys’ fees (including cost of in-house counsel</w:t>
      </w:r>
      <w:r w:rsidRPr="0027789B">
        <w:t>) and other costs of litigation, arbitration and mediation, and in the case of third-party claims only, indirect and consequential loss or damage of such third</w:t>
      </w:r>
      <w:r w:rsidR="00AA1F44">
        <w:t xml:space="preserve"> </w:t>
      </w:r>
      <w:r w:rsidRPr="0027789B">
        <w:t>party), arising out of or in connection with</w:t>
      </w:r>
      <w:r w:rsidR="00AA1F44">
        <w:t>:</w:t>
      </w:r>
    </w:p>
    <w:p w14:paraId="5BB9A9F2" w14:textId="52066706" w:rsidR="00AA1F44" w:rsidRDefault="008E65AA" w:rsidP="00673CD7">
      <w:pPr>
        <w:pStyle w:val="Heading3"/>
      </w:pPr>
      <w:r w:rsidRPr="0027789B">
        <w:t xml:space="preserve">any breach made by SCE of its representations and warranties in </w:t>
      </w:r>
      <w:r w:rsidRPr="002F5C7B">
        <w:t>Section </w:t>
      </w:r>
      <w:r w:rsidR="009B2ACF">
        <w:t>9</w:t>
      </w:r>
      <w:r w:rsidRPr="002F5C7B">
        <w:t>.01</w:t>
      </w:r>
      <w:r w:rsidR="00AA1F44" w:rsidRPr="002F5C7B">
        <w:t>;</w:t>
      </w:r>
    </w:p>
    <w:p w14:paraId="7CB98C0A" w14:textId="1E9D872C" w:rsidR="00A01DF3" w:rsidRPr="0027789B" w:rsidRDefault="00AA1F44" w:rsidP="00673CD7">
      <w:pPr>
        <w:pStyle w:val="Heading3"/>
      </w:pPr>
      <w:r>
        <w:t xml:space="preserve">the failure to pay any Governmental Charges </w:t>
      </w:r>
      <w:r w:rsidR="000527AC">
        <w:t xml:space="preserve">or Environmental Costs </w:t>
      </w:r>
      <w:r>
        <w:t xml:space="preserve">for which SCE is responsible </w:t>
      </w:r>
      <w:r w:rsidRPr="00484686">
        <w:t xml:space="preserve">under </w:t>
      </w:r>
      <w:r w:rsidR="002E2123">
        <w:t xml:space="preserve">Sections 13.06, </w:t>
      </w:r>
      <w:r w:rsidR="000527AC">
        <w:t>or</w:t>
      </w:r>
      <w:r w:rsidR="002E2123">
        <w:t xml:space="preserve"> 13.08</w:t>
      </w:r>
      <w:r w:rsidR="007F5599">
        <w:t>; and</w:t>
      </w:r>
    </w:p>
    <w:p w14:paraId="4996B48B" w14:textId="7F91BAEF" w:rsidR="007F5599" w:rsidRPr="00CA51E2" w:rsidRDefault="007F5599" w:rsidP="007F5599">
      <w:pPr>
        <w:pStyle w:val="Heading3"/>
      </w:pPr>
      <w:r w:rsidRPr="003B3D2A">
        <w:t xml:space="preserve">any event, circumstance, act, or incident first occurring or existing during the period when control and title to </w:t>
      </w:r>
      <w:r w:rsidR="00604852">
        <w:t>such</w:t>
      </w:r>
      <w:r w:rsidRPr="003B3D2A">
        <w:t xml:space="preserve"> Charging Energy Requirements is vested in </w:t>
      </w:r>
      <w:r>
        <w:t>S</w:t>
      </w:r>
      <w:r w:rsidR="009805F8">
        <w:t>CE</w:t>
      </w:r>
      <w:r w:rsidRPr="003B3D2A">
        <w:t xml:space="preserve"> in accordance with Section 6.03(</w:t>
      </w:r>
      <w:r>
        <w:t>c</w:t>
      </w:r>
      <w:r w:rsidRPr="003B3D2A">
        <w:t>).</w:t>
      </w:r>
    </w:p>
    <w:p w14:paraId="753E67BF" w14:textId="77777777" w:rsidR="00A01DF3" w:rsidRPr="0027789B" w:rsidRDefault="008E65AA" w:rsidP="00FF157D">
      <w:pPr>
        <w:pStyle w:val="Heading2Text"/>
      </w:pPr>
      <w:r w:rsidRPr="0027789B">
        <w:t>This indemnity applies notwithstanding Seller’s active or passive negligence</w:t>
      </w:r>
      <w:r w:rsidR="001D4101">
        <w:t xml:space="preserve">. </w:t>
      </w:r>
      <w:r w:rsidRPr="0027789B">
        <w:t>However, Seller will not be indemnified hereunder for its loss, liability, damage, claim, cost, charge, demand or expense to the extent caused by its gross negligence or willful misconduct.</w:t>
      </w:r>
    </w:p>
    <w:p w14:paraId="761EFE00" w14:textId="77777777" w:rsidR="00C56E4F" w:rsidRPr="00FF157D" w:rsidRDefault="008E65AA" w:rsidP="00FF157D">
      <w:pPr>
        <w:pStyle w:val="Heading2"/>
        <w:keepNext w:val="0"/>
        <w:keepLines w:val="0"/>
        <w:rPr>
          <w:u w:val="none"/>
        </w:rPr>
      </w:pPr>
      <w:bookmarkStart w:id="475" w:name="_Toc467577614"/>
      <w:bookmarkStart w:id="476" w:name="_Toc470014874"/>
      <w:bookmarkStart w:id="477" w:name="_Toc470856065"/>
      <w:bookmarkStart w:id="478" w:name="_Toc510788305"/>
      <w:r w:rsidRPr="0027789B">
        <w:t>Seller’s Indemnification Obligations</w:t>
      </w:r>
      <w:r w:rsidRPr="00FF157D">
        <w:rPr>
          <w:u w:val="none"/>
        </w:rPr>
        <w:t>.</w:t>
      </w:r>
      <w:bookmarkEnd w:id="475"/>
      <w:bookmarkEnd w:id="476"/>
      <w:bookmarkEnd w:id="477"/>
      <w:bookmarkEnd w:id="478"/>
    </w:p>
    <w:p w14:paraId="1E032A55" w14:textId="6014A13B" w:rsidR="00A01DF3" w:rsidRPr="00484686" w:rsidRDefault="008E65AA" w:rsidP="00FF157D">
      <w:pPr>
        <w:pStyle w:val="Heading2Text"/>
      </w:pPr>
      <w:r w:rsidRPr="009676F1">
        <w:t xml:space="preserve">In addition to any other indemnification obligations Seller may have elsewhere in this Agreement, which are hereby </w:t>
      </w:r>
      <w:r w:rsidRPr="00496FAE">
        <w:t>incorporated in this Section </w:t>
      </w:r>
      <w:r w:rsidR="002E2123">
        <w:t>13</w:t>
      </w:r>
      <w:r w:rsidRPr="00496FAE">
        <w:t>.02</w:t>
      </w:r>
      <w:r w:rsidRPr="009676F1">
        <w:t>, Seller releases, and shall indemnify, defend and hold harmless SCE, and SCE’s directors</w:t>
      </w:r>
      <w:r w:rsidRPr="0027789B">
        <w:t xml:space="preserve">, officers, employees, agents, assigns, and successors in interest, from and against any and all loss, liability, damage, claim, cost, charge, demand, penalty, fine or expense of any kind or nature (including any direct damage, claim, cost, charge, demand, or expense, and </w:t>
      </w:r>
      <w:r w:rsidRPr="00484686">
        <w:t>attorneys’ fees (including cost of in-house counsel) and other costs of litigation, arbitration or mediation, and in the case of third-party claims only, indirect or consequential loss or damage of such third</w:t>
      </w:r>
      <w:r w:rsidR="00D71344" w:rsidRPr="00484686">
        <w:t xml:space="preserve"> </w:t>
      </w:r>
      <w:r w:rsidRPr="00484686">
        <w:t>party), arising out of or in connection with:</w:t>
      </w:r>
    </w:p>
    <w:p w14:paraId="7A7BBABE" w14:textId="3448E4E5" w:rsidR="00A01DF3" w:rsidRPr="00484686" w:rsidRDefault="008E65AA" w:rsidP="00FF157D">
      <w:pPr>
        <w:pStyle w:val="Heading3"/>
      </w:pPr>
      <w:bookmarkStart w:id="479" w:name="_Ref263420433"/>
      <w:r w:rsidRPr="00484686">
        <w:t>any breach made by Seller of its representations</w:t>
      </w:r>
      <w:r w:rsidR="00F8268E" w:rsidRPr="00484686">
        <w:t>,</w:t>
      </w:r>
      <w:r w:rsidRPr="00484686">
        <w:t xml:space="preserve"> warranties</w:t>
      </w:r>
      <w:r w:rsidR="00F8268E" w:rsidRPr="00484686">
        <w:t>, or covenants</w:t>
      </w:r>
      <w:r w:rsidRPr="00484686">
        <w:t xml:space="preserve"> in </w:t>
      </w:r>
      <w:r w:rsidR="00F8268E" w:rsidRPr="002F5C7B">
        <w:t>Article </w:t>
      </w:r>
      <w:r w:rsidR="009B2ACF">
        <w:t>9</w:t>
      </w:r>
      <w:r w:rsidRPr="002F5C7B">
        <w:t>;</w:t>
      </w:r>
      <w:bookmarkEnd w:id="479"/>
    </w:p>
    <w:p w14:paraId="77B8103E" w14:textId="4187870F" w:rsidR="00A01DF3" w:rsidRPr="0027789B" w:rsidRDefault="008E65AA" w:rsidP="00FF157D">
      <w:pPr>
        <w:pStyle w:val="Heading3"/>
      </w:pPr>
      <w:r w:rsidRPr="00484686">
        <w:t xml:space="preserve">Seller’s failure to fulfill its obligations regarding Resource Adequacy Benefits as set forth in </w:t>
      </w:r>
      <w:r w:rsidRPr="00B06EAD">
        <w:t>Section</w:t>
      </w:r>
      <w:r w:rsidR="003B3D2A" w:rsidRPr="00B06EAD">
        <w:t>s 1.01(</w:t>
      </w:r>
      <w:r w:rsidR="00CA7AF7">
        <w:t>b</w:t>
      </w:r>
      <w:r w:rsidR="003B3D2A" w:rsidRPr="00B06EAD">
        <w:t>)</w:t>
      </w:r>
      <w:r w:rsidR="00C40E6C">
        <w:t>, 1.06, 6.03,</w:t>
      </w:r>
      <w:r w:rsidR="003B3D2A" w:rsidRPr="00B06EAD">
        <w:t xml:space="preserve"> 6</w:t>
      </w:r>
      <w:r w:rsidRPr="00B06EAD">
        <w:t>.</w:t>
      </w:r>
      <w:r w:rsidRPr="003B3D2A">
        <w:t>05</w:t>
      </w:r>
      <w:r w:rsidR="003B3D2A" w:rsidRPr="003B3D2A">
        <w:t>(d)</w:t>
      </w:r>
      <w:r w:rsidR="00044D0D">
        <w:t>, and 9.04</w:t>
      </w:r>
      <w:r w:rsidRPr="000678FD">
        <w:t>;</w:t>
      </w:r>
    </w:p>
    <w:p w14:paraId="6B54193A" w14:textId="245E0D00" w:rsidR="00A01DF3" w:rsidRPr="0027789B" w:rsidRDefault="00D71344" w:rsidP="00FF157D">
      <w:pPr>
        <w:pStyle w:val="Heading3"/>
      </w:pPr>
      <w:r>
        <w:t>NERC Standards Non-Compliance Penalties or an attempt by any Governmental Authority, person or entity to assess such NERC Standards Non-Compliance Penalties against SCE</w:t>
      </w:r>
      <w:r w:rsidR="008E65AA" w:rsidRPr="0027789B">
        <w:t>, except to the extent solely due to SCE’s negligence in performing its role as Seller’s Scheduling Coordinator during any Put Period</w:t>
      </w:r>
      <w:r w:rsidR="000C4B07">
        <w:t xml:space="preserve"> as set forth in Section 14.1</w:t>
      </w:r>
      <w:r w:rsidR="001B1A90">
        <w:t>1</w:t>
      </w:r>
      <w:r w:rsidR="00DC011E">
        <w:t>;</w:t>
      </w:r>
    </w:p>
    <w:p w14:paraId="1458A5E8" w14:textId="77777777" w:rsidR="00A01DF3" w:rsidRPr="0027789B" w:rsidRDefault="008E65AA" w:rsidP="00FF157D">
      <w:pPr>
        <w:pStyle w:val="Heading3"/>
      </w:pPr>
      <w:bookmarkStart w:id="480" w:name="_Ref263420590"/>
      <w:r w:rsidRPr="0027789B">
        <w:lastRenderedPageBreak/>
        <w:t>injury or death to persons, including SCE employees, and physical damage to property, including SCE property, where the damage arises out of, is related to, or is in connection with, Seller’s construction, ownership or operation of the Project, or obligations or performance under this Agreement;</w:t>
      </w:r>
      <w:bookmarkEnd w:id="480"/>
    </w:p>
    <w:p w14:paraId="27E1750C" w14:textId="54AE07F5" w:rsidR="00A01DF3" w:rsidRPr="00165EAE" w:rsidRDefault="008E65AA" w:rsidP="00FF157D">
      <w:pPr>
        <w:pStyle w:val="Heading3"/>
      </w:pPr>
      <w:bookmarkStart w:id="481" w:name="_Ref263413137"/>
      <w:r w:rsidRPr="0027789B">
        <w:t xml:space="preserve">injury or death to any person or damage to any property, including the personnel or property of SCE, to the extent that SCE </w:t>
      </w:r>
      <w:r w:rsidRPr="00165EAE">
        <w:t xml:space="preserve">would have been protected had Seller complied </w:t>
      </w:r>
      <w:r w:rsidRPr="000B3399">
        <w:t xml:space="preserve">with all of the provisions of </w:t>
      </w:r>
      <w:r w:rsidR="00946AC9" w:rsidRPr="000B3399">
        <w:t>Section </w:t>
      </w:r>
      <w:r w:rsidR="001B1A90">
        <w:t>14.07</w:t>
      </w:r>
      <w:r w:rsidR="00D3276C">
        <w:t xml:space="preserve"> </w:t>
      </w:r>
      <w:r w:rsidR="000B3399">
        <w:t>(Insurance)</w:t>
      </w:r>
      <w:r w:rsidRPr="000B3399">
        <w:t xml:space="preserve">; </w:t>
      </w:r>
      <w:r w:rsidRPr="00DB7FE0">
        <w:t>provided</w:t>
      </w:r>
      <w:r w:rsidRPr="000B3399">
        <w:t xml:space="preserve">, the inclusion of this </w:t>
      </w:r>
      <w:r w:rsidR="007626C6">
        <w:t>Section 13.02</w:t>
      </w:r>
      <w:r w:rsidRPr="000B3399">
        <w:t xml:space="preserve">(e) is not intended to create any express or implied right in Seller to elect not to provide the insurance required under </w:t>
      </w:r>
      <w:r w:rsidR="00946AC9" w:rsidRPr="000B3399">
        <w:t>Section </w:t>
      </w:r>
      <w:r w:rsidR="001B1A90">
        <w:t>14.07</w:t>
      </w:r>
      <w:r w:rsidR="00D3276C">
        <w:t xml:space="preserve"> </w:t>
      </w:r>
      <w:r w:rsidR="000B3399">
        <w:t>(Insurance)</w:t>
      </w:r>
      <w:r w:rsidRPr="000B3399">
        <w:t>;</w:t>
      </w:r>
      <w:bookmarkEnd w:id="481"/>
    </w:p>
    <w:p w14:paraId="0F5416F1" w14:textId="77777777" w:rsidR="00A01DF3" w:rsidRPr="00484686" w:rsidRDefault="008E65AA" w:rsidP="00FF157D">
      <w:pPr>
        <w:pStyle w:val="Heading3"/>
      </w:pPr>
      <w:r w:rsidRPr="0027789B">
        <w:rPr>
          <w:rFonts w:eastAsia="MS Mincho"/>
        </w:rPr>
        <w:t xml:space="preserve">the Storage Unit(s), or any equipment, software, applications or programs (or any portion of same) used in connection with the Storage Unit(s) or the Project result in an infringement upon or violation of any trade secret, trademark, trade name, copyright, patent, or other intellectual </w:t>
      </w:r>
      <w:r w:rsidRPr="00484686">
        <w:rPr>
          <w:rFonts w:eastAsia="MS Mincho"/>
        </w:rPr>
        <w:t xml:space="preserve">property rights of any third party; </w:t>
      </w:r>
    </w:p>
    <w:p w14:paraId="2800DD44" w14:textId="056CB465" w:rsidR="001D6DF8" w:rsidRPr="00484686" w:rsidRDefault="001D6DF8">
      <w:pPr>
        <w:pStyle w:val="Heading3"/>
      </w:pPr>
      <w:r w:rsidRPr="00484686">
        <w:t xml:space="preserve">any breach by Seller of the covenants set forth in </w:t>
      </w:r>
      <w:r w:rsidRPr="00541852">
        <w:t>Section</w:t>
      </w:r>
      <w:r w:rsidR="00541852" w:rsidRPr="00541852">
        <w:t xml:space="preserve"> </w:t>
      </w:r>
      <w:r w:rsidR="009B2ACF">
        <w:t>10</w:t>
      </w:r>
      <w:r w:rsidRPr="00541852">
        <w:t>.0</w:t>
      </w:r>
      <w:r w:rsidR="00A75F75" w:rsidRPr="00541852">
        <w:t>5</w:t>
      </w:r>
      <w:r w:rsidRPr="00484686">
        <w:t>;</w:t>
      </w:r>
    </w:p>
    <w:p w14:paraId="443538A5" w14:textId="1C57782E" w:rsidR="00A01DF3" w:rsidRPr="00484686" w:rsidRDefault="001D6DF8" w:rsidP="00FF157D">
      <w:pPr>
        <w:pStyle w:val="Heading3"/>
      </w:pPr>
      <w:r w:rsidRPr="00484686">
        <w:rPr>
          <w:rFonts w:eastAsia="Fd177276-Identity-H"/>
        </w:rPr>
        <w:t xml:space="preserve">any violation of Applicable Laws arising out of or in connection with Seller’s performance of, or failure to perform this Agreement, including </w:t>
      </w:r>
      <w:r w:rsidRPr="00484686">
        <w:t>strict liability</w:t>
      </w:r>
      <w:r w:rsidR="008E65AA" w:rsidRPr="00484686">
        <w:rPr>
          <w:rFonts w:eastAsia="MS Mincho"/>
        </w:rPr>
        <w:t xml:space="preserve">; </w:t>
      </w:r>
    </w:p>
    <w:p w14:paraId="48CADB99" w14:textId="77777777" w:rsidR="001D6DF8" w:rsidRPr="00484686" w:rsidRDefault="001D6DF8" w:rsidP="00FF157D">
      <w:pPr>
        <w:pStyle w:val="Heading3"/>
      </w:pPr>
      <w:r w:rsidRPr="00484686">
        <w:rPr>
          <w:rFonts w:eastAsia="MS Mincho"/>
        </w:rPr>
        <w:t>any (i) release of a Hazardous Material by Seller, its EPC Contractor, or any of Seller’s or its EPC Contractor’s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w:t>
      </w:r>
      <w:r w:rsidR="0088014D" w:rsidRPr="00484686">
        <w:rPr>
          <w:rFonts w:eastAsia="MS Mincho"/>
        </w:rPr>
        <w:t xml:space="preserve">; </w:t>
      </w:r>
    </w:p>
    <w:p w14:paraId="29574544" w14:textId="390CB052" w:rsidR="0088014D" w:rsidRPr="00484686" w:rsidRDefault="001D6DF8" w:rsidP="00673CD7">
      <w:pPr>
        <w:pStyle w:val="Heading3"/>
      </w:pPr>
      <w:r w:rsidRPr="00484686">
        <w:t xml:space="preserve">the failure to pay any Governmental Charges </w:t>
      </w:r>
      <w:r w:rsidR="000527AC">
        <w:t xml:space="preserve">or Environmental Costs </w:t>
      </w:r>
      <w:r w:rsidRPr="00484686">
        <w:t xml:space="preserve">for which Seller is responsible under </w:t>
      </w:r>
      <w:r w:rsidR="002E2123">
        <w:t xml:space="preserve">Sections </w:t>
      </w:r>
      <w:r w:rsidR="00C73081">
        <w:t xml:space="preserve">3.07(e), </w:t>
      </w:r>
      <w:r w:rsidR="002E2123">
        <w:t xml:space="preserve">13.06, </w:t>
      </w:r>
      <w:r w:rsidR="000527AC">
        <w:t>or</w:t>
      </w:r>
      <w:r w:rsidR="002E2123">
        <w:t xml:space="preserve"> 13.08</w:t>
      </w:r>
      <w:r w:rsidRPr="008923FE">
        <w:t>;</w:t>
      </w:r>
    </w:p>
    <w:p w14:paraId="1408FC86" w14:textId="77777777" w:rsidR="00A01DF3" w:rsidRDefault="001D6DF8" w:rsidP="00FF157D">
      <w:pPr>
        <w:pStyle w:val="Heading3"/>
        <w:rPr>
          <w:rFonts w:eastAsia="MS Mincho"/>
        </w:rPr>
      </w:pPr>
      <w:r w:rsidRPr="00484686">
        <w:t>any monetary penalties or fines assessed against SCE by the CPUC</w:t>
      </w:r>
      <w:r w:rsidRPr="0001148F">
        <w:t xml:space="preserve"> or the CAISO or any other entity having jurisdiction, resulting from</w:t>
      </w:r>
      <w:r w:rsidR="00493A06">
        <w:t>:</w:t>
      </w:r>
      <w:r w:rsidRPr="0001148F">
        <w:t xml:space="preserve"> </w:t>
      </w:r>
    </w:p>
    <w:p w14:paraId="37CC6AB6" w14:textId="4B2F3FCA" w:rsidR="00BF0CCA" w:rsidRPr="00484686" w:rsidRDefault="00BF0CCA" w:rsidP="00FF157D">
      <w:pPr>
        <w:pStyle w:val="Heading4"/>
      </w:pPr>
      <w:r w:rsidRPr="0027789B">
        <w:t xml:space="preserve">Seller’s failure to provide any portion of the Expected Contract Quantity for any portion of </w:t>
      </w:r>
      <w:r w:rsidRPr="00484686">
        <w:t xml:space="preserve">the RA Period; </w:t>
      </w:r>
    </w:p>
    <w:p w14:paraId="38268D47" w14:textId="6EAEFFF9" w:rsidR="00BF0CCA" w:rsidRPr="00493A06" w:rsidRDefault="00BF0CCA" w:rsidP="00FF157D">
      <w:pPr>
        <w:pStyle w:val="Heading4"/>
      </w:pPr>
      <w:r w:rsidRPr="00484686">
        <w:t xml:space="preserve">Seller’s failure to provide notice of the non-availability of any portion of the Expected Contract Quantity for any portion of the RA Period as required </w:t>
      </w:r>
      <w:r w:rsidRPr="000678FD">
        <w:t xml:space="preserve">under Section </w:t>
      </w:r>
      <w:r w:rsidR="00C40E6C">
        <w:t>6</w:t>
      </w:r>
      <w:r w:rsidRPr="000678FD">
        <w:t>.03;</w:t>
      </w:r>
      <w:r w:rsidRPr="00493A06">
        <w:t xml:space="preserve">  </w:t>
      </w:r>
    </w:p>
    <w:p w14:paraId="3A06A95F" w14:textId="4A9EE5B9" w:rsidR="00BF0CCA" w:rsidRPr="00C24157" w:rsidRDefault="00BF0CCA" w:rsidP="00FF157D">
      <w:pPr>
        <w:pStyle w:val="Heading4"/>
      </w:pPr>
      <w:r w:rsidRPr="001C093A">
        <w:lastRenderedPageBreak/>
        <w:t>Seller or Seller’s SC’s failure to timely submit Supply Plans that identify SCE’s right to the</w:t>
      </w:r>
      <w:r w:rsidRPr="00C24157">
        <w:t xml:space="preserve"> Expected Contract Quantity purchased hereunder for each day of the RA Period; or</w:t>
      </w:r>
    </w:p>
    <w:p w14:paraId="2C9C6D6A" w14:textId="4CDFC432" w:rsidR="00BF0CCA" w:rsidRPr="00C24157" w:rsidRDefault="00BF0CCA" w:rsidP="00FF157D">
      <w:pPr>
        <w:pStyle w:val="Heading4"/>
      </w:pPr>
      <w:r w:rsidRPr="00C24157">
        <w:t xml:space="preserve">Seller or Seller’s SC’s failure to submit accurate Supply Plans that identify SCE’s right to the Expected Contract Quantity purchased hereunder for each day of the RA Period. </w:t>
      </w:r>
    </w:p>
    <w:p w14:paraId="081E556D" w14:textId="42C32A14" w:rsidR="00BF0CCA" w:rsidRPr="00BF0CCA" w:rsidRDefault="00493A06">
      <w:pPr>
        <w:pStyle w:val="Heading3Text"/>
      </w:pPr>
      <w:r>
        <w:t>The</w:t>
      </w:r>
      <w:r w:rsidR="00BF0CCA" w:rsidRPr="0027789B">
        <w:t xml:space="preserve"> Parties shall use commercially reasonable efforts to minimize such penalties, fines and costs; provided, in no event </w:t>
      </w:r>
      <w:r>
        <w:t>will</w:t>
      </w:r>
      <w:r w:rsidR="00BF0CCA" w:rsidRPr="0027789B">
        <w:t xml:space="preserve"> SCE be required to use or change its utilization of its owned or controlled assets or market positions to minimize </w:t>
      </w:r>
      <w:r w:rsidRPr="0001148F">
        <w:t xml:space="preserve">such </w:t>
      </w:r>
      <w:r>
        <w:t xml:space="preserve">penalties, </w:t>
      </w:r>
      <w:r w:rsidRPr="0001148F">
        <w:t xml:space="preserve">fines and </w:t>
      </w:r>
      <w:r>
        <w:t>costs</w:t>
      </w:r>
      <w:r w:rsidR="001D4101">
        <w:t xml:space="preserve">. </w:t>
      </w:r>
      <w:r w:rsidR="00BF0CCA" w:rsidRPr="0027789B">
        <w:t>If Seller fails to pay the foregoing penalties, fines or costs, or fails to reimburse SCE for those penalties, fines or costs, then SCE may offset those penalties, fines or costs against any future amounts it may owe to Seller under this Agreement</w:t>
      </w:r>
      <w:r w:rsidR="00CA51E2">
        <w:t>;</w:t>
      </w:r>
    </w:p>
    <w:p w14:paraId="3D29CBC5" w14:textId="77606996" w:rsidR="00CA51E2" w:rsidRDefault="00CA51E2" w:rsidP="00DB7FE0">
      <w:pPr>
        <w:pStyle w:val="Heading3"/>
      </w:pPr>
      <w:r>
        <w:t>any</w:t>
      </w:r>
      <w:r w:rsidRPr="0027789B">
        <w:t xml:space="preserve"> costs or losses of SCE resulting from a Non-SCE Dispatch, including all (</w:t>
      </w:r>
      <w:r>
        <w:t>i</w:t>
      </w:r>
      <w:r w:rsidRPr="0027789B">
        <w:t>) charges, sanctions, and penalties imposed by the CAISO, and (</w:t>
      </w:r>
      <w:r>
        <w:t>ii</w:t>
      </w:r>
      <w:r w:rsidRPr="0027789B">
        <w:t>) the Charging Energy Requirements</w:t>
      </w:r>
      <w:r>
        <w:t>; or</w:t>
      </w:r>
    </w:p>
    <w:p w14:paraId="3E239D90" w14:textId="69D98E83" w:rsidR="00CA51E2" w:rsidRPr="00CA51E2" w:rsidRDefault="00CA51E2" w:rsidP="00DB7FE0">
      <w:pPr>
        <w:pStyle w:val="Heading3"/>
      </w:pPr>
      <w:r w:rsidRPr="003B3D2A">
        <w:t>any event, circumstance, act, or incident</w:t>
      </w:r>
      <w:r w:rsidR="00604852">
        <w:t xml:space="preserve"> </w:t>
      </w:r>
      <w:r w:rsidRPr="003B3D2A">
        <w:t xml:space="preserve">first occurring or existing during the period when control and title to </w:t>
      </w:r>
      <w:r w:rsidR="00604852">
        <w:t>such</w:t>
      </w:r>
      <w:r w:rsidRPr="003B3D2A">
        <w:t xml:space="preserve"> Charging Energy Requirements is vested in </w:t>
      </w:r>
      <w:r w:rsidR="007F5599">
        <w:t>Seller</w:t>
      </w:r>
      <w:r w:rsidRPr="003B3D2A">
        <w:t xml:space="preserve"> in accordance with Section 6.03(</w:t>
      </w:r>
      <w:r>
        <w:t>c</w:t>
      </w:r>
      <w:r w:rsidRPr="003B3D2A">
        <w:t>).</w:t>
      </w:r>
    </w:p>
    <w:p w14:paraId="0EBFE8E1" w14:textId="77777777" w:rsidR="00A01DF3" w:rsidRPr="0027789B" w:rsidRDefault="008E65AA" w:rsidP="00FF157D">
      <w:pPr>
        <w:pStyle w:val="Heading2Text"/>
      </w:pPr>
      <w:r w:rsidRPr="0027789B">
        <w:t xml:space="preserve">This indemnity applies notwithstanding SCE’s active or passive negligence. However, SCE will not be indemnified for its loss, liability, damage, claim, cost, charge, demand or expense to the extent caused by </w:t>
      </w:r>
      <w:r w:rsidR="001D6DF8">
        <w:t>its</w:t>
      </w:r>
      <w:r w:rsidR="001D6DF8" w:rsidRPr="0027789B">
        <w:t xml:space="preserve"> </w:t>
      </w:r>
      <w:r w:rsidRPr="0027789B">
        <w:t>gross negligence or willful misconduct.</w:t>
      </w:r>
    </w:p>
    <w:p w14:paraId="7355AEA4" w14:textId="77777777" w:rsidR="00C56E4F" w:rsidRPr="00FF157D" w:rsidRDefault="008E65AA" w:rsidP="00FF157D">
      <w:pPr>
        <w:pStyle w:val="Heading2"/>
        <w:keepNext w:val="0"/>
        <w:keepLines w:val="0"/>
        <w:rPr>
          <w:u w:val="none"/>
        </w:rPr>
      </w:pPr>
      <w:bookmarkStart w:id="482" w:name="_Toc467577615"/>
      <w:bookmarkStart w:id="483" w:name="_Toc470014875"/>
      <w:bookmarkStart w:id="484" w:name="_Toc470856066"/>
      <w:bookmarkStart w:id="485" w:name="_Toc510788306"/>
      <w:r w:rsidRPr="0027789B">
        <w:t>Indemnification Claims</w:t>
      </w:r>
      <w:r w:rsidRPr="00FF157D">
        <w:rPr>
          <w:u w:val="none"/>
        </w:rPr>
        <w:t>.</w:t>
      </w:r>
      <w:bookmarkEnd w:id="482"/>
      <w:bookmarkEnd w:id="483"/>
      <w:bookmarkEnd w:id="484"/>
      <w:bookmarkEnd w:id="485"/>
    </w:p>
    <w:p w14:paraId="3919BE8B" w14:textId="77777777" w:rsidR="00A01DF3" w:rsidRPr="0027789B" w:rsidRDefault="008E65AA" w:rsidP="00FF157D">
      <w:pPr>
        <w:pStyle w:val="Heading2Text"/>
      </w:pPr>
      <w:r w:rsidRPr="0027789B">
        <w:t>All claims for indemnification by a Party entitled to be indemnified under this Agreement (an “</w:t>
      </w:r>
      <w:r w:rsidRPr="00FF157D">
        <w:rPr>
          <w:u w:val="single"/>
        </w:rPr>
        <w:t>Indemnified Party</w:t>
      </w:r>
      <w:r w:rsidRPr="0027789B">
        <w:t>”) by the other Party (the “</w:t>
      </w:r>
      <w:r w:rsidRPr="00FF157D">
        <w:rPr>
          <w:u w:val="single"/>
        </w:rPr>
        <w:t>Indemnitor</w:t>
      </w:r>
      <w:r w:rsidRPr="0027789B">
        <w:t>”) will be asserted and resolved as follows:</w:t>
      </w:r>
    </w:p>
    <w:p w14:paraId="2BAFA2CE" w14:textId="77777777" w:rsidR="00A01DF3" w:rsidRPr="0027789B" w:rsidRDefault="008E65AA" w:rsidP="00FF157D">
      <w:pPr>
        <w:pStyle w:val="Heading3"/>
      </w:pPr>
      <w:r w:rsidRPr="0027789B">
        <w:t xml:space="preserve">If a claim or demand for which an Indemnified Party may claim indemnity is asserted against or sought to be collected from an Indemnified Party by a third party, the Indemnified Party shall as promptly as practicable give Notice to the Indemnitor; </w:t>
      </w:r>
      <w:r w:rsidRPr="00DB7FE0">
        <w:t>provided</w:t>
      </w:r>
      <w:r w:rsidRPr="0027789B">
        <w:t>, failure to provide this Notice will relieve Indemnitor only to the extent that the failure actually prejudices Indemnitor.</w:t>
      </w:r>
    </w:p>
    <w:p w14:paraId="0C05772E" w14:textId="77777777" w:rsidR="00A01DF3" w:rsidRPr="0027789B" w:rsidRDefault="008E65AA" w:rsidP="00FF157D">
      <w:pPr>
        <w:pStyle w:val="Heading3"/>
      </w:pPr>
      <w:r w:rsidRPr="0027789B">
        <w:t>Indemnitor will have the right to control the defense and settlement of any claims in a manner not adverse to Indemnified Party but cannot admit any liability or enter into any settlement without Indemnified Party’s approval.</w:t>
      </w:r>
    </w:p>
    <w:p w14:paraId="48B9D7FB" w14:textId="77777777" w:rsidR="00A01DF3" w:rsidRPr="0027789B" w:rsidRDefault="008E65AA" w:rsidP="00FF157D">
      <w:pPr>
        <w:pStyle w:val="Heading3"/>
      </w:pPr>
      <w:r w:rsidRPr="0027789B">
        <w:lastRenderedPageBreak/>
        <w:t xml:space="preserve">Indemnified Party may employ counsel at its own expense with respect to any claims or demands asserted or sought to be collected against it; </w:t>
      </w:r>
      <w:r w:rsidRPr="00DB7FE0">
        <w:t>provided</w:t>
      </w:r>
      <w:r w:rsidRPr="0027789B">
        <w:t>, if counsel is employed due to a conflict of interest or because Indemnitor does not assume control of the defense, Indemnitor will bear the expense of this counsel.</w:t>
      </w:r>
    </w:p>
    <w:p w14:paraId="126FE885" w14:textId="77777777" w:rsidR="00C56E4F" w:rsidRPr="00FF157D" w:rsidRDefault="008E65AA" w:rsidP="00FF157D">
      <w:pPr>
        <w:pStyle w:val="Heading2"/>
        <w:keepNext w:val="0"/>
        <w:keepLines w:val="0"/>
        <w:rPr>
          <w:u w:val="none"/>
        </w:rPr>
      </w:pPr>
      <w:bookmarkStart w:id="486" w:name="_Toc472607749"/>
      <w:bookmarkStart w:id="487" w:name="_Toc473105295"/>
      <w:bookmarkStart w:id="488" w:name="_Toc473224001"/>
      <w:bookmarkStart w:id="489" w:name="_Toc472607750"/>
      <w:bookmarkStart w:id="490" w:name="_Toc473105296"/>
      <w:bookmarkStart w:id="491" w:name="_Toc473224002"/>
      <w:bookmarkStart w:id="492" w:name="_Toc467577618"/>
      <w:bookmarkStart w:id="493" w:name="_Toc470014878"/>
      <w:bookmarkStart w:id="494" w:name="_Toc470856069"/>
      <w:bookmarkStart w:id="495" w:name="_Toc510788307"/>
      <w:bookmarkEnd w:id="486"/>
      <w:bookmarkEnd w:id="487"/>
      <w:bookmarkEnd w:id="488"/>
      <w:bookmarkEnd w:id="489"/>
      <w:bookmarkEnd w:id="490"/>
      <w:bookmarkEnd w:id="491"/>
      <w:r w:rsidRPr="0027789B">
        <w:t>Survival</w:t>
      </w:r>
      <w:r w:rsidR="00C84DE3">
        <w:t xml:space="preserve"> of Indemnification Rights and Obligations</w:t>
      </w:r>
      <w:r w:rsidRPr="00FF157D">
        <w:rPr>
          <w:u w:val="none"/>
        </w:rPr>
        <w:t>.</w:t>
      </w:r>
      <w:bookmarkEnd w:id="492"/>
      <w:bookmarkEnd w:id="493"/>
      <w:bookmarkEnd w:id="494"/>
      <w:bookmarkEnd w:id="495"/>
    </w:p>
    <w:p w14:paraId="6A7DBCF3" w14:textId="3843064B" w:rsidR="009B2ACF" w:rsidRPr="0027789B" w:rsidRDefault="008E65AA" w:rsidP="009B2ACF">
      <w:pPr>
        <w:pStyle w:val="Heading2Text"/>
      </w:pPr>
      <w:r w:rsidRPr="0027789B">
        <w:t>All indemnity rights shall survive the termination of this Agreement</w:t>
      </w:r>
      <w:r w:rsidR="00F53002">
        <w:t xml:space="preserve"> for a period of four (4) years</w:t>
      </w:r>
      <w:r w:rsidRPr="0027789B">
        <w:t>.</w:t>
      </w:r>
    </w:p>
    <w:p w14:paraId="74C697E8" w14:textId="77777777" w:rsidR="009B2ACF" w:rsidRPr="00CA5B21" w:rsidRDefault="009B2ACF" w:rsidP="009B2ACF">
      <w:pPr>
        <w:pStyle w:val="Heading2"/>
        <w:keepNext w:val="0"/>
        <w:keepLines w:val="0"/>
      </w:pPr>
      <w:bookmarkStart w:id="496" w:name="_Ref90115648"/>
      <w:bookmarkStart w:id="497" w:name="_Toc379315823"/>
      <w:bookmarkStart w:id="498" w:name="_Toc379316513"/>
      <w:bookmarkStart w:id="499" w:name="_Toc471476157"/>
      <w:bookmarkStart w:id="500" w:name="_Toc510788308"/>
      <w:bookmarkStart w:id="501" w:name="_Toc467577547"/>
      <w:bookmarkStart w:id="502" w:name="_Toc470014807"/>
      <w:r w:rsidRPr="00CA5B21">
        <w:t>Cooperation to Minimize Tax Liabilities</w:t>
      </w:r>
      <w:r w:rsidRPr="00673CD7">
        <w:rPr>
          <w:u w:val="none"/>
        </w:rPr>
        <w:t>.</w:t>
      </w:r>
      <w:bookmarkEnd w:id="496"/>
      <w:bookmarkEnd w:id="497"/>
      <w:bookmarkEnd w:id="498"/>
      <w:bookmarkEnd w:id="499"/>
      <w:bookmarkEnd w:id="500"/>
    </w:p>
    <w:p w14:paraId="01BE9320" w14:textId="77777777" w:rsidR="009B2ACF" w:rsidRPr="00CA5B21" w:rsidRDefault="009B2ACF" w:rsidP="009B2ACF">
      <w:pPr>
        <w:pStyle w:val="Heading2Text"/>
      </w:pPr>
      <w:r w:rsidRPr="00CA5B21">
        <w:t>Each Party shall use reasonable efforts to implement the provisions of and to administer this Agreement in accordance with the intent of the Parties to minimize all taxes, so long as neither Party is materially adversely affected by such efforts.</w:t>
      </w:r>
    </w:p>
    <w:p w14:paraId="071EDF36" w14:textId="5B32295E" w:rsidR="009B2ACF" w:rsidRPr="0027789B" w:rsidRDefault="009B2ACF" w:rsidP="009B2ACF">
      <w:pPr>
        <w:pStyle w:val="Heading2"/>
        <w:keepNext w:val="0"/>
        <w:keepLines w:val="0"/>
      </w:pPr>
      <w:bookmarkStart w:id="503" w:name="_Toc470855998"/>
      <w:bookmarkStart w:id="504" w:name="_Toc510788309"/>
      <w:r w:rsidRPr="0027789B">
        <w:t>Governmental Charges</w:t>
      </w:r>
      <w:r w:rsidRPr="00FF157D">
        <w:rPr>
          <w:u w:val="none"/>
        </w:rPr>
        <w:t>.</w:t>
      </w:r>
      <w:bookmarkEnd w:id="501"/>
      <w:bookmarkEnd w:id="502"/>
      <w:bookmarkEnd w:id="503"/>
      <w:bookmarkEnd w:id="504"/>
    </w:p>
    <w:p w14:paraId="3831DAA0" w14:textId="762498B0" w:rsidR="00B5167F" w:rsidRDefault="00B5167F" w:rsidP="009B2ACF">
      <w:pPr>
        <w:pStyle w:val="Heading2Text"/>
      </w:pPr>
      <w:r>
        <w:t xml:space="preserve">For any RA Period, </w:t>
      </w:r>
      <w:r w:rsidRPr="00CC662C">
        <w:t>Seller shall pay or cause to be paid all taxes, charges or fees imposed by a Governmental Authority</w:t>
      </w:r>
      <w:r w:rsidRPr="0027789B">
        <w:t xml:space="preserve">, </w:t>
      </w:r>
      <w:r w:rsidRPr="00CA5B21">
        <w:t xml:space="preserve">including ad valorem taxes and other taxes attributable to the </w:t>
      </w:r>
      <w:r>
        <w:t>Project</w:t>
      </w:r>
      <w:r w:rsidRPr="00CA5B21">
        <w:t xml:space="preserve">, land, land rights or interests in land for the </w:t>
      </w:r>
      <w:r>
        <w:t>Project</w:t>
      </w:r>
      <w:r w:rsidRPr="00CC662C">
        <w:t xml:space="preserve"> (</w:t>
      </w:r>
      <w:r>
        <w:t xml:space="preserve">collectively, </w:t>
      </w:r>
      <w:r w:rsidRPr="00CC662C">
        <w:t>“</w:t>
      </w:r>
      <w:r w:rsidRPr="00CC662C">
        <w:rPr>
          <w:u w:val="single"/>
        </w:rPr>
        <w:t>Governmental Charges</w:t>
      </w:r>
      <w:r w:rsidRPr="00CC662C">
        <w:t>”) on or with respect to the Project or the Product. If SCE is required by Applicable Laws to remit or pay Governmental Charges which are Seller’s responsibility hereunder, SCE may deduct the amount of any such Governmental Charge from any amounts due</w:t>
      </w:r>
      <w:r w:rsidRPr="00266CB8">
        <w:t xml:space="preserve"> to Seller under this Agreement. </w:t>
      </w:r>
    </w:p>
    <w:p w14:paraId="0ACB92C8" w14:textId="6B9D08CF" w:rsidR="00B939C5" w:rsidRDefault="009B2ACF" w:rsidP="009B2ACF">
      <w:pPr>
        <w:pStyle w:val="Heading2Text"/>
      </w:pPr>
      <w:r w:rsidRPr="0027789B">
        <w:t xml:space="preserve">For any Put Period, </w:t>
      </w:r>
    </w:p>
    <w:p w14:paraId="4665D104" w14:textId="7BDA37FF" w:rsidR="009B2ACF" w:rsidRDefault="009B2ACF" w:rsidP="00DB7FE0">
      <w:pPr>
        <w:pStyle w:val="Heading3"/>
      </w:pPr>
      <w:r w:rsidRPr="0027789B">
        <w:t xml:space="preserve">Seller shall pay or cause to be paid all </w:t>
      </w:r>
      <w:r w:rsidR="00B5167F">
        <w:t>Governmental Charges</w:t>
      </w:r>
      <w:r w:rsidRPr="0027789B">
        <w:t xml:space="preserve"> on or with respect to the Product at or before the Energy Delivery Point</w:t>
      </w:r>
      <w:r>
        <w:t>.</w:t>
      </w:r>
    </w:p>
    <w:p w14:paraId="337DE9CE" w14:textId="77777777" w:rsidR="00B939C5" w:rsidRDefault="009B2ACF" w:rsidP="00DB7FE0">
      <w:pPr>
        <w:pStyle w:val="Heading3"/>
      </w:pPr>
      <w:r w:rsidRPr="0027789B">
        <w:t>SCE shall pay or cause to be paid all Governmental Charges on or with respect to Product after the Energy Delivery Point</w:t>
      </w:r>
      <w:r>
        <w:t xml:space="preserve">. </w:t>
      </w:r>
    </w:p>
    <w:p w14:paraId="6E3C5538" w14:textId="76D60CC8" w:rsidR="009B2ACF" w:rsidRDefault="009B2ACF" w:rsidP="009B2ACF">
      <w:pPr>
        <w:pStyle w:val="Heading2Text"/>
      </w:pPr>
      <w:r>
        <w:t>If</w:t>
      </w:r>
      <w:r w:rsidRPr="0027789B">
        <w:t xml:space="preserve"> Seller is required by Applicable Laws to remit or pay Governmental Charges which are SCE’s responsibility hereunder, SCE shall promptly reimburse Seller for such Governmental </w:t>
      </w:r>
      <w:r w:rsidRPr="001E217F">
        <w:t xml:space="preserve">Charges. If SCE is required by Applicable Laws to remit or pay Governmental Charges which are Seller’s responsibility hereunder, SCE may deduct the amount of any such Governmental Charge from any amounts due to Seller under </w:t>
      </w:r>
      <w:r w:rsidR="00FE2F67">
        <w:t>this Agreement</w:t>
      </w:r>
      <w:r w:rsidRPr="001E217F">
        <w:t>.</w:t>
      </w:r>
      <w:r w:rsidR="00B939C5">
        <w:t xml:space="preserve"> </w:t>
      </w:r>
      <w:r w:rsidRPr="001E217F">
        <w:t xml:space="preserve">If SCE elects not to deduct such amounts from amounts due to Seller under </w:t>
      </w:r>
      <w:r w:rsidR="00FE2F67">
        <w:t>this Agreement</w:t>
      </w:r>
      <w:r w:rsidRPr="001E217F">
        <w:t>,</w:t>
      </w:r>
      <w:r>
        <w:t xml:space="preserve"> Seller shall promptly reimburse SCE for such amounts upon SCE’s request.</w:t>
      </w:r>
    </w:p>
    <w:p w14:paraId="745D5894" w14:textId="492CF505" w:rsidR="00FE2F67" w:rsidRPr="0027789B" w:rsidRDefault="00FE2F67" w:rsidP="009B2ACF">
      <w:pPr>
        <w:pStyle w:val="Heading2Text"/>
      </w:pPr>
      <w:r w:rsidRPr="00833EDE">
        <w:lastRenderedPageBreak/>
        <w:t>Nothing shall obligate or cause a Party to pay or be liable to pay any Governmental Charges for which it is exempt under Applicable Laws</w:t>
      </w:r>
      <w:r>
        <w:t>.</w:t>
      </w:r>
    </w:p>
    <w:p w14:paraId="1B9E4433" w14:textId="77777777" w:rsidR="009B2ACF" w:rsidRPr="00FF157D" w:rsidRDefault="009B2ACF" w:rsidP="009B2ACF">
      <w:pPr>
        <w:pStyle w:val="Heading2"/>
        <w:keepNext w:val="0"/>
        <w:keepLines w:val="0"/>
        <w:rPr>
          <w:u w:val="none"/>
        </w:rPr>
      </w:pPr>
      <w:bookmarkStart w:id="505" w:name="_Toc467577548"/>
      <w:bookmarkStart w:id="506" w:name="_Toc470014808"/>
      <w:bookmarkStart w:id="507" w:name="_Toc470855999"/>
      <w:bookmarkStart w:id="508" w:name="_Toc510788310"/>
      <w:r w:rsidRPr="0027789B">
        <w:t>Compliance with Laws and Indemnification</w:t>
      </w:r>
      <w:r w:rsidRPr="00FF157D">
        <w:rPr>
          <w:u w:val="none"/>
        </w:rPr>
        <w:t>.</w:t>
      </w:r>
      <w:bookmarkEnd w:id="505"/>
      <w:bookmarkEnd w:id="506"/>
      <w:bookmarkEnd w:id="507"/>
      <w:bookmarkEnd w:id="508"/>
    </w:p>
    <w:p w14:paraId="61078B81" w14:textId="77777777" w:rsidR="00FE06DB" w:rsidRDefault="009B2ACF" w:rsidP="009B2ACF">
      <w:pPr>
        <w:pStyle w:val="Heading2Text"/>
      </w:pPr>
      <w:r w:rsidRPr="0027789B">
        <w:t>Seller shall be responsible for obtaining and maintaining all Permits, and shall construct and operate the Project in compliance with all Applicable Laws and Permit Requirements for the Term, including any new or revised Permits or Applicable Laws that become effective during the Term</w:t>
      </w:r>
      <w:r>
        <w:t xml:space="preserve">. </w:t>
      </w:r>
    </w:p>
    <w:p w14:paraId="21AB1FF0" w14:textId="3DEA503D" w:rsidR="009B2ACF" w:rsidRPr="0027789B" w:rsidRDefault="009B2ACF" w:rsidP="009B2ACF">
      <w:pPr>
        <w:pStyle w:val="Heading2Text"/>
      </w:pPr>
      <w:r w:rsidRPr="0027789B">
        <w:t>Seller shall be solely responsible for any fines, penalties or other charges which result from Seller’s failure to obtain or maintain such Permits and/or operate the Project in accordance with Applicable Laws and Permit Requirements</w:t>
      </w:r>
      <w:r>
        <w:t xml:space="preserve">. </w:t>
      </w:r>
      <w:r w:rsidRPr="0027789B">
        <w:t>No such fines, penalties or charges shall be passed through to SCE.</w:t>
      </w:r>
    </w:p>
    <w:p w14:paraId="3CF4F1A3" w14:textId="77777777" w:rsidR="009B2ACF" w:rsidRPr="00FF157D" w:rsidRDefault="009B2ACF" w:rsidP="009B2ACF">
      <w:pPr>
        <w:pStyle w:val="Heading2"/>
        <w:keepNext w:val="0"/>
        <w:keepLines w:val="0"/>
        <w:rPr>
          <w:u w:val="none"/>
        </w:rPr>
      </w:pPr>
      <w:bookmarkStart w:id="509" w:name="_Toc467577549"/>
      <w:bookmarkStart w:id="510" w:name="_Toc470014809"/>
      <w:bookmarkStart w:id="511" w:name="_Toc470856000"/>
      <w:bookmarkStart w:id="512" w:name="_Toc510788311"/>
      <w:r w:rsidRPr="0027789B">
        <w:t>Environmental Costs and Indemnification</w:t>
      </w:r>
      <w:r w:rsidRPr="00FF157D">
        <w:rPr>
          <w:u w:val="none"/>
        </w:rPr>
        <w:t>.</w:t>
      </w:r>
      <w:bookmarkEnd w:id="509"/>
      <w:bookmarkEnd w:id="510"/>
      <w:bookmarkEnd w:id="511"/>
      <w:bookmarkEnd w:id="512"/>
    </w:p>
    <w:p w14:paraId="52686F01" w14:textId="77777777" w:rsidR="0098046F" w:rsidRDefault="009B2ACF" w:rsidP="009B2ACF">
      <w:pPr>
        <w:pStyle w:val="Heading2Text"/>
      </w:pPr>
      <w:r w:rsidRPr="0027789B">
        <w:t xml:space="preserve">Seller is solely responsible for </w:t>
      </w:r>
    </w:p>
    <w:p w14:paraId="706E0220" w14:textId="77777777" w:rsidR="0098046F" w:rsidRDefault="009B2ACF" w:rsidP="00DB7FE0">
      <w:pPr>
        <w:pStyle w:val="Heading3"/>
      </w:pPr>
      <w:r w:rsidRPr="0027789B">
        <w:t xml:space="preserve">all Environmental Costs, </w:t>
      </w:r>
    </w:p>
    <w:p w14:paraId="4EE66B9A" w14:textId="6114FB91" w:rsidR="0098046F" w:rsidRDefault="009B2ACF" w:rsidP="00DB7FE0">
      <w:pPr>
        <w:pStyle w:val="Heading3"/>
      </w:pPr>
      <w:r w:rsidRPr="0027789B">
        <w:t xml:space="preserve">all </w:t>
      </w:r>
      <w:r w:rsidR="0098046F" w:rsidRPr="0027789B">
        <w:t>taxes, charges or fees imposed on the Storage Unit(s) or Seller by a Governmental Authority for Greenhouse Gas emitted by and attributable to the Storage Unit(s) during the Term</w:t>
      </w:r>
      <w:r w:rsidRPr="0027789B">
        <w:t xml:space="preserve">, </w:t>
      </w:r>
    </w:p>
    <w:p w14:paraId="68AFBBA3" w14:textId="7D03C77C" w:rsidR="0098046F" w:rsidRDefault="009B2ACF" w:rsidP="00DB7FE0">
      <w:pPr>
        <w:pStyle w:val="Heading3"/>
      </w:pPr>
      <w:r w:rsidRPr="0027789B">
        <w:t xml:space="preserve">Seller’s </w:t>
      </w:r>
      <w:r w:rsidR="002358DC">
        <w:t>obligations listed under “</w:t>
      </w:r>
      <w:r w:rsidR="002358DC" w:rsidRPr="0027789B">
        <w:t>Compliance Obligation” in the GHG Regulations</w:t>
      </w:r>
      <w:r w:rsidRPr="0027789B">
        <w:t xml:space="preserve">, and </w:t>
      </w:r>
    </w:p>
    <w:p w14:paraId="7FF7847D" w14:textId="0CB541FB" w:rsidR="009B2ACF" w:rsidRPr="0027789B" w:rsidRDefault="009B2ACF" w:rsidP="00DB7FE0">
      <w:pPr>
        <w:pStyle w:val="Heading3"/>
      </w:pPr>
      <w:r w:rsidRPr="0027789B">
        <w:t xml:space="preserve">all other costs associated with the implementation and regulation of Greenhouse Gas emissions (whether in accordance with </w:t>
      </w:r>
      <w:r w:rsidR="00053B6D" w:rsidRPr="0027789B">
        <w:t xml:space="preserve">the California Global Warming </w:t>
      </w:r>
      <w:r w:rsidR="00080C04">
        <w:t xml:space="preserve">Solutions </w:t>
      </w:r>
      <w:r w:rsidR="00053B6D" w:rsidRPr="0027789B">
        <w:t>Act of 2006, Assembly Bill 32 (2006) and the regu</w:t>
      </w:r>
      <w:r w:rsidR="000556BD">
        <w:t>lations promulgated thereunder</w:t>
      </w:r>
      <w:r w:rsidR="003E2343">
        <w:t xml:space="preserve">, </w:t>
      </w:r>
      <w:r w:rsidR="00053B6D" w:rsidRPr="0027789B">
        <w:t>including</w:t>
      </w:r>
      <w:r w:rsidR="000556BD">
        <w:t xml:space="preserve"> </w:t>
      </w:r>
      <w:r w:rsidR="00053B6D" w:rsidRPr="0027789B">
        <w:t>the GHG Regulations</w:t>
      </w:r>
      <w:r w:rsidR="00B939C5">
        <w:t>,</w:t>
      </w:r>
      <w:r w:rsidRPr="0027789B">
        <w:t xml:space="preserve"> or any other federal, state or local legislation to offset or reduce any Greenhouse Gas emissions implemented and regulated by a Governmental Authority) with respect to the Storage Unit(s) and/or Seller</w:t>
      </w:r>
      <w:r>
        <w:t>.</w:t>
      </w:r>
    </w:p>
    <w:p w14:paraId="0280ABD9" w14:textId="77777777" w:rsidR="00A01DF3" w:rsidRPr="0027789B" w:rsidRDefault="008E65AA" w:rsidP="00FF157D">
      <w:pPr>
        <w:pStyle w:val="Heading1"/>
        <w:keepNext w:val="0"/>
        <w:keepLines w:val="0"/>
      </w:pPr>
      <w:bookmarkStart w:id="513" w:name="_Toc467577624"/>
      <w:bookmarkStart w:id="514" w:name="_Toc470014884"/>
      <w:bookmarkStart w:id="515" w:name="_Toc470856075"/>
      <w:bookmarkStart w:id="516" w:name="_Toc510788312"/>
      <w:r w:rsidRPr="0027789B">
        <w:t>MISCELLANEOUS</w:t>
      </w:r>
      <w:bookmarkEnd w:id="513"/>
      <w:bookmarkEnd w:id="514"/>
      <w:bookmarkEnd w:id="515"/>
      <w:bookmarkEnd w:id="516"/>
    </w:p>
    <w:p w14:paraId="1D4D6266" w14:textId="77777777" w:rsidR="006A33C3" w:rsidRPr="00FF157D" w:rsidRDefault="008E65AA" w:rsidP="00FF157D">
      <w:pPr>
        <w:pStyle w:val="Heading2"/>
        <w:keepNext w:val="0"/>
        <w:keepLines w:val="0"/>
        <w:rPr>
          <w:u w:val="none"/>
        </w:rPr>
      </w:pPr>
      <w:bookmarkStart w:id="517" w:name="_Toc467577625"/>
      <w:bookmarkStart w:id="518" w:name="_Toc470014885"/>
      <w:bookmarkStart w:id="519" w:name="_Toc470856076"/>
      <w:bookmarkStart w:id="520" w:name="_Toc510788313"/>
      <w:r w:rsidRPr="0027789B">
        <w:t>General</w:t>
      </w:r>
      <w:r w:rsidRPr="00FF157D">
        <w:rPr>
          <w:u w:val="none"/>
        </w:rPr>
        <w:t>.</w:t>
      </w:r>
      <w:bookmarkStart w:id="521" w:name="_Ref110479418"/>
      <w:bookmarkStart w:id="522" w:name="_Toc460249250"/>
      <w:bookmarkEnd w:id="517"/>
      <w:bookmarkEnd w:id="518"/>
      <w:bookmarkEnd w:id="519"/>
      <w:bookmarkEnd w:id="520"/>
    </w:p>
    <w:p w14:paraId="3CC4B03C" w14:textId="77777777" w:rsidR="00E60CB4" w:rsidRPr="0027789B" w:rsidRDefault="00E60CB4" w:rsidP="00FF157D">
      <w:pPr>
        <w:pStyle w:val="Heading3"/>
      </w:pPr>
      <w:r w:rsidRPr="0027789B">
        <w:rPr>
          <w:u w:val="single"/>
        </w:rPr>
        <w:t>Entire Agreement</w:t>
      </w:r>
      <w:r w:rsidR="001D4101">
        <w:t xml:space="preserve">. </w:t>
      </w:r>
      <w:r w:rsidRPr="0027789B">
        <w:t>This Agreement constitutes the entire agreement between the Parties relating to its subject matter.</w:t>
      </w:r>
      <w:bookmarkEnd w:id="521"/>
      <w:bookmarkEnd w:id="522"/>
    </w:p>
    <w:p w14:paraId="60A9BBB8" w14:textId="77777777" w:rsidR="00E60CB4" w:rsidRPr="0027789B" w:rsidRDefault="00E60CB4" w:rsidP="00FF157D">
      <w:pPr>
        <w:pStyle w:val="Heading3"/>
      </w:pPr>
      <w:bookmarkStart w:id="523" w:name="_Toc460249252"/>
      <w:r w:rsidRPr="0027789B">
        <w:rPr>
          <w:u w:val="single"/>
        </w:rPr>
        <w:t>Amendment</w:t>
      </w:r>
      <w:r w:rsidR="001D4101">
        <w:t xml:space="preserve">. </w:t>
      </w:r>
      <w:r w:rsidRPr="0027789B">
        <w:t>This Agreement can only be amended by a writing signed by both Parties.</w:t>
      </w:r>
      <w:bookmarkEnd w:id="523"/>
    </w:p>
    <w:p w14:paraId="6A937E72" w14:textId="77777777" w:rsidR="00E60CB4" w:rsidRPr="0027789B" w:rsidRDefault="00E60CB4" w:rsidP="00FF157D">
      <w:pPr>
        <w:pStyle w:val="Heading3"/>
      </w:pPr>
      <w:bookmarkStart w:id="524" w:name="_Toc460249253"/>
      <w:r w:rsidRPr="0027789B">
        <w:rPr>
          <w:u w:val="single"/>
        </w:rPr>
        <w:lastRenderedPageBreak/>
        <w:t>No Third-Party Beneficiaries</w:t>
      </w:r>
      <w:r w:rsidRPr="0027789B">
        <w:t>. This Agreement shall not impart any rights enforceable by any third party (other than a permitted successor or assignee bound to this Agreement).</w:t>
      </w:r>
      <w:bookmarkEnd w:id="524"/>
    </w:p>
    <w:p w14:paraId="3766DE3D" w14:textId="77777777" w:rsidR="00E60CB4" w:rsidRPr="00484686" w:rsidRDefault="00E60CB4" w:rsidP="00FF157D">
      <w:pPr>
        <w:pStyle w:val="Heading3"/>
      </w:pPr>
      <w:bookmarkStart w:id="525" w:name="_Toc460249254"/>
      <w:r w:rsidRPr="0027789B">
        <w:rPr>
          <w:u w:val="single"/>
        </w:rPr>
        <w:t>Waiver</w:t>
      </w:r>
      <w:r w:rsidR="001D4101">
        <w:t xml:space="preserve">. </w:t>
      </w:r>
      <w:r w:rsidRPr="0027789B">
        <w:t>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r w:rsidRPr="00484686">
        <w:t>.</w:t>
      </w:r>
      <w:bookmarkEnd w:id="525"/>
    </w:p>
    <w:p w14:paraId="0068A98C" w14:textId="77777777" w:rsidR="00E60CB4" w:rsidRPr="0027789B" w:rsidRDefault="00E60CB4" w:rsidP="00FF157D">
      <w:pPr>
        <w:pStyle w:val="Heading3"/>
      </w:pPr>
      <w:bookmarkStart w:id="526" w:name="_Toc460249257"/>
      <w:r w:rsidRPr="00546E7F">
        <w:rPr>
          <w:u w:val="single"/>
        </w:rPr>
        <w:t>Section</w:t>
      </w:r>
      <w:r w:rsidRPr="00484686">
        <w:rPr>
          <w:u w:val="single"/>
        </w:rPr>
        <w:t xml:space="preserve"> Headings</w:t>
      </w:r>
      <w:r w:rsidR="00FA501B" w:rsidRPr="00484686">
        <w:rPr>
          <w:u w:val="single"/>
        </w:rPr>
        <w:t>; Technical Terms</w:t>
      </w:r>
      <w:r w:rsidRPr="00484686">
        <w:t>. The headings used in this Agreement are for convenience and reference purposes only</w:t>
      </w:r>
      <w:r w:rsidR="001D4101" w:rsidRPr="00484686">
        <w:t xml:space="preserve">. </w:t>
      </w:r>
      <w:r w:rsidRPr="00484686">
        <w:t>Words having well-known technical or industry</w:t>
      </w:r>
      <w:r w:rsidRPr="0027789B">
        <w:t xml:space="preserve"> meanings have these meanings unless otherwise specifically defined in this Agreement.</w:t>
      </w:r>
      <w:bookmarkEnd w:id="526"/>
    </w:p>
    <w:p w14:paraId="4A3D1C1A" w14:textId="77777777" w:rsidR="00E60CB4" w:rsidRPr="0027789B" w:rsidRDefault="00E60CB4" w:rsidP="00FF157D">
      <w:pPr>
        <w:pStyle w:val="Heading3"/>
      </w:pPr>
      <w:bookmarkStart w:id="527" w:name="_Toc460249259"/>
      <w:r w:rsidRPr="0027789B">
        <w:rPr>
          <w:u w:val="single"/>
        </w:rPr>
        <w:t>Successors and Assigns</w:t>
      </w:r>
      <w:r w:rsidR="001D4101">
        <w:t xml:space="preserve">. </w:t>
      </w:r>
      <w:r w:rsidRPr="0027789B">
        <w:t>This Agreement is binding on each Party’s successors and permitted assigns.</w:t>
      </w:r>
      <w:bookmarkEnd w:id="527"/>
    </w:p>
    <w:p w14:paraId="256BECC9" w14:textId="5E25FAF8" w:rsidR="00E60CB4" w:rsidRPr="0027789B" w:rsidRDefault="00E60CB4" w:rsidP="00FF157D">
      <w:pPr>
        <w:pStyle w:val="Heading3"/>
      </w:pPr>
      <w:bookmarkStart w:id="528" w:name="_Toc460249262"/>
      <w:r w:rsidRPr="0027789B">
        <w:rPr>
          <w:u w:val="single"/>
        </w:rPr>
        <w:t>Forward Contract</w:t>
      </w:r>
      <w:r w:rsidR="001D4101">
        <w:t xml:space="preserve">. </w:t>
      </w:r>
      <w:r w:rsidRPr="0027789B">
        <w:t xml:space="preserve">The Parties acknowledge and agree that this Agreement and the transactions contemplated by this Agreement constitute a “forward contract” and that SCE and Seller are each “forward contract merchants” within the meaning of </w:t>
      </w:r>
      <w:r w:rsidR="005C1E90" w:rsidRPr="0027789B">
        <w:t xml:space="preserve">the United States Bankruptcy Code (11 U.S.C. §101 </w:t>
      </w:r>
      <w:r w:rsidR="005C1E90" w:rsidRPr="0027789B">
        <w:rPr>
          <w:i/>
        </w:rPr>
        <w:t>et seq</w:t>
      </w:r>
      <w:r w:rsidR="005C1E90" w:rsidRPr="0027789B">
        <w:t>.), as amended</w:t>
      </w:r>
      <w:r w:rsidRPr="0027789B">
        <w:t>.</w:t>
      </w:r>
      <w:bookmarkEnd w:id="528"/>
    </w:p>
    <w:p w14:paraId="3867ACFE" w14:textId="77777777" w:rsidR="00E60CB4" w:rsidRPr="0027789B" w:rsidRDefault="00E60CB4" w:rsidP="00FF157D">
      <w:pPr>
        <w:pStyle w:val="Heading3"/>
      </w:pPr>
      <w:bookmarkStart w:id="529" w:name="_Toc460249263"/>
      <w:r w:rsidRPr="0027789B">
        <w:rPr>
          <w:u w:val="single"/>
        </w:rPr>
        <w:t>Multiple Counterparts</w:t>
      </w:r>
      <w:r w:rsidR="001D4101">
        <w:t xml:space="preserve">. </w:t>
      </w:r>
      <w:r w:rsidRPr="0027789B">
        <w:t>This Agreement may be executed in one or more counterparts, each of which will be deemed to be an original of this Agreement and all of which, when taken together, will be deemed to constitute one and the same agreement</w:t>
      </w:r>
      <w:r w:rsidR="001D4101">
        <w:t xml:space="preserve">. </w:t>
      </w:r>
      <w:r w:rsidRPr="0027789B">
        <w:t>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bookmarkEnd w:id="529"/>
    </w:p>
    <w:p w14:paraId="7C645B2B" w14:textId="6A87239C" w:rsidR="00E60CB4" w:rsidRPr="0027789B" w:rsidRDefault="00E60CB4" w:rsidP="00FF157D">
      <w:pPr>
        <w:pStyle w:val="Heading3"/>
      </w:pPr>
      <w:bookmarkStart w:id="530" w:name="_Toc460249267"/>
      <w:r w:rsidRPr="0027789B">
        <w:rPr>
          <w:u w:val="single"/>
        </w:rPr>
        <w:t>Survival</w:t>
      </w:r>
      <w:r w:rsidR="001D4101">
        <w:t xml:space="preserve">. </w:t>
      </w:r>
      <w:r w:rsidRPr="0027789B">
        <w:t>Except as may be provided or limited by this Agreement, the obligations which by their nature are intended to survive termination of this Agreement, including representations, warranties, covenants and rights and obligations with respect to audits, indemnification, payment</w:t>
      </w:r>
      <w:r w:rsidR="00FA501B" w:rsidRPr="0027789B">
        <w:t>,</w:t>
      </w:r>
      <w:r w:rsidRPr="0027789B">
        <w:t xml:space="preserve"> settlement,</w:t>
      </w:r>
      <w:r w:rsidR="00D700F7">
        <w:t xml:space="preserve"> </w:t>
      </w:r>
      <w:r w:rsidRPr="0027789B">
        <w:t xml:space="preserve">confidentiality, remedies, limitation of liabilities, posting of </w:t>
      </w:r>
      <w:r w:rsidR="003972AA">
        <w:t>Project</w:t>
      </w:r>
      <w:r w:rsidR="003972AA" w:rsidRPr="0027789B">
        <w:t xml:space="preserve"> </w:t>
      </w:r>
      <w:r w:rsidRPr="0027789B">
        <w:t>Security, dispute resolution, and limitations on third party sales, shall so survive.</w:t>
      </w:r>
      <w:bookmarkEnd w:id="530"/>
    </w:p>
    <w:p w14:paraId="310A8B17" w14:textId="77777777" w:rsidR="00E60CB4" w:rsidRPr="0027789B" w:rsidRDefault="00E60CB4" w:rsidP="00FF157D">
      <w:pPr>
        <w:pStyle w:val="Heading3"/>
      </w:pPr>
      <w:bookmarkStart w:id="531" w:name="_Toc460249268"/>
      <w:r w:rsidRPr="0027789B">
        <w:rPr>
          <w:rFonts w:eastAsia="Fd177276-Identity-H"/>
          <w:u w:val="single"/>
        </w:rPr>
        <w:lastRenderedPageBreak/>
        <w:t>No Agency</w:t>
      </w:r>
      <w:r w:rsidR="001D4101">
        <w:rPr>
          <w:rFonts w:eastAsia="Fd177276-Identity-H"/>
        </w:rPr>
        <w:t xml:space="preserve">. </w:t>
      </w:r>
      <w:r w:rsidRPr="0027789B">
        <w:rPr>
          <w:rFonts w:eastAsia="Fd177276-Identity-H"/>
        </w:rPr>
        <w:t>Except as otherwise provided explicitly herein, in performing their respective obligations under this Agreement, neither Party is acting, or is authorized to act, as the other Party’s agent.</w:t>
      </w:r>
      <w:bookmarkEnd w:id="531"/>
    </w:p>
    <w:p w14:paraId="7C86BE9A" w14:textId="77777777" w:rsidR="00E60CB4" w:rsidRPr="0027789B" w:rsidRDefault="00E60CB4" w:rsidP="00FF157D">
      <w:pPr>
        <w:pStyle w:val="Heading3"/>
      </w:pPr>
      <w:bookmarkStart w:id="532" w:name="_Toc460249269"/>
      <w:r w:rsidRPr="0027789B">
        <w:rPr>
          <w:rFonts w:eastAsia="Fd177276-Identity-H"/>
          <w:u w:val="single"/>
        </w:rPr>
        <w:t>Independent Contractors</w:t>
      </w:r>
      <w:r w:rsidR="001D4101">
        <w:rPr>
          <w:rFonts w:eastAsia="Fd177276-Identity-H"/>
        </w:rPr>
        <w:t xml:space="preserve">. </w:t>
      </w:r>
      <w:r w:rsidRPr="0027789B">
        <w:rPr>
          <w:rFonts w:eastAsia="Fd177276-Identity-H"/>
        </w:rPr>
        <w:t>The Parties are independent contractors. Nothing contained herein shall be deemed to create an association, joint venture, or partnership relationship between the Parties or to impose any partnership obligations or liability on either Party in any way.</w:t>
      </w:r>
      <w:bookmarkEnd w:id="532"/>
    </w:p>
    <w:p w14:paraId="584B2490" w14:textId="77777777" w:rsidR="00E60CB4" w:rsidRPr="0027789B" w:rsidRDefault="00E60CB4" w:rsidP="00FF157D">
      <w:pPr>
        <w:pStyle w:val="Heading3"/>
      </w:pPr>
      <w:bookmarkStart w:id="533" w:name="_Toc460249270"/>
      <w:r w:rsidRPr="0027789B">
        <w:rPr>
          <w:rFonts w:eastAsia="Fd177276-Identity-H"/>
          <w:u w:val="single"/>
        </w:rPr>
        <w:t>Severability</w:t>
      </w:r>
      <w:r w:rsidR="001D4101">
        <w:rPr>
          <w:rFonts w:eastAsia="Fd177276-Identity-H"/>
        </w:rPr>
        <w:t xml:space="preserve">. </w:t>
      </w:r>
      <w:r w:rsidRPr="0027789B">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bookmarkEnd w:id="533"/>
    </w:p>
    <w:p w14:paraId="55C683A6" w14:textId="77777777" w:rsidR="00E60CB4" w:rsidRPr="0027789B" w:rsidRDefault="00E60CB4" w:rsidP="00FF157D">
      <w:pPr>
        <w:pStyle w:val="Heading3"/>
      </w:pPr>
      <w:r w:rsidRPr="00FF157D">
        <w:rPr>
          <w:u w:val="single"/>
        </w:rPr>
        <w:t>Rules of Construction</w:t>
      </w:r>
      <w:r w:rsidRPr="0027789B">
        <w:t>.</w:t>
      </w:r>
    </w:p>
    <w:p w14:paraId="3BB56141" w14:textId="77777777" w:rsidR="00E60CB4" w:rsidRPr="0027789B" w:rsidRDefault="00E60CB4" w:rsidP="00FF157D">
      <w:pPr>
        <w:pStyle w:val="Heading4"/>
      </w:pPr>
      <w:bookmarkStart w:id="534" w:name="_Toc460249251"/>
      <w:r w:rsidRPr="0027789B">
        <w:rPr>
          <w:rFonts w:eastAsia="Fd177276-Identity-H"/>
        </w:rPr>
        <w:t>This</w:t>
      </w:r>
      <w:r w:rsidRPr="0027789B">
        <w:t xml:space="preserve"> Agreement will be considered for all purposes as prepared through the joint efforts of the Parties and may not be construed against one Party or the other as a result of the preparation, substitution, submission or other event of negotiation, drafting or execution hereof.</w:t>
      </w:r>
      <w:bookmarkEnd w:id="534"/>
    </w:p>
    <w:p w14:paraId="3860CE4F" w14:textId="77777777" w:rsidR="00E60CB4" w:rsidRPr="0027789B" w:rsidRDefault="00E60CB4" w:rsidP="00FF157D">
      <w:pPr>
        <w:pStyle w:val="Heading4"/>
      </w:pPr>
      <w:bookmarkStart w:id="535" w:name="_Ref91936914"/>
      <w:bookmarkStart w:id="536" w:name="_Toc460249255"/>
      <w:r w:rsidRPr="0027789B">
        <w:t>The term “including” when used in this Agreement is by way of example only and may not be considered in any way to be in limitation.</w:t>
      </w:r>
      <w:bookmarkEnd w:id="535"/>
      <w:bookmarkEnd w:id="536"/>
    </w:p>
    <w:p w14:paraId="74D7826A" w14:textId="77777777" w:rsidR="00E60CB4" w:rsidRPr="0027789B" w:rsidRDefault="00E60CB4" w:rsidP="00FF157D">
      <w:pPr>
        <w:pStyle w:val="Heading4"/>
      </w:pPr>
      <w:bookmarkStart w:id="537" w:name="_Toc460249256"/>
      <w:r w:rsidRPr="0027789B">
        <w:t>The word “or” when used in this Agreement includes the meaning “and/or” unless the context unambiguously dictates otherwise.</w:t>
      </w:r>
      <w:bookmarkEnd w:id="537"/>
    </w:p>
    <w:p w14:paraId="0AB314EC" w14:textId="77777777" w:rsidR="00E60CB4" w:rsidRPr="0027789B" w:rsidRDefault="00E60CB4" w:rsidP="00FF157D">
      <w:pPr>
        <w:pStyle w:val="Heading4"/>
      </w:pPr>
      <w:bookmarkStart w:id="538" w:name="_Toc460249258"/>
      <w:r w:rsidRPr="0027789B">
        <w:t>Where days are not specifically designated as Business Days, they will be considered as calendar days.</w:t>
      </w:r>
      <w:bookmarkEnd w:id="538"/>
    </w:p>
    <w:p w14:paraId="13365151" w14:textId="7219ED9B" w:rsidR="00E60CB4" w:rsidRPr="0027789B" w:rsidRDefault="00E60CB4" w:rsidP="00FF157D">
      <w:pPr>
        <w:pStyle w:val="Heading4"/>
      </w:pPr>
      <w:r w:rsidRPr="0027789B">
        <w:t xml:space="preserve">All references to time shall be in </w:t>
      </w:r>
      <w:r w:rsidR="00535922" w:rsidRPr="0027789B">
        <w:t>Pacific Daylight Time</w:t>
      </w:r>
      <w:r w:rsidR="00535922">
        <w:t xml:space="preserve"> (</w:t>
      </w:r>
      <w:r w:rsidR="00535922" w:rsidRPr="0027789B">
        <w:t>when California observes Daylight Savings Time</w:t>
      </w:r>
      <w:r w:rsidR="00535922">
        <w:t>)</w:t>
      </w:r>
      <w:r w:rsidR="00535922" w:rsidRPr="0027789B">
        <w:t xml:space="preserve"> and Pacific Standard Time </w:t>
      </w:r>
      <w:r w:rsidR="00535922">
        <w:t>(</w:t>
      </w:r>
      <w:r w:rsidR="00535922" w:rsidRPr="0027789B">
        <w:t>otherwise</w:t>
      </w:r>
      <w:r w:rsidR="00535922">
        <w:t>)</w:t>
      </w:r>
      <w:r w:rsidRPr="0027789B">
        <w:t xml:space="preserve"> unless stated otherwise.</w:t>
      </w:r>
      <w:bookmarkStart w:id="539" w:name="_Toc460249260"/>
      <w:r w:rsidRPr="0027789B">
        <w:t xml:space="preserve"> </w:t>
      </w:r>
    </w:p>
    <w:p w14:paraId="25DA5104" w14:textId="1F7F0218" w:rsidR="00E60CB4" w:rsidRPr="0027789B" w:rsidRDefault="00E60CB4" w:rsidP="00FF157D">
      <w:pPr>
        <w:pStyle w:val="Heading4"/>
      </w:pPr>
      <w:r w:rsidRPr="0027789B">
        <w:t>No provision of this Agreement is intended to contradict or supersede any agreement</w:t>
      </w:r>
      <w:r w:rsidR="00F24A40" w:rsidRPr="0027789B">
        <w:t xml:space="preserve"> </w:t>
      </w:r>
      <w:r w:rsidRPr="0027789B">
        <w:t>or Applicable Laws covering transmission, distribution, metering, scheduling or interconnection, including the interconnection agreement</w:t>
      </w:r>
      <w:r w:rsidR="001D4101">
        <w:t xml:space="preserve">. </w:t>
      </w:r>
      <w:r w:rsidRPr="0027789B">
        <w:t>In the event of an apparent contradiction between this Agreement and any such agreement</w:t>
      </w:r>
      <w:r w:rsidR="00F24A40" w:rsidRPr="0027789B">
        <w:t xml:space="preserve"> </w:t>
      </w:r>
      <w:r w:rsidRPr="0027789B">
        <w:t xml:space="preserve">or Applicable Laws, </w:t>
      </w:r>
      <w:r w:rsidRPr="0027789B">
        <w:lastRenderedPageBreak/>
        <w:t>such agreement</w:t>
      </w:r>
      <w:r w:rsidR="00F24A40" w:rsidRPr="0027789B">
        <w:t xml:space="preserve"> </w:t>
      </w:r>
      <w:r w:rsidRPr="0027789B">
        <w:t>or Applicable Law controls</w:t>
      </w:r>
      <w:bookmarkEnd w:id="539"/>
      <w:r w:rsidR="001D4101">
        <w:t xml:space="preserve">. </w:t>
      </w:r>
      <w:r w:rsidRPr="0027789B">
        <w:t>Each Party agrees that it will not assert, or defend itself, on the basis that any applicable tariff is inconsistent with this Agreement.</w:t>
      </w:r>
    </w:p>
    <w:p w14:paraId="4362CFF5" w14:textId="5CA8D1AD" w:rsidR="00E60CB4" w:rsidRPr="0027789B" w:rsidRDefault="00E60CB4" w:rsidP="00477BAF">
      <w:pPr>
        <w:pStyle w:val="Heading4"/>
      </w:pPr>
      <w:r w:rsidRPr="0027789B">
        <w:t xml:space="preserve">Whenever this Agreement specifically refers to any Applicable Laws, tariff, government department or agency, regional reliability council, Transmission Provider, </w:t>
      </w:r>
      <w:r w:rsidR="00B50356" w:rsidRPr="0027789B">
        <w:t>accounting standard</w:t>
      </w:r>
      <w:r w:rsidR="00A539D7" w:rsidRPr="0027789B">
        <w:t>,</w:t>
      </w:r>
      <w:r w:rsidR="00B50356" w:rsidRPr="0027789B">
        <w:t xml:space="preserve"> </w:t>
      </w:r>
      <w:r w:rsidRPr="0027789B">
        <w:t xml:space="preserve">or </w:t>
      </w:r>
      <w:r w:rsidR="00C81C1E">
        <w:t>Ratings Agency</w:t>
      </w:r>
      <w:r w:rsidRPr="0027789B">
        <w:t>, the Parties hereby agree that the reference also refers to any successor to such law, tariff</w:t>
      </w:r>
      <w:r w:rsidR="004B2F48" w:rsidRPr="0027789B">
        <w:t>,</w:t>
      </w:r>
      <w:r w:rsidR="009E4C69" w:rsidRPr="0027789B">
        <w:t xml:space="preserve"> </w:t>
      </w:r>
      <w:r w:rsidR="004B2F48" w:rsidRPr="0027789B">
        <w:t>standard</w:t>
      </w:r>
      <w:r w:rsidRPr="0027789B">
        <w:t xml:space="preserve"> or organization.</w:t>
      </w:r>
    </w:p>
    <w:p w14:paraId="40D0CB1C" w14:textId="77777777" w:rsidR="00C56E4F" w:rsidRPr="00477BAF" w:rsidRDefault="008E65AA" w:rsidP="00477BAF">
      <w:pPr>
        <w:pStyle w:val="Heading2"/>
        <w:keepNext w:val="0"/>
        <w:keepLines w:val="0"/>
        <w:rPr>
          <w:u w:val="none"/>
        </w:rPr>
      </w:pPr>
      <w:bookmarkStart w:id="540" w:name="_Toc467577626"/>
      <w:bookmarkStart w:id="541" w:name="_Toc470014886"/>
      <w:bookmarkStart w:id="542" w:name="_Toc470856077"/>
      <w:bookmarkStart w:id="543" w:name="_Toc510788314"/>
      <w:r w:rsidRPr="0027789B">
        <w:t>Notices</w:t>
      </w:r>
      <w:r w:rsidRPr="00477BAF">
        <w:rPr>
          <w:u w:val="none"/>
        </w:rPr>
        <w:t>.</w:t>
      </w:r>
      <w:bookmarkEnd w:id="540"/>
      <w:bookmarkEnd w:id="541"/>
      <w:bookmarkEnd w:id="542"/>
      <w:bookmarkEnd w:id="543"/>
    </w:p>
    <w:p w14:paraId="1DD144CD" w14:textId="77777777" w:rsidR="00973C30" w:rsidRDefault="00973C30" w:rsidP="00973C30">
      <w:pPr>
        <w:pStyle w:val="Heading3"/>
      </w:pPr>
      <w:r w:rsidRPr="00A5249A">
        <w:rPr>
          <w:u w:val="single"/>
        </w:rPr>
        <w:t>Notices Generally</w:t>
      </w:r>
      <w:r>
        <w:t>.</w:t>
      </w:r>
    </w:p>
    <w:p w14:paraId="250CDA99" w14:textId="7AA87711" w:rsidR="00BD1080" w:rsidRDefault="00BD1080" w:rsidP="00561154">
      <w:pPr>
        <w:pStyle w:val="Heading3Text"/>
      </w:pPr>
      <w:r>
        <w:t xml:space="preserve">All notices, requests, invoices, statements or payments must be made as specified in </w:t>
      </w:r>
      <w:r w:rsidRPr="00DB7FE0">
        <w:rPr>
          <w:u w:val="single"/>
        </w:rPr>
        <w:t xml:space="preserve">Exhibit </w:t>
      </w:r>
      <w:r w:rsidR="00367C93">
        <w:rPr>
          <w:u w:val="single"/>
        </w:rPr>
        <w:t>Q</w:t>
      </w:r>
      <w:r w:rsidRPr="00D01883">
        <w:t>.</w:t>
      </w:r>
      <w:r>
        <w:t xml:space="preserve"> </w:t>
      </w:r>
    </w:p>
    <w:p w14:paraId="792AE8DC" w14:textId="77777777" w:rsidR="00BD1080" w:rsidRDefault="00BD1080" w:rsidP="00561154">
      <w:pPr>
        <w:pStyle w:val="Heading3Text"/>
      </w:pPr>
      <w:r>
        <w:t xml:space="preserve">Notices must, unless otherwise specified herein, </w:t>
      </w:r>
      <w:r w:rsidR="0068489B" w:rsidRPr="0027789B">
        <w:t xml:space="preserve">be in writing </w:t>
      </w:r>
      <w:r>
        <w:t>and may be provided</w:t>
      </w:r>
      <w:r w:rsidR="0068489B" w:rsidRPr="0027789B">
        <w:t xml:space="preserve"> by hand delivery, </w:t>
      </w:r>
      <w:r>
        <w:t xml:space="preserve">first class </w:t>
      </w:r>
      <w:r w:rsidR="0068489B" w:rsidRPr="0027789B">
        <w:t xml:space="preserve">United States mail, overnight courier service, </w:t>
      </w:r>
      <w:r>
        <w:t xml:space="preserve">e-mail </w:t>
      </w:r>
      <w:r w:rsidR="0068489B" w:rsidRPr="0027789B">
        <w:t>or facsimile</w:t>
      </w:r>
      <w:r w:rsidR="001D4101">
        <w:t xml:space="preserve">. </w:t>
      </w:r>
    </w:p>
    <w:p w14:paraId="7E34327C" w14:textId="60597403" w:rsidR="00BD1080" w:rsidRPr="005723D8" w:rsidRDefault="00BD1080" w:rsidP="00561154">
      <w:pPr>
        <w:pStyle w:val="Heading3Text"/>
      </w:pPr>
      <w:r w:rsidRPr="00D01883">
        <w:t xml:space="preserve">Notice provided in accordance with this Section </w:t>
      </w:r>
      <w:r w:rsidR="002E2123">
        <w:t>14</w:t>
      </w:r>
      <w:r w:rsidRPr="00D01883">
        <w:t>.02</w:t>
      </w:r>
      <w:r w:rsidR="00973C30">
        <w:t>(a)</w:t>
      </w:r>
      <w:r w:rsidRPr="00D01883">
        <w:t xml:space="preserve"> will be deemed</w:t>
      </w:r>
      <w:r w:rsidRPr="005723D8">
        <w:t xml:space="preserve"> given as follows:</w:t>
      </w:r>
    </w:p>
    <w:p w14:paraId="3381B4E9" w14:textId="77777777" w:rsidR="00BD1080" w:rsidRPr="005723D8" w:rsidRDefault="00BD1080" w:rsidP="00561154">
      <w:pPr>
        <w:pStyle w:val="Heading4"/>
      </w:pPr>
      <w:r w:rsidRPr="005723D8">
        <w:t>Notice by e-mail, facsimile or hand delivery will be deemed given at the close of business on the day actually received, if received during business hours on a Business Day, and otherwise will be deemed given at the close of business on the next Business Day;</w:t>
      </w:r>
    </w:p>
    <w:p w14:paraId="12061DD9" w14:textId="77777777" w:rsidR="00BD1080" w:rsidRPr="005723D8" w:rsidRDefault="00BD1080" w:rsidP="00561154">
      <w:pPr>
        <w:pStyle w:val="Heading4"/>
      </w:pPr>
      <w:r w:rsidRPr="005723D8">
        <w:t>Notice by overnight United States mail or courier service will be deemed given on the next Business Day after such Notice was sent out;</w:t>
      </w:r>
    </w:p>
    <w:p w14:paraId="0FB3C116" w14:textId="77777777" w:rsidR="00BD1080" w:rsidRPr="005723D8" w:rsidRDefault="00BD1080" w:rsidP="00561154">
      <w:pPr>
        <w:pStyle w:val="Heading4"/>
      </w:pPr>
      <w:r w:rsidRPr="005723D8">
        <w:t>Notice by first class United States mail will be deemed given two (2) Business Days after the postmarked date;</w:t>
      </w:r>
    </w:p>
    <w:p w14:paraId="7E0325C1" w14:textId="77777777" w:rsidR="00BD1080" w:rsidRPr="005723D8" w:rsidRDefault="00BD1080" w:rsidP="00561154">
      <w:pPr>
        <w:pStyle w:val="Heading4"/>
      </w:pPr>
      <w:r w:rsidRPr="005723D8">
        <w:t>Notice of curtailment will be deemed given on the date and time made by SCE and will be effective immediately.</w:t>
      </w:r>
    </w:p>
    <w:p w14:paraId="59CC693A" w14:textId="77777777" w:rsidR="00BD1080" w:rsidRPr="00C95B10" w:rsidRDefault="00BD1080" w:rsidP="00561154">
      <w:pPr>
        <w:pStyle w:val="Heading3Text"/>
      </w:pPr>
      <w:r w:rsidRPr="00C95B10">
        <w:t>Notices will be effective on the date deemed given, unless a different date for the Notice to go into effect is stated in another section of this Agreement.</w:t>
      </w:r>
    </w:p>
    <w:p w14:paraId="11EDC9B0" w14:textId="13F90D8F" w:rsidR="0068489B" w:rsidRDefault="0068489B" w:rsidP="00561154">
      <w:pPr>
        <w:pStyle w:val="Heading3Text"/>
      </w:pPr>
      <w:r w:rsidRPr="0027789B">
        <w:t xml:space="preserve">A Party may change its </w:t>
      </w:r>
      <w:r w:rsidR="00BD1080">
        <w:t xml:space="preserve">designated representatives, </w:t>
      </w:r>
      <w:r w:rsidRPr="0027789B">
        <w:t>address</w:t>
      </w:r>
      <w:r w:rsidR="00BD1080">
        <w:t>es and other contact information</w:t>
      </w:r>
      <w:r w:rsidRPr="0027789B">
        <w:t xml:space="preserve"> by providing Notice of same in accordance </w:t>
      </w:r>
      <w:r w:rsidR="00BD1080">
        <w:t>herewith</w:t>
      </w:r>
      <w:r w:rsidRPr="0027789B">
        <w:t>.</w:t>
      </w:r>
    </w:p>
    <w:p w14:paraId="6A5F22D3" w14:textId="6C46ED6B" w:rsidR="00A80464" w:rsidRDefault="00BD1080" w:rsidP="00561154">
      <w:pPr>
        <w:pStyle w:val="Heading3Text"/>
      </w:pPr>
      <w:r w:rsidRPr="00C95B10">
        <w:lastRenderedPageBreak/>
        <w:t>All Notices, requests, invoices, statements or payments related to this Agreement or the Project</w:t>
      </w:r>
      <w:r w:rsidRPr="00F9214F">
        <w:t xml:space="preserve"> must reference the ID# and clearly identify the fact, circumstance, request, issue, dispute or matter to which such Notice relates</w:t>
      </w:r>
      <w:r>
        <w:t>.</w:t>
      </w:r>
    </w:p>
    <w:p w14:paraId="2166A030" w14:textId="77777777" w:rsidR="003F6377" w:rsidRPr="00561154" w:rsidRDefault="003F6377" w:rsidP="003F6377">
      <w:pPr>
        <w:pStyle w:val="Heading3"/>
        <w:rPr>
          <w:i/>
          <w:color w:val="00B050"/>
        </w:rPr>
      </w:pPr>
      <w:r w:rsidRPr="00561154">
        <w:rPr>
          <w:i/>
          <w:color w:val="00B050"/>
          <w:u w:val="single"/>
        </w:rPr>
        <w:t>[N-2 Event Notifications</w:t>
      </w:r>
      <w:r w:rsidRPr="00561154">
        <w:rPr>
          <w:i/>
          <w:color w:val="00B050"/>
        </w:rPr>
        <w:t>.</w:t>
      </w:r>
    </w:p>
    <w:p w14:paraId="791C12B2" w14:textId="77777777" w:rsidR="003F6377" w:rsidRPr="00561154" w:rsidRDefault="003F6377" w:rsidP="003F6377">
      <w:pPr>
        <w:pStyle w:val="Heading3Text"/>
        <w:rPr>
          <w:i/>
          <w:color w:val="00B050"/>
        </w:rPr>
      </w:pPr>
      <w:r w:rsidRPr="00561154">
        <w:rPr>
          <w:i/>
          <w:color w:val="00B050"/>
        </w:rPr>
        <w:t>SCE shall issue all notices of the commencement or termination of an N-2 Event (“</w:t>
      </w:r>
      <w:r w:rsidRPr="00561154">
        <w:rPr>
          <w:i/>
          <w:color w:val="00B050"/>
          <w:u w:val="single"/>
        </w:rPr>
        <w:t>N-2 Event Notifications</w:t>
      </w:r>
      <w:r w:rsidRPr="00561154">
        <w:rPr>
          <w:i/>
          <w:color w:val="00B050"/>
        </w:rPr>
        <w:t xml:space="preserve">”) electronically to the address(es) identified by Seller for this purpose on </w:t>
      </w:r>
      <w:r>
        <w:rPr>
          <w:i/>
          <w:color w:val="00B050"/>
          <w:u w:val="single"/>
        </w:rPr>
        <w:t>Exhibit Q</w:t>
      </w:r>
      <w:r w:rsidRPr="00561154">
        <w:rPr>
          <w:i/>
          <w:color w:val="00B050"/>
        </w:rPr>
        <w:t>. For purposes of this Agreement, including the commencement or termination of Seller’s obligation to exercise Maximum Efforts, an N-2 Event Notification shall be deemed given and effective at the time of its transmission. Seller shall institute procedures and operations to receive and react, as per Seller’s obligations under this Agreement, to all N-2 Event Notifications at all times during the Delivery Period.]</w:t>
      </w:r>
    </w:p>
    <w:p w14:paraId="4E48941F" w14:textId="77777777" w:rsidR="003F6377" w:rsidRPr="0027789B" w:rsidRDefault="003F6377" w:rsidP="00561154">
      <w:pPr>
        <w:pStyle w:val="Heading3Text"/>
      </w:pPr>
    </w:p>
    <w:p w14:paraId="5EC7FA34" w14:textId="785184E4" w:rsidR="00A01DF3" w:rsidRPr="0027789B" w:rsidRDefault="00946AC9" w:rsidP="00FF157D">
      <w:pPr>
        <w:pStyle w:val="Heading2"/>
        <w:keepNext w:val="0"/>
        <w:keepLines w:val="0"/>
      </w:pPr>
      <w:bookmarkStart w:id="544" w:name="_Toc472607804"/>
      <w:bookmarkStart w:id="545" w:name="_Toc473105350"/>
      <w:bookmarkStart w:id="546" w:name="_Toc473224056"/>
      <w:bookmarkStart w:id="547" w:name="_Toc472607818"/>
      <w:bookmarkStart w:id="548" w:name="_Toc473105364"/>
      <w:bookmarkStart w:id="549" w:name="_Toc473224070"/>
      <w:bookmarkStart w:id="550" w:name="_Toc467577627"/>
      <w:bookmarkStart w:id="551" w:name="_Toc470014887"/>
      <w:bookmarkStart w:id="552" w:name="_Toc470856078"/>
      <w:bookmarkStart w:id="553" w:name="_Toc510788315"/>
      <w:bookmarkEnd w:id="544"/>
      <w:bookmarkEnd w:id="545"/>
      <w:bookmarkEnd w:id="546"/>
      <w:bookmarkEnd w:id="547"/>
      <w:bookmarkEnd w:id="548"/>
      <w:bookmarkEnd w:id="549"/>
      <w:r w:rsidRPr="0027789B">
        <w:t>Governing Law; Waiver of Jury Trial</w:t>
      </w:r>
      <w:r w:rsidR="008E65AA" w:rsidRPr="00FF157D">
        <w:rPr>
          <w:u w:val="none"/>
        </w:rPr>
        <w:t>.</w:t>
      </w:r>
      <w:bookmarkEnd w:id="550"/>
      <w:bookmarkEnd w:id="551"/>
      <w:bookmarkEnd w:id="552"/>
      <w:bookmarkEnd w:id="553"/>
    </w:p>
    <w:p w14:paraId="38D678E7" w14:textId="77777777" w:rsidR="00E60CB4" w:rsidRPr="0027789B" w:rsidRDefault="00E60CB4">
      <w:pPr>
        <w:pStyle w:val="Heading2Text"/>
      </w:pPr>
      <w:r w:rsidRPr="0027789B">
        <w:t>THIS AGREEMENT AND THE RIGHTS AND DUTIES OF THE PARTIES HEREUNDER SHALL BE GOVERNED BY AND CONSTRUED, ENFORCED AND PERFORMED IN ACCORDANCE WITH THE LAWS OF THE STATE OF CALIFORNIA, WITHOUT REGARD TO PRINCIPLES OF CONFLICTS OF LAW</w:t>
      </w:r>
      <w:r w:rsidR="001D4101">
        <w:t xml:space="preserve">. </w:t>
      </w:r>
      <w:r w:rsidRPr="0027789B">
        <w:t>TO THE EXTENT ENFORCEABLE AT SUCH TIME, EACH PARTY WAIVES ITS RESPECTIVE RIGHT TO ANY JURY TRIAL WITH RESPECT TO ANY LITIGATION ARISING UNDER OR IN CONNECTION WITH THIS AGREEMENT.</w:t>
      </w:r>
    </w:p>
    <w:p w14:paraId="16E911DC" w14:textId="77777777" w:rsidR="00C56E4F" w:rsidRPr="0027789B" w:rsidRDefault="00E60CB4" w:rsidP="00FF157D">
      <w:pPr>
        <w:pStyle w:val="Heading2"/>
        <w:keepNext w:val="0"/>
        <w:keepLines w:val="0"/>
      </w:pPr>
      <w:bookmarkStart w:id="554" w:name="_Toc467577628"/>
      <w:bookmarkStart w:id="555" w:name="_Toc470014888"/>
      <w:bookmarkStart w:id="556" w:name="_Toc470856079"/>
      <w:bookmarkStart w:id="557" w:name="_Toc510788316"/>
      <w:r w:rsidRPr="0027789B">
        <w:t>Assignment</w:t>
      </w:r>
      <w:r w:rsidR="008E65AA" w:rsidRPr="00FF157D">
        <w:rPr>
          <w:u w:val="none"/>
        </w:rPr>
        <w:t>.</w:t>
      </w:r>
      <w:bookmarkEnd w:id="554"/>
      <w:bookmarkEnd w:id="555"/>
      <w:bookmarkEnd w:id="556"/>
      <w:bookmarkEnd w:id="557"/>
    </w:p>
    <w:p w14:paraId="065ED388" w14:textId="54F5CC34" w:rsidR="00E60CB4" w:rsidRPr="0027789B" w:rsidRDefault="00E60CB4" w:rsidP="00FF157D">
      <w:pPr>
        <w:pStyle w:val="Heading3"/>
      </w:pPr>
      <w:r w:rsidRPr="00484686">
        <w:t xml:space="preserve">Except as provided in </w:t>
      </w:r>
      <w:r w:rsidRPr="008923FE">
        <w:t>Section</w:t>
      </w:r>
      <w:r w:rsidR="008923FE" w:rsidRPr="008923FE">
        <w:t xml:space="preserve"> </w:t>
      </w:r>
      <w:r w:rsidR="007B0BB3">
        <w:t>14</w:t>
      </w:r>
      <w:r w:rsidR="008923FE" w:rsidRPr="008923FE">
        <w:t>.0</w:t>
      </w:r>
      <w:r w:rsidR="007B0BB3">
        <w:t>4(d)</w:t>
      </w:r>
      <w:r w:rsidRPr="00484686">
        <w:t>, neither Party shall assign this Agreement or its rights hereunder without the</w:t>
      </w:r>
      <w:r w:rsidRPr="0027789B">
        <w:t xml:space="preserve"> prior written consent of the other Party, which consent shall not be unreasonably withheld. </w:t>
      </w:r>
    </w:p>
    <w:p w14:paraId="7EE5BB21" w14:textId="77777777" w:rsidR="00E60CB4" w:rsidRPr="0027789B" w:rsidRDefault="006E63CE" w:rsidP="00FF157D">
      <w:pPr>
        <w:pStyle w:val="Heading3"/>
      </w:pPr>
      <w:r w:rsidRPr="0027789B">
        <w:t xml:space="preserve">Any </w:t>
      </w:r>
      <w:r w:rsidR="006A299F" w:rsidRPr="0027789B">
        <w:t>Tax Equity Financing</w:t>
      </w:r>
      <w:r w:rsidRPr="0027789B">
        <w:t xml:space="preserve"> or</w:t>
      </w:r>
      <w:r w:rsidR="00E60CB4" w:rsidRPr="0027789B">
        <w:t xml:space="preserve"> a direct or indirect change of control of Seller (whether voluntary or by operation of law) will be deemed an assignment and will require the prior written consent of SCE, which consent shall not be unreasonably withheld</w:t>
      </w:r>
      <w:r w:rsidR="001D4101">
        <w:t xml:space="preserve">. </w:t>
      </w:r>
    </w:p>
    <w:p w14:paraId="0FA99F6C" w14:textId="77777777" w:rsidR="007B0BB3" w:rsidRDefault="00E60CB4" w:rsidP="00DB7FE0">
      <w:pPr>
        <w:pStyle w:val="Heading3"/>
      </w:pPr>
      <w:r w:rsidRPr="0027789B">
        <w:t>Any requests for consent to assignment shall be provided at least thirty (30) days in advance of the assignment date.</w:t>
      </w:r>
    </w:p>
    <w:p w14:paraId="7994C2C6" w14:textId="1AAE7DE8" w:rsidR="007B0BB3" w:rsidRDefault="007B0BB3" w:rsidP="00DB7FE0">
      <w:pPr>
        <w:pStyle w:val="Heading3"/>
      </w:pPr>
      <w:r w:rsidRPr="0027789B">
        <w:lastRenderedPageBreak/>
        <w:t>In connection with any debt financing or refinancing of the Project by Seller that contemplates an assignment of this Agreement as collateral, SCE shall in good faith work with Seller and Lender to agree upon a consent to a collateral assignment of this Agreement (“</w:t>
      </w:r>
      <w:r w:rsidRPr="007B0BB3">
        <w:rPr>
          <w:u w:val="single"/>
        </w:rPr>
        <w:t>Collateral Assignment Agreement</w:t>
      </w:r>
      <w:r w:rsidRPr="00C600E0">
        <w:t xml:space="preserve">”) substantially in the form of </w:t>
      </w:r>
      <w:r w:rsidRPr="007B0BB3">
        <w:rPr>
          <w:u w:val="single"/>
        </w:rPr>
        <w:t xml:space="preserve">Exhibit </w:t>
      </w:r>
      <w:r w:rsidR="00367C93">
        <w:rPr>
          <w:u w:val="single"/>
        </w:rPr>
        <w:t>R</w:t>
      </w:r>
      <w:r w:rsidRPr="00C600E0">
        <w:t>. Requests for a Collateral Assignment Agreement must be received by SCE at least thirty (30) days in advance of</w:t>
      </w:r>
      <w:r w:rsidRPr="0027789B">
        <w:t xml:space="preserve"> the anticipated closing date for the transaction in question</w:t>
      </w:r>
      <w:r>
        <w:t xml:space="preserve">. </w:t>
      </w:r>
      <w:r w:rsidRPr="0027789B">
        <w:t>Seller shall also be responsible for SCE’s reasonable costs associated with the preparation, review, execution and delivery of documents in connection with any such assignment, including attorneys’ fees.</w:t>
      </w:r>
    </w:p>
    <w:p w14:paraId="3E815BD7" w14:textId="0085DF74" w:rsidR="00546E7F" w:rsidRPr="0027789B" w:rsidRDefault="00546E7F" w:rsidP="00546E7F">
      <w:pPr>
        <w:pStyle w:val="Heading2"/>
      </w:pPr>
      <w:bookmarkStart w:id="558" w:name="_Toc497310371"/>
      <w:bookmarkStart w:id="559" w:name="_Toc497310504"/>
      <w:bookmarkStart w:id="560" w:name="_Toc497468484"/>
      <w:bookmarkStart w:id="561" w:name="_Toc467577619"/>
      <w:bookmarkStart w:id="562" w:name="_Toc470014879"/>
      <w:bookmarkStart w:id="563" w:name="_Toc470856070"/>
      <w:bookmarkStart w:id="564" w:name="_Toc510788317"/>
      <w:bookmarkStart w:id="565" w:name="_Toc467577629"/>
      <w:bookmarkStart w:id="566" w:name="_Toc470014889"/>
      <w:bookmarkStart w:id="567" w:name="_Toc470856080"/>
      <w:bookmarkEnd w:id="558"/>
      <w:bookmarkEnd w:id="559"/>
      <w:bookmarkEnd w:id="560"/>
      <w:bookmarkEnd w:id="561"/>
      <w:bookmarkEnd w:id="562"/>
      <w:bookmarkEnd w:id="563"/>
      <w:r>
        <w:t>Confidentiality</w:t>
      </w:r>
      <w:r w:rsidRPr="00546E7F">
        <w:rPr>
          <w:u w:val="none"/>
        </w:rPr>
        <w:t>.</w:t>
      </w:r>
      <w:bookmarkEnd w:id="564"/>
    </w:p>
    <w:p w14:paraId="03AD139C" w14:textId="77777777" w:rsidR="00546E7F" w:rsidRPr="00FF157D" w:rsidRDefault="00546E7F" w:rsidP="00546E7F">
      <w:pPr>
        <w:pStyle w:val="Heading3"/>
      </w:pPr>
      <w:bookmarkStart w:id="568" w:name="_Toc467577620"/>
      <w:bookmarkStart w:id="569" w:name="_Toc470014880"/>
      <w:bookmarkStart w:id="570" w:name="_Toc470856071"/>
      <w:r w:rsidRPr="00DB7FE0">
        <w:rPr>
          <w:u w:val="single"/>
        </w:rPr>
        <w:t>Confidentiality Obligation</w:t>
      </w:r>
      <w:r w:rsidRPr="00FF157D">
        <w:t>.</w:t>
      </w:r>
      <w:bookmarkEnd w:id="568"/>
      <w:bookmarkEnd w:id="569"/>
      <w:bookmarkEnd w:id="570"/>
    </w:p>
    <w:p w14:paraId="21D60C9C" w14:textId="1B66B897" w:rsidR="00546E7F" w:rsidRPr="0027789B" w:rsidRDefault="00546E7F" w:rsidP="00546E7F">
      <w:pPr>
        <w:pStyle w:val="Heading3Text"/>
      </w:pPr>
      <w:r w:rsidRPr="005E0C5F">
        <w:t xml:space="preserve">Except as otherwise expressly agreed in writing by the other Party, and except as otherwise </w:t>
      </w:r>
      <w:r w:rsidRPr="000B3399">
        <w:t xml:space="preserve">agreed in Sections </w:t>
      </w:r>
      <w:r w:rsidR="002E2123">
        <w:t>14</w:t>
      </w:r>
      <w:r w:rsidR="000B3399" w:rsidRPr="000B3399">
        <w:t>.05(b)</w:t>
      </w:r>
      <w:r w:rsidRPr="000B3399">
        <w:t xml:space="preserve"> (Permitted</w:t>
      </w:r>
      <w:r>
        <w:t xml:space="preserve"> Disclosures)</w:t>
      </w:r>
      <w:r w:rsidRPr="0027789B">
        <w:t xml:space="preserve"> and </w:t>
      </w:r>
      <w:r w:rsidR="002E2123">
        <w:t>14</w:t>
      </w:r>
      <w:r w:rsidR="000B3399">
        <w:t>.05(c)</w:t>
      </w:r>
      <w:r>
        <w:t xml:space="preserve"> (Duty to Seek Protection)</w:t>
      </w:r>
      <w:r w:rsidRPr="0027789B">
        <w:t>, each receiving Party shall, and shall cause its Representatives to, (</w:t>
      </w:r>
      <w:r w:rsidR="00C76DEE">
        <w:t>i</w:t>
      </w:r>
      <w:r w:rsidRPr="0027789B">
        <w:t>) keep strictly confidential and take reasonable precautions to protect against the disclosure of all Confidential Information, and (</w:t>
      </w:r>
      <w:r w:rsidR="00C76DEE">
        <w:t>ii</w:t>
      </w:r>
      <w:r w:rsidRPr="0027789B">
        <w:t xml:space="preserve">) use all Confidential Information solely for the purposes of performing its obligations under this Agreement and not for any other purpose; provided, a Party may disclose Confidential Information to those of its Representatives who need to know such information for the purposes of performing the receiving Party’s obligations under this Agreement </w:t>
      </w:r>
      <w:r>
        <w:t>(</w:t>
      </w:r>
      <w:r w:rsidRPr="00B433FD">
        <w:t xml:space="preserve">and, in the case of Representatives of Seller engaged wholly or in part in the purchase and sale of electrical power or natural gas, are </w:t>
      </w:r>
      <w:r w:rsidRPr="00546E7F">
        <w:t>directly</w:t>
      </w:r>
      <w:r w:rsidRPr="00B433FD">
        <w:t xml:space="preserve"> engaged in performing Seller’s obligations under this Agreement</w:t>
      </w:r>
      <w:r>
        <w:t xml:space="preserve">) </w:t>
      </w:r>
      <w:r w:rsidRPr="0027789B">
        <w:t>if, prior to being given access to Confidential Information, such Representatives are informed of the confidentiality thereof and the requirements of this Agreement and are obligated to comply with the requirements of this Agreement</w:t>
      </w:r>
      <w:r>
        <w:t xml:space="preserve">. </w:t>
      </w:r>
      <w:r w:rsidRPr="0027789B">
        <w:t>Each Party will be responsible for any breach of this Agreement by its Representatives.</w:t>
      </w:r>
    </w:p>
    <w:p w14:paraId="2BAE7458" w14:textId="77777777" w:rsidR="00546E7F" w:rsidRPr="00FF157D" w:rsidRDefault="00546E7F" w:rsidP="00546E7F">
      <w:pPr>
        <w:pStyle w:val="Heading3"/>
      </w:pPr>
      <w:bookmarkStart w:id="571" w:name="_Toc467577621"/>
      <w:bookmarkStart w:id="572" w:name="_Toc470014881"/>
      <w:bookmarkStart w:id="573" w:name="_Toc470856072"/>
      <w:r w:rsidRPr="00DB7FE0">
        <w:rPr>
          <w:u w:val="single"/>
        </w:rPr>
        <w:t>Permitted Dis</w:t>
      </w:r>
      <w:r w:rsidRPr="00DB7FE0">
        <w:rPr>
          <w:rStyle w:val="Heading4Char"/>
          <w:u w:val="single"/>
        </w:rPr>
        <w:t>c</w:t>
      </w:r>
      <w:r w:rsidRPr="00DB7FE0">
        <w:rPr>
          <w:u w:val="single"/>
        </w:rPr>
        <w:t>losures</w:t>
      </w:r>
      <w:r w:rsidRPr="00FF157D">
        <w:t>.</w:t>
      </w:r>
      <w:bookmarkEnd w:id="571"/>
      <w:bookmarkEnd w:id="572"/>
      <w:bookmarkEnd w:id="573"/>
    </w:p>
    <w:p w14:paraId="5EB22C3C" w14:textId="74A7BE1B" w:rsidR="00546E7F" w:rsidRPr="0027789B" w:rsidRDefault="00546E7F" w:rsidP="00546E7F">
      <w:pPr>
        <w:pStyle w:val="Heading4"/>
      </w:pPr>
      <w:r w:rsidRPr="0027789B">
        <w:t xml:space="preserve">SCE and Seller may disclose Confidential Information to the </w:t>
      </w:r>
      <w:r w:rsidR="005A37EB">
        <w:t>“</w:t>
      </w:r>
      <w:r w:rsidRPr="00DB7FE0">
        <w:rPr>
          <w:u w:val="single"/>
        </w:rPr>
        <w:t>Independent Evaluator</w:t>
      </w:r>
      <w:r w:rsidR="005A37EB">
        <w:t>,” as defined</w:t>
      </w:r>
      <w:r w:rsidR="005A37EB" w:rsidRPr="00B022A3">
        <w:t xml:space="preserve"> in CPUC Decision 04-12-048</w:t>
      </w:r>
      <w:r>
        <w:t xml:space="preserve">. </w:t>
      </w:r>
      <w:r w:rsidRPr="0027789B">
        <w:t xml:space="preserve">SCE and the Independent Evaluator may disclose Confidential Information to </w:t>
      </w:r>
      <w:r w:rsidRPr="003E3F98">
        <w:t xml:space="preserve">Governmental Authorities, the CAISO, SCE’s </w:t>
      </w:r>
      <w:r w:rsidRPr="00CE53DD">
        <w:t>Procurement Review Group</w:t>
      </w:r>
      <w:r w:rsidR="00781570" w:rsidRPr="00AF0796">
        <w:t xml:space="preserve"> established by the CPUC in Decision 02-08-071</w:t>
      </w:r>
      <w:r w:rsidR="00781570">
        <w:t xml:space="preserve"> (“</w:t>
      </w:r>
      <w:r w:rsidR="00781570" w:rsidRPr="00DB7FE0">
        <w:rPr>
          <w:u w:val="single"/>
        </w:rPr>
        <w:t>PRG</w:t>
      </w:r>
      <w:r w:rsidR="00781570">
        <w:t>”)</w:t>
      </w:r>
      <w:r w:rsidRPr="003E3F98">
        <w:t xml:space="preserve">, and SCE’s </w:t>
      </w:r>
      <w:r w:rsidR="00781570" w:rsidRPr="0027789B">
        <w:t>advisory Cost Allocation Mechanism Group established by the CPUC in Decision 07-12-052</w:t>
      </w:r>
      <w:r w:rsidR="00781570">
        <w:t xml:space="preserve"> (“</w:t>
      </w:r>
      <w:r w:rsidRPr="00DB7FE0">
        <w:rPr>
          <w:u w:val="single"/>
        </w:rPr>
        <w:t>CAM</w:t>
      </w:r>
      <w:r w:rsidR="00781570">
        <w:t>”)</w:t>
      </w:r>
      <w:r w:rsidRPr="00005ADC">
        <w:t xml:space="preserve">, </w:t>
      </w:r>
      <w:r w:rsidRPr="00011504">
        <w:t xml:space="preserve">or any discovery or data request of a party to any proceeding before </w:t>
      </w:r>
      <w:r>
        <w:t xml:space="preserve">the CPUC, FERC or CEC. </w:t>
      </w:r>
      <w:r w:rsidRPr="0027789B">
        <w:t xml:space="preserve">Neither SCE nor the Independent Evaluator </w:t>
      </w:r>
      <w:r w:rsidRPr="0027789B">
        <w:lastRenderedPageBreak/>
        <w:t xml:space="preserve">shall have any liability whatsoever to Seller in the event of any unauthorized use or disclosure by </w:t>
      </w:r>
      <w:r w:rsidRPr="003E3F98">
        <w:t>any Governmental Authority, the PRG, the CAM, or the CAISO</w:t>
      </w:r>
      <w:r w:rsidRPr="0027789B">
        <w:t xml:space="preserve"> of any Confidential Information or other information disclosed to any of them by SCE or the Independent Evaluator.</w:t>
      </w:r>
    </w:p>
    <w:p w14:paraId="7457D296" w14:textId="750481D6" w:rsidR="00546E7F" w:rsidRPr="0027789B" w:rsidRDefault="00546E7F" w:rsidP="00546E7F">
      <w:pPr>
        <w:pStyle w:val="Heading4"/>
      </w:pPr>
      <w:r>
        <w:t>The Parties</w:t>
      </w:r>
      <w:r w:rsidRPr="00B433FD">
        <w:t xml:space="preserve"> may disclose Confidential Information to the extent necessary to comply with Applicable Laws, </w:t>
      </w:r>
      <w:r>
        <w:t xml:space="preserve">any accounting rule or standard, </w:t>
      </w:r>
      <w:r w:rsidRPr="00B433FD">
        <w:t xml:space="preserve">and any applicable </w:t>
      </w:r>
      <w:r>
        <w:t xml:space="preserve">summons, </w:t>
      </w:r>
      <w:r w:rsidRPr="00FF157D">
        <w:rPr>
          <w:color w:val="000000"/>
        </w:rPr>
        <w:t>subpoena</w:t>
      </w:r>
      <w:r w:rsidRPr="00B433FD">
        <w:t xml:space="preserve"> or order of </w:t>
      </w:r>
      <w:r>
        <w:t>a Governmental Authority</w:t>
      </w:r>
      <w:r w:rsidRPr="00B433FD">
        <w:t xml:space="preserve">, </w:t>
      </w:r>
      <w:r>
        <w:t xml:space="preserve">and </w:t>
      </w:r>
      <w:r w:rsidRPr="00B433FD">
        <w:t>any exchange, Control Area or CAISO rule</w:t>
      </w:r>
      <w:r w:rsidRPr="0027789B">
        <w:t>.</w:t>
      </w:r>
    </w:p>
    <w:p w14:paraId="6836A7B2" w14:textId="55FB8DA3" w:rsidR="00546E7F" w:rsidRDefault="00546E7F" w:rsidP="00546E7F">
      <w:pPr>
        <w:pStyle w:val="Heading4"/>
      </w:pPr>
      <w:bookmarkStart w:id="574" w:name="_Toc365474408"/>
      <w:r>
        <w:t>E</w:t>
      </w:r>
      <w:r w:rsidRPr="008B365C">
        <w:t>ither Party shall be permitted to disclose the following terms with respect to this Agreement</w:t>
      </w:r>
      <w:r>
        <w:t>: (</w:t>
      </w:r>
      <w:r w:rsidR="00945CE0">
        <w:t>A</w:t>
      </w:r>
      <w:r>
        <w:t>)</w:t>
      </w:r>
      <w:r w:rsidRPr="008B365C">
        <w:t xml:space="preserve"> Party names, </w:t>
      </w:r>
      <w:r>
        <w:t>(</w:t>
      </w:r>
      <w:r w:rsidR="00945CE0">
        <w:t>B</w:t>
      </w:r>
      <w:r>
        <w:t xml:space="preserve">) </w:t>
      </w:r>
      <w:r w:rsidRPr="008B365C">
        <w:t xml:space="preserve">technology type, </w:t>
      </w:r>
      <w:r>
        <w:t>(</w:t>
      </w:r>
      <w:r w:rsidR="00945CE0">
        <w:t>C</w:t>
      </w:r>
      <w:r>
        <w:t xml:space="preserve">) </w:t>
      </w:r>
      <w:r w:rsidRPr="008B365C">
        <w:t xml:space="preserve">Delivery Period, </w:t>
      </w:r>
      <w:r>
        <w:t>(</w:t>
      </w:r>
      <w:r w:rsidR="00945CE0">
        <w:t>D</w:t>
      </w:r>
      <w:r>
        <w:t>) Project</w:t>
      </w:r>
      <w:r w:rsidRPr="00005ADC">
        <w:t xml:space="preserve"> </w:t>
      </w:r>
      <w:r w:rsidRPr="008B365C">
        <w:t xml:space="preserve">location, </w:t>
      </w:r>
      <w:r>
        <w:t>(</w:t>
      </w:r>
      <w:r w:rsidR="00945CE0">
        <w:t>E</w:t>
      </w:r>
      <w:r>
        <w:t xml:space="preserve">) </w:t>
      </w:r>
      <w:r w:rsidRPr="008B365C">
        <w:t xml:space="preserve">Contract Capacity, </w:t>
      </w:r>
      <w:r>
        <w:t>(</w:t>
      </w:r>
      <w:r w:rsidR="00945CE0">
        <w:t>F</w:t>
      </w:r>
      <w:r>
        <w:t xml:space="preserve">) </w:t>
      </w:r>
      <w:r w:rsidRPr="008B365C">
        <w:t xml:space="preserve">Expected </w:t>
      </w:r>
      <w:r>
        <w:t xml:space="preserve">Initial </w:t>
      </w:r>
      <w:r w:rsidRPr="008B365C">
        <w:t>Delivery Date,</w:t>
      </w:r>
      <w:r>
        <w:t xml:space="preserve"> </w:t>
      </w:r>
      <w:r w:rsidRPr="008B365C">
        <w:t>and</w:t>
      </w:r>
      <w:r>
        <w:t xml:space="preserve"> (</w:t>
      </w:r>
      <w:r w:rsidR="00945CE0">
        <w:t>G</w:t>
      </w:r>
      <w:r>
        <w:t>) the</w:t>
      </w:r>
      <w:r w:rsidRPr="008B365C">
        <w:t xml:space="preserve"> </w:t>
      </w:r>
      <w:r>
        <w:t>Project’s</w:t>
      </w:r>
      <w:r w:rsidRPr="00005ADC">
        <w:t xml:space="preserve"> </w:t>
      </w:r>
      <w:r w:rsidRPr="008B365C">
        <w:t>expected energy deliveries.</w:t>
      </w:r>
    </w:p>
    <w:p w14:paraId="13CC4463" w14:textId="6234FC21" w:rsidR="00546E7F" w:rsidRDefault="00546E7F" w:rsidP="00546E7F">
      <w:pPr>
        <w:pStyle w:val="Heading4"/>
      </w:pPr>
      <w:r w:rsidRPr="0027789B">
        <w:t xml:space="preserve">Seller may disclose the transfer of the Product and the applicable Expected Contract Quantity and any amounts of Flexible Capacity and Inflexible Capacity for each day of each Showing Month during any RA Period under this Agreement to the SC of each Storage Unit in order for such SC to timely submit accurate Supply Plans; provided, that </w:t>
      </w:r>
      <w:r>
        <w:t>Seller</w:t>
      </w:r>
      <w:r w:rsidRPr="0027789B">
        <w:t xml:space="preserve"> shall use reasonable efforts to limit, to the extent possible, the ability of </w:t>
      </w:r>
      <w:r>
        <w:t xml:space="preserve">the </w:t>
      </w:r>
      <w:r w:rsidRPr="0027789B">
        <w:t>SC to further disclose such information.</w:t>
      </w:r>
    </w:p>
    <w:p w14:paraId="1E6852F3" w14:textId="25B9749A" w:rsidR="00546E7F" w:rsidRPr="0027789B" w:rsidRDefault="00D8575F" w:rsidP="00546E7F">
      <w:pPr>
        <w:pStyle w:val="Heading4"/>
      </w:pPr>
      <w:r>
        <w:t>If</w:t>
      </w:r>
      <w:r w:rsidR="00546E7F" w:rsidRPr="0027789B">
        <w:t xml:space="preserve"> SCE resells all or any portion of the Product to another party or the Product is to be provided to another party in </w:t>
      </w:r>
      <w:r w:rsidR="00546E7F" w:rsidRPr="00484686">
        <w:t xml:space="preserve">accordance with </w:t>
      </w:r>
      <w:r w:rsidR="00546E7F" w:rsidRPr="00B06EAD">
        <w:t>Section</w:t>
      </w:r>
      <w:r w:rsidR="00B06EAD" w:rsidRPr="00B06EAD">
        <w:t xml:space="preserve"> 1.05</w:t>
      </w:r>
      <w:r w:rsidR="00546E7F" w:rsidRPr="00B06EAD">
        <w:t>, SCE may</w:t>
      </w:r>
      <w:r w:rsidR="00546E7F" w:rsidRPr="0027789B">
        <w:t xml:space="preserve"> disclose to the other party to such transaction all such information necessary to effect such transaction.</w:t>
      </w:r>
      <w:bookmarkEnd w:id="574"/>
    </w:p>
    <w:p w14:paraId="2342E49C" w14:textId="77777777" w:rsidR="00546E7F" w:rsidRPr="00FF157D" w:rsidRDefault="00546E7F" w:rsidP="00546E7F">
      <w:pPr>
        <w:pStyle w:val="Heading3"/>
      </w:pPr>
      <w:bookmarkStart w:id="575" w:name="_Toc467577622"/>
      <w:bookmarkStart w:id="576" w:name="_Toc470014882"/>
      <w:bookmarkStart w:id="577" w:name="_Toc470856073"/>
      <w:r w:rsidRPr="00DB7FE0">
        <w:rPr>
          <w:u w:val="single"/>
        </w:rPr>
        <w:t>Duty to Seek Protection</w:t>
      </w:r>
      <w:r w:rsidRPr="00FF157D">
        <w:t>.</w:t>
      </w:r>
      <w:bookmarkEnd w:id="575"/>
      <w:bookmarkEnd w:id="576"/>
      <w:bookmarkEnd w:id="577"/>
    </w:p>
    <w:p w14:paraId="5848EE37" w14:textId="3B4AE988" w:rsidR="00546E7F" w:rsidRPr="0027789B" w:rsidRDefault="00546E7F" w:rsidP="00546E7F">
      <w:pPr>
        <w:pStyle w:val="Heading4"/>
      </w:pPr>
      <w:r w:rsidRPr="0027789B">
        <w:t xml:space="preserve">In connection with requests or orders to produce Confidential Information protected by this Agreement </w:t>
      </w:r>
      <w:r>
        <w:t>and in accordance with a summons, subpoena, order or similar request of a Governmental Authority</w:t>
      </w:r>
      <w:r w:rsidRPr="00233A47">
        <w:t>, or pursuant to any discovery or data request of a party to any proceeding before a Governmental Authority</w:t>
      </w:r>
      <w:r>
        <w:t>,</w:t>
      </w:r>
      <w:r w:rsidRPr="0027789B">
        <w:t xml:space="preserve"> each Party</w:t>
      </w:r>
      <w:r>
        <w:t>, to the extent permitted by Applicable Laws,</w:t>
      </w:r>
      <w:r w:rsidRPr="0027789B">
        <w:t xml:space="preserve"> (</w:t>
      </w:r>
      <w:r w:rsidR="00945CE0">
        <w:t>A</w:t>
      </w:r>
      <w:r w:rsidRPr="0027789B">
        <w:t>) will promptly notify the other Party of the existence, terms, and circumstances of such requirement(s) so that such other Party may seek a protective order</w:t>
      </w:r>
      <w:r>
        <w:t xml:space="preserve"> or other appropriate remedy</w:t>
      </w:r>
      <w:r w:rsidRPr="0027789B">
        <w:t xml:space="preserve"> or waive compliance with the provisions of this Agreement, and (</w:t>
      </w:r>
      <w:r w:rsidR="00945CE0">
        <w:t>B</w:t>
      </w:r>
      <w:r w:rsidRPr="0027789B">
        <w:t>) will, and will cause its Representatives to, cooperate fully with such other Party</w:t>
      </w:r>
      <w:r>
        <w:t xml:space="preserve">, to the extent permitted by </w:t>
      </w:r>
      <w:r>
        <w:lastRenderedPageBreak/>
        <w:t>Applicable Laws,</w:t>
      </w:r>
      <w:r w:rsidRPr="0027789B">
        <w:t xml:space="preserve"> in seeking to limit or prevent such </w:t>
      </w:r>
      <w:r w:rsidRPr="005E0C5F">
        <w:t xml:space="preserve">disclosure of such Confidential Information. Notwithstanding the preceding sentence, the requirements </w:t>
      </w:r>
      <w:r w:rsidRPr="000B3399">
        <w:t>under this Section</w:t>
      </w:r>
      <w:r w:rsidR="000B3399" w:rsidRPr="000B3399">
        <w:t xml:space="preserve"> </w:t>
      </w:r>
      <w:r w:rsidR="002E2123">
        <w:t>14</w:t>
      </w:r>
      <w:r w:rsidR="000B3399" w:rsidRPr="000B3399">
        <w:t>.0</w:t>
      </w:r>
      <w:r w:rsidR="000B3399">
        <w:t>5</w:t>
      </w:r>
      <w:r w:rsidR="000B3399" w:rsidRPr="000B3399">
        <w:t>(c</w:t>
      </w:r>
      <w:r w:rsidRPr="000B3399">
        <w:t>)</w:t>
      </w:r>
      <w:r w:rsidR="000B3399" w:rsidRPr="000B3399">
        <w:t>(i)</w:t>
      </w:r>
      <w:r w:rsidRPr="000B3399">
        <w:t xml:space="preserve"> do not apply to Section</w:t>
      </w:r>
      <w:r w:rsidR="000B3399" w:rsidRPr="000B3399">
        <w:t xml:space="preserve"> </w:t>
      </w:r>
      <w:r w:rsidR="002E2123">
        <w:t>14</w:t>
      </w:r>
      <w:r w:rsidRPr="000B3399">
        <w:t>.0</w:t>
      </w:r>
      <w:r w:rsidR="000B3399" w:rsidRPr="000B3399">
        <w:t>5</w:t>
      </w:r>
      <w:r w:rsidRPr="000B3399">
        <w:t>(</w:t>
      </w:r>
      <w:r w:rsidR="000B3399" w:rsidRPr="000B3399">
        <w:t>b</w:t>
      </w:r>
      <w:r w:rsidRPr="000B3399">
        <w:t>)</w:t>
      </w:r>
      <w:r w:rsidR="000B3399" w:rsidRPr="000B3399">
        <w:t>(i)</w:t>
      </w:r>
      <w:r w:rsidRPr="000B3399">
        <w:t>.</w:t>
      </w:r>
    </w:p>
    <w:p w14:paraId="00E7A101" w14:textId="280C9AF9" w:rsidR="00546E7F" w:rsidRPr="0027789B" w:rsidRDefault="00546E7F" w:rsidP="00546E7F">
      <w:pPr>
        <w:pStyle w:val="Heading4"/>
      </w:pPr>
      <w:r w:rsidRPr="0027789B">
        <w:t xml:space="preserve">If a Party or its Representatives </w:t>
      </w:r>
      <w:r w:rsidRPr="000B3399">
        <w:t xml:space="preserve">are compelled to make disclosure in response to a requirement described in Section </w:t>
      </w:r>
      <w:r w:rsidR="002E2123">
        <w:t>14</w:t>
      </w:r>
      <w:r w:rsidRPr="000B3399">
        <w:t>.0</w:t>
      </w:r>
      <w:r w:rsidR="000B3399" w:rsidRPr="000B3399">
        <w:t>5(c</w:t>
      </w:r>
      <w:r w:rsidRPr="000B3399">
        <w:t>)</w:t>
      </w:r>
      <w:r w:rsidR="000B3399" w:rsidRPr="000B3399">
        <w:t>(i)</w:t>
      </w:r>
      <w:r w:rsidRPr="000B3399">
        <w:t>, the compelled person may disclose only that portion of the Confidential</w:t>
      </w:r>
      <w:r w:rsidRPr="009676F1">
        <w:t xml:space="preserve"> Information protected by this Agreement which its counsel advises that it is legally</w:t>
      </w:r>
      <w:r w:rsidRPr="0027789B">
        <w:t xml:space="preserve"> required to disclose and will exercise </w:t>
      </w:r>
      <w:r>
        <w:t>reasonable</w:t>
      </w:r>
      <w:r w:rsidRPr="0027789B">
        <w:t xml:space="preserve"> efforts to obtain assurance that confidential treatment will be accorded to the disclosed Confidential Information protected by this Agreement.</w:t>
      </w:r>
    </w:p>
    <w:p w14:paraId="511861DA" w14:textId="77777777" w:rsidR="00546E7F" w:rsidRPr="00FF157D" w:rsidRDefault="00546E7F" w:rsidP="00546E7F">
      <w:pPr>
        <w:pStyle w:val="Heading3"/>
      </w:pPr>
      <w:bookmarkStart w:id="578" w:name="_Toc467577623"/>
      <w:bookmarkStart w:id="579" w:name="_Toc470014883"/>
      <w:bookmarkStart w:id="580" w:name="_Toc470856074"/>
      <w:r w:rsidRPr="00DB7FE0">
        <w:rPr>
          <w:u w:val="single"/>
        </w:rPr>
        <w:t>Ownership and Return of Information</w:t>
      </w:r>
      <w:r w:rsidRPr="00FF157D">
        <w:t>.</w:t>
      </w:r>
      <w:bookmarkEnd w:id="578"/>
      <w:bookmarkEnd w:id="579"/>
      <w:bookmarkEnd w:id="580"/>
    </w:p>
    <w:p w14:paraId="2F6ED4C5" w14:textId="5D9E7A18" w:rsidR="00546E7F" w:rsidRPr="0027789B" w:rsidRDefault="00546E7F" w:rsidP="00546E7F">
      <w:pPr>
        <w:pStyle w:val="Heading3Text"/>
      </w:pPr>
      <w:r w:rsidRPr="0027789B">
        <w:t>All Confidential Information shall be and remain the property of the Party providing it</w:t>
      </w:r>
      <w:r>
        <w:t xml:space="preserve">. </w:t>
      </w:r>
      <w:r w:rsidRPr="0027789B">
        <w:t xml:space="preserve">Nothing in this Agreement shall be construed as granting any rights in or to Confidential Information to the </w:t>
      </w:r>
      <w:r w:rsidRPr="009676F1">
        <w:t xml:space="preserve">Party or Representatives receiving it, except the right of use in accordance with the terms of this </w:t>
      </w:r>
      <w:r w:rsidRPr="00546E7F">
        <w:t>Agreement</w:t>
      </w:r>
      <w:r w:rsidRPr="009676F1">
        <w:t xml:space="preserve">. Notwithstanding the foregoing, the Parties shall have the right to retain copies of Confidential Information, subject to the confidentiality obligations in this </w:t>
      </w:r>
      <w:r w:rsidR="000B3399">
        <w:t xml:space="preserve">Section </w:t>
      </w:r>
      <w:r w:rsidR="002E2123">
        <w:t>14</w:t>
      </w:r>
      <w:r w:rsidR="000B3399">
        <w:t>.05</w:t>
      </w:r>
      <w:r w:rsidRPr="009676F1">
        <w:t>.</w:t>
      </w:r>
    </w:p>
    <w:p w14:paraId="02E88E99" w14:textId="2BC9BA80" w:rsidR="00546E7F" w:rsidRPr="0027789B" w:rsidRDefault="00546E7F" w:rsidP="00546E7F">
      <w:pPr>
        <w:pStyle w:val="Heading2"/>
      </w:pPr>
      <w:bookmarkStart w:id="581" w:name="_Toc510788318"/>
      <w:r>
        <w:t>Records.</w:t>
      </w:r>
      <w:bookmarkEnd w:id="581"/>
    </w:p>
    <w:p w14:paraId="2EB34359" w14:textId="77777777" w:rsidR="00546E7F" w:rsidRPr="00FF157D" w:rsidRDefault="00546E7F" w:rsidP="00546E7F">
      <w:pPr>
        <w:pStyle w:val="Heading3"/>
      </w:pPr>
      <w:bookmarkStart w:id="582" w:name="_Toc467577602"/>
      <w:bookmarkStart w:id="583" w:name="_Toc470014862"/>
      <w:bookmarkStart w:id="584" w:name="_Toc470856053"/>
      <w:r w:rsidRPr="00DB7FE0">
        <w:rPr>
          <w:u w:val="single"/>
        </w:rPr>
        <w:t>Performance Under This Agreement</w:t>
      </w:r>
      <w:r w:rsidRPr="00FF157D">
        <w:t>.</w:t>
      </w:r>
      <w:bookmarkEnd w:id="582"/>
      <w:bookmarkEnd w:id="583"/>
      <w:bookmarkEnd w:id="584"/>
    </w:p>
    <w:p w14:paraId="2E2B76EA" w14:textId="77777777" w:rsidR="00546E7F" w:rsidRPr="0027789B" w:rsidRDefault="00546E7F" w:rsidP="00546E7F">
      <w:pPr>
        <w:pStyle w:val="Heading3Text"/>
      </w:pPr>
      <w:r w:rsidRPr="0027789B">
        <w:t>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four (4) years after final payment is made under this Agreement.</w:t>
      </w:r>
    </w:p>
    <w:p w14:paraId="547DC7B9" w14:textId="77777777" w:rsidR="00546E7F" w:rsidRPr="00FF157D" w:rsidRDefault="00546E7F" w:rsidP="00546E7F">
      <w:pPr>
        <w:pStyle w:val="Heading3"/>
      </w:pPr>
      <w:bookmarkStart w:id="585" w:name="_Toc467577603"/>
      <w:bookmarkStart w:id="586" w:name="_Toc470014863"/>
      <w:bookmarkStart w:id="587" w:name="_Toc470856054"/>
      <w:r w:rsidRPr="00DB7FE0">
        <w:rPr>
          <w:u w:val="single"/>
        </w:rPr>
        <w:t>Other Regulatory and Governmental Requirements</w:t>
      </w:r>
      <w:r w:rsidRPr="00FF157D">
        <w:t>.</w:t>
      </w:r>
      <w:bookmarkEnd w:id="585"/>
      <w:bookmarkEnd w:id="586"/>
      <w:bookmarkEnd w:id="587"/>
    </w:p>
    <w:p w14:paraId="7863E071" w14:textId="77777777" w:rsidR="00546E7F" w:rsidRPr="0027789B" w:rsidRDefault="00546E7F" w:rsidP="00546E7F">
      <w:pPr>
        <w:pStyle w:val="Heading3Text"/>
      </w:pPr>
      <w:r w:rsidRPr="0027789B">
        <w:t>At SCE’s request, Seller shall maintain and deliver to SCE copies of records and supporting documentation with respect to the Project that Seller is not already required to maintain or deliver under this Agreement, in order to comply with all Applicable Laws.</w:t>
      </w:r>
    </w:p>
    <w:p w14:paraId="2AA63FE5" w14:textId="77777777" w:rsidR="00546E7F" w:rsidRPr="00FF157D" w:rsidRDefault="00546E7F" w:rsidP="00546E7F">
      <w:pPr>
        <w:pStyle w:val="Heading3"/>
      </w:pPr>
      <w:bookmarkStart w:id="588" w:name="_Toc467577604"/>
      <w:bookmarkStart w:id="589" w:name="_Toc470014864"/>
      <w:bookmarkStart w:id="590" w:name="_Toc470856055"/>
      <w:r w:rsidRPr="00DB7FE0">
        <w:rPr>
          <w:u w:val="single"/>
        </w:rPr>
        <w:t>Audit Rights</w:t>
      </w:r>
      <w:r w:rsidRPr="00FF157D">
        <w:t>.</w:t>
      </w:r>
      <w:bookmarkEnd w:id="588"/>
      <w:bookmarkEnd w:id="589"/>
      <w:bookmarkEnd w:id="590"/>
    </w:p>
    <w:p w14:paraId="46EDFCF2" w14:textId="1F37AE23" w:rsidR="00546E7F" w:rsidRPr="009676F1" w:rsidRDefault="00546E7F" w:rsidP="00546E7F">
      <w:pPr>
        <w:pStyle w:val="Heading3Text"/>
      </w:pPr>
      <w:r w:rsidRPr="0027789B">
        <w:lastRenderedPageBreak/>
        <w:t>SCE</w:t>
      </w:r>
      <w:r>
        <w:t>, or its designee,</w:t>
      </w:r>
      <w:r w:rsidRPr="0027789B">
        <w:t xml:space="preserve"> shall have the right, at its sole expense and during normal working hours, to audit the documents, records or data of Seller to the extent reasonably necessary to verify the accuracy of any statement, claim, charge or calculation made pursuant to this Agreement</w:t>
      </w:r>
      <w:r>
        <w:t xml:space="preserve">. </w:t>
      </w:r>
      <w:r w:rsidRPr="009676F1">
        <w:t xml:space="preserve">Seller shall promptly comply with any reasonable request by SCE under </w:t>
      </w:r>
      <w:r w:rsidRPr="002F5C7B">
        <w:t xml:space="preserve">this Section </w:t>
      </w:r>
      <w:r w:rsidR="002E2123">
        <w:t>14</w:t>
      </w:r>
      <w:r w:rsidRPr="002F5C7B">
        <w:t>.0</w:t>
      </w:r>
      <w:r w:rsidR="002F5C7B" w:rsidRPr="002F5C7B">
        <w:t>6(c)</w:t>
      </w:r>
      <w:r w:rsidRPr="002F5C7B">
        <w:t xml:space="preserve"> and provide copies of documents, records or data to SCE. The rights and obligations under this Section </w:t>
      </w:r>
      <w:r w:rsidR="002E2123">
        <w:t>14</w:t>
      </w:r>
      <w:r w:rsidR="002F5C7B" w:rsidRPr="002F5C7B">
        <w:t>.06(c)</w:t>
      </w:r>
      <w:r w:rsidRPr="002F5C7B">
        <w:t xml:space="preserve"> shall survive</w:t>
      </w:r>
      <w:r w:rsidRPr="009676F1">
        <w:t xml:space="preserve"> the termination of this Agreement for a period of two (2) years.</w:t>
      </w:r>
    </w:p>
    <w:p w14:paraId="644E461B" w14:textId="1A94EE8D" w:rsidR="00D86212" w:rsidRDefault="00D86212" w:rsidP="00D86212">
      <w:pPr>
        <w:pStyle w:val="Heading3"/>
      </w:pPr>
      <w:bookmarkStart w:id="591" w:name="_Toc467577605"/>
      <w:bookmarkStart w:id="592" w:name="_Toc470014865"/>
      <w:bookmarkStart w:id="593" w:name="_Toc470856056"/>
      <w:r w:rsidRPr="00DB7FE0">
        <w:rPr>
          <w:u w:val="single"/>
        </w:rPr>
        <w:t>Industry Standards</w:t>
      </w:r>
      <w:r>
        <w:t>.</w:t>
      </w:r>
    </w:p>
    <w:p w14:paraId="7C7D9E64" w14:textId="51FC548E" w:rsidR="00D86212" w:rsidRPr="00DB7FE0" w:rsidRDefault="00D86212" w:rsidP="00DB7FE0">
      <w:pPr>
        <w:pStyle w:val="Heading3"/>
        <w:numPr>
          <w:ilvl w:val="0"/>
          <w:numId w:val="0"/>
        </w:numPr>
        <w:ind w:left="1728"/>
      </w:pPr>
      <w:r w:rsidRPr="0027789B">
        <w:t xml:space="preserve">Seller shall maintain and make available to SCE and the CPUC, or any division thereof, records including logbooks, demonstrating that the Project is operated and maintained in accordance with Industry Standards, including CPUC </w:t>
      </w:r>
      <w:r>
        <w:t>General Order</w:t>
      </w:r>
      <w:r w:rsidRPr="0027789B">
        <w:t xml:space="preserve"> 167</w:t>
      </w:r>
      <w:r>
        <w:t xml:space="preserve">. </w:t>
      </w:r>
      <w:r w:rsidRPr="0027789B">
        <w:t>Seller shall comply with all reporting requirements and permit on-site audits, investigations, tests and inspections permitted or required under any Industry Standards.</w:t>
      </w:r>
    </w:p>
    <w:p w14:paraId="330DB811" w14:textId="77777777" w:rsidR="00546E7F" w:rsidRPr="009676F1" w:rsidRDefault="00546E7F" w:rsidP="00546E7F">
      <w:pPr>
        <w:pStyle w:val="Heading3"/>
      </w:pPr>
      <w:r w:rsidRPr="00DB7FE0">
        <w:rPr>
          <w:u w:val="single"/>
        </w:rPr>
        <w:t>California Climate Action Registry</w:t>
      </w:r>
      <w:r w:rsidRPr="009676F1">
        <w:t>.</w:t>
      </w:r>
      <w:bookmarkEnd w:id="591"/>
      <w:bookmarkEnd w:id="592"/>
      <w:bookmarkEnd w:id="593"/>
    </w:p>
    <w:p w14:paraId="305B2A16" w14:textId="271DE627" w:rsidR="00546E7F" w:rsidRDefault="00546E7F" w:rsidP="00546E7F">
      <w:pPr>
        <w:pStyle w:val="Heading3Text"/>
      </w:pPr>
      <w:r w:rsidRPr="009676F1">
        <w:t>If applicable, in accordance with CPUC Rulemaking 06-04-009</w:t>
      </w:r>
      <w:r w:rsidR="00781570">
        <w:t xml:space="preserve"> </w:t>
      </w:r>
      <w:r w:rsidR="00781570" w:rsidRPr="0027789B">
        <w:t>(April 13, 2006)</w:t>
      </w:r>
      <w:r w:rsidRPr="009676F1">
        <w:t xml:space="preserve">, upon modification of the protocols of the </w:t>
      </w:r>
      <w:r w:rsidR="00781570" w:rsidRPr="0027789B">
        <w:t xml:space="preserve">registry contemplated </w:t>
      </w:r>
      <w:r w:rsidR="00781570">
        <w:t>therein</w:t>
      </w:r>
      <w:r w:rsidR="00781570" w:rsidRPr="0027789B">
        <w:t xml:space="preserve"> </w:t>
      </w:r>
      <w:r w:rsidR="00781570">
        <w:t>(“</w:t>
      </w:r>
      <w:r w:rsidRPr="00DB7FE0">
        <w:rPr>
          <w:u w:val="single"/>
        </w:rPr>
        <w:t>California Climate Action Registry</w:t>
      </w:r>
      <w:r w:rsidR="00781570">
        <w:t>”)</w:t>
      </w:r>
      <w:r w:rsidRPr="009676F1">
        <w:t xml:space="preserve"> to allow energy storage (as applicable) facility-specific registration, Seller shall promptly (i) register with the California Climate Action Registry, (ii) send SCE Notice of such registration and (iii) remain a member of the California Climate Action Registry throughout the entire Term.</w:t>
      </w:r>
    </w:p>
    <w:p w14:paraId="68CB0E47" w14:textId="77777777" w:rsidR="001B1A90" w:rsidRPr="009676F1" w:rsidRDefault="001B1A90" w:rsidP="001B1A90">
      <w:pPr>
        <w:pStyle w:val="Heading2"/>
        <w:keepNext w:val="0"/>
        <w:keepLines w:val="0"/>
      </w:pPr>
      <w:bookmarkStart w:id="594" w:name="_Toc510788319"/>
      <w:r w:rsidRPr="009676F1">
        <w:t>Insurance.</w:t>
      </w:r>
      <w:bookmarkEnd w:id="594"/>
    </w:p>
    <w:p w14:paraId="50EFAF0E" w14:textId="238354F6" w:rsidR="001B1A90" w:rsidRPr="009676F1" w:rsidRDefault="001B1A90" w:rsidP="001B1A90">
      <w:pPr>
        <w:pStyle w:val="Heading2Text"/>
      </w:pPr>
      <w:r w:rsidRPr="009676F1">
        <w:t>Throughout the Term and for such additional periods as may be specified below, Seller and, to the extent not covered by Seller’s insurance policies, its contractors and subcontractors shall, at their own expense, provide and maintain in effect the insurance policies and minimum limits of coverage specified below, and such additional coverage as may be required by Applicable Laws, with insurance companies which are authorized to do business in the state in which the services are to be performed and which have an A.M. Best’s Insurance Rating of not less than A-</w:t>
      </w:r>
      <w:r w:rsidR="008B3C43">
        <w:t>,</w:t>
      </w:r>
      <w:r w:rsidRPr="009676F1">
        <w:t>VII. The minimum insurance requirements specified herein do not in any way limit or relieve Seller of any obligation assumed elsewhere in this Agreement, including Seller’s defense and indemnity obligations.</w:t>
      </w:r>
    </w:p>
    <w:p w14:paraId="161B9031" w14:textId="77777777" w:rsidR="001B1A90" w:rsidRPr="009676F1" w:rsidRDefault="001B1A90" w:rsidP="001B1A90">
      <w:pPr>
        <w:pStyle w:val="Heading3"/>
      </w:pPr>
      <w:r w:rsidRPr="009676F1">
        <w:rPr>
          <w:u w:val="single"/>
        </w:rPr>
        <w:t>Workers’ Compensation Insurance</w:t>
      </w:r>
      <w:r w:rsidRPr="009676F1">
        <w:t xml:space="preserve"> with the statutory limits required by the state having jurisdiction over Seller’s employees;</w:t>
      </w:r>
    </w:p>
    <w:p w14:paraId="3A77750D" w14:textId="77777777" w:rsidR="001B1A90" w:rsidRPr="009676F1" w:rsidRDefault="001B1A90" w:rsidP="001B1A90">
      <w:pPr>
        <w:pStyle w:val="Heading3"/>
      </w:pPr>
      <w:r w:rsidRPr="009676F1">
        <w:rPr>
          <w:u w:val="single"/>
        </w:rPr>
        <w:lastRenderedPageBreak/>
        <w:t>Employer’s Liability Insurance</w:t>
      </w:r>
      <w:r w:rsidRPr="009676F1">
        <w:t xml:space="preserve"> with limits of not less than:</w:t>
      </w:r>
    </w:p>
    <w:p w14:paraId="13D257FB" w14:textId="77777777" w:rsidR="001B1A90" w:rsidRPr="009676F1" w:rsidRDefault="001B1A90" w:rsidP="001B1A90">
      <w:pPr>
        <w:pStyle w:val="Heading4"/>
      </w:pPr>
      <w:r w:rsidRPr="009676F1">
        <w:t>Bodily injury by accident – One Million dollars ($1,000,000) each accident</w:t>
      </w:r>
    </w:p>
    <w:p w14:paraId="0785ED03" w14:textId="77777777" w:rsidR="001B1A90" w:rsidRPr="009676F1" w:rsidRDefault="001B1A90" w:rsidP="001B1A90">
      <w:pPr>
        <w:pStyle w:val="Heading4"/>
      </w:pPr>
      <w:r w:rsidRPr="009676F1">
        <w:t>Bodily injury by disease – One Million dollars ($1,000,000) policy limit</w:t>
      </w:r>
    </w:p>
    <w:p w14:paraId="37E241BD" w14:textId="77777777" w:rsidR="001B1A90" w:rsidRPr="009676F1" w:rsidRDefault="001B1A90" w:rsidP="001B1A90">
      <w:pPr>
        <w:pStyle w:val="Heading4"/>
      </w:pPr>
      <w:r w:rsidRPr="009676F1">
        <w:t>Bodily injury by disease – One Million dollars ($1,000,000) each employee</w:t>
      </w:r>
    </w:p>
    <w:p w14:paraId="7E00CB98" w14:textId="62F82942" w:rsidR="001B1A90" w:rsidRPr="009676F1" w:rsidRDefault="001B1A90" w:rsidP="001B1A90">
      <w:pPr>
        <w:pStyle w:val="Heading3"/>
        <w:rPr>
          <w:bCs/>
        </w:rPr>
      </w:pPr>
      <w:r w:rsidRPr="009676F1">
        <w:rPr>
          <w:u w:val="single"/>
        </w:rPr>
        <w:t xml:space="preserve">Commercial General Liability </w:t>
      </w:r>
      <w:r w:rsidRPr="000B3399">
        <w:rPr>
          <w:u w:val="single"/>
        </w:rPr>
        <w:t>Insurance</w:t>
      </w:r>
      <w:r w:rsidRPr="000B3399">
        <w:t xml:space="preserve"> (which, except with the prior written consent of SCE and subject to Sections </w:t>
      </w:r>
      <w:r>
        <w:t>14.07</w:t>
      </w:r>
      <w:r w:rsidRPr="000B3399">
        <w:t xml:space="preserve">(c)(i) and </w:t>
      </w:r>
      <w:r w:rsidRPr="000B3399">
        <w:rPr>
          <w:u w:val="single"/>
        </w:rPr>
        <w:t>(ii)</w:t>
      </w:r>
      <w:r w:rsidRPr="000B3399">
        <w:t xml:space="preserve"> below, shall be written on an “occurrence,” not a “claims-made”</w:t>
      </w:r>
      <w:r w:rsidRPr="009676F1">
        <w:t xml:space="preserve"> basis), covering all operations by or on behalf of Seller arising out of or connected with this Agreement, including coverage for bodily injury, property damage, personal and advertising injury, products/completed operations, and contractual liability. Such insurance shall bear a per occurrence limit of not less than One Million dollars ($1,000,000) and annual aggregate of not less than Two Million Dollars ($2,000,000), exclusive of defense costs, for all coverages. Such insurance shall contain standard cross-liability and severability of interest provisions.</w:t>
      </w:r>
    </w:p>
    <w:p w14:paraId="7F8F818C" w14:textId="77777777" w:rsidR="001B1A90" w:rsidRPr="009676F1" w:rsidRDefault="001B1A90" w:rsidP="001B1A90">
      <w:pPr>
        <w:pStyle w:val="Heading3Text"/>
      </w:pPr>
      <w:r w:rsidRPr="009676F1">
        <w:t>If Seller elects, with SCE’s written concurrence, to use a “claims made” form of Commercial General Liability Insurance, then the following additional requirements apply:</w:t>
      </w:r>
    </w:p>
    <w:p w14:paraId="3F69D776" w14:textId="19FA343E" w:rsidR="001B1A90" w:rsidRPr="009676F1" w:rsidRDefault="001B1A90" w:rsidP="001B1A90">
      <w:pPr>
        <w:pStyle w:val="Heading4"/>
      </w:pPr>
      <w:r w:rsidRPr="009676F1">
        <w:t xml:space="preserve">The retroactive date of the policy must be </w:t>
      </w:r>
      <w:r w:rsidR="008B3C43">
        <w:t xml:space="preserve">on or </w:t>
      </w:r>
      <w:r w:rsidRPr="009676F1">
        <w:t>prior to the Effective Date; and</w:t>
      </w:r>
    </w:p>
    <w:p w14:paraId="5A7BB098" w14:textId="77777777" w:rsidR="001B1A90" w:rsidRPr="009676F1" w:rsidRDefault="001B1A90" w:rsidP="001B1A90">
      <w:pPr>
        <w:pStyle w:val="Heading4"/>
      </w:pPr>
      <w:r w:rsidRPr="009676F1">
        <w:t>Either the coverage must be maintained for a period of not less than four (4) years after th</w:t>
      </w:r>
      <w:r>
        <w:t>is</w:t>
      </w:r>
      <w:r w:rsidRPr="009676F1">
        <w:t xml:space="preserve"> Agreement terminates, or the policy must provide for a supplemental extended reporting period of not less than four (4) years after this Agreement terminates.</w:t>
      </w:r>
    </w:p>
    <w:p w14:paraId="5632922E" w14:textId="144B6F5E" w:rsidR="001B1A90" w:rsidRPr="009676F1" w:rsidRDefault="001B1A90" w:rsidP="001B1A90">
      <w:pPr>
        <w:pStyle w:val="Heading3"/>
      </w:pPr>
      <w:r w:rsidRPr="009676F1">
        <w:rPr>
          <w:u w:val="single"/>
        </w:rPr>
        <w:t>Commercial Automobile Liability Insurance</w:t>
      </w:r>
      <w:r w:rsidRPr="009676F1">
        <w:t xml:space="preserve"> covering bodily injury and property damage with a combined single limit of not less than One Million dollars ($1,000,000) per occurrence. Such insurance shall cover liability arising out of Seller’s use of all owned (if any), non-owned and hired vehicles</w:t>
      </w:r>
      <w:r w:rsidR="00D700F7" w:rsidRPr="009676F1">
        <w:t>, including</w:t>
      </w:r>
      <w:r w:rsidRPr="009676F1">
        <w:t xml:space="preserve"> trailers or semi-trailers, in the performance of th</w:t>
      </w:r>
      <w:r>
        <w:t>is</w:t>
      </w:r>
      <w:r w:rsidRPr="009676F1">
        <w:t xml:space="preserve"> Agreement.</w:t>
      </w:r>
    </w:p>
    <w:p w14:paraId="6D1EDC2E" w14:textId="4CB7B05E" w:rsidR="001B1A90" w:rsidRPr="009676F1" w:rsidRDefault="001B1A90" w:rsidP="001B1A90">
      <w:pPr>
        <w:pStyle w:val="Heading3"/>
      </w:pPr>
      <w:r w:rsidRPr="009676F1">
        <w:rPr>
          <w:u w:val="single"/>
        </w:rPr>
        <w:t>Pollution Liability Insurance</w:t>
      </w:r>
      <w:r w:rsidRPr="009676F1">
        <w:t>, (</w:t>
      </w:r>
      <w:r w:rsidRPr="000B3399">
        <w:t xml:space="preserve">which, except with the prior written consent of SCE and subject to Sections </w:t>
      </w:r>
      <w:r>
        <w:t>14.07</w:t>
      </w:r>
      <w:r w:rsidRPr="000B3399">
        <w:t xml:space="preserve">(e)(i) and (ii) below, </w:t>
      </w:r>
      <w:r w:rsidR="00762B03">
        <w:t>may</w:t>
      </w:r>
      <w:r w:rsidR="00762B03" w:rsidRPr="000B3399">
        <w:t xml:space="preserve"> </w:t>
      </w:r>
      <w:r w:rsidRPr="000B3399">
        <w:t xml:space="preserve">be written on an “occurrence,” </w:t>
      </w:r>
      <w:r w:rsidR="00762B03">
        <w:t>or</w:t>
      </w:r>
      <w:r w:rsidR="00762B03" w:rsidRPr="000B3399">
        <w:t xml:space="preserve"> </w:t>
      </w:r>
      <w:r w:rsidRPr="000B3399">
        <w:t xml:space="preserve">a “claims-made” </w:t>
      </w:r>
      <w:r w:rsidR="00762B03">
        <w:t>policy form</w:t>
      </w:r>
      <w:r w:rsidRPr="000B3399">
        <w:t xml:space="preserve">) with limits of not less than </w:t>
      </w:r>
      <w:r w:rsidRPr="000B3399">
        <w:rPr>
          <w:i/>
          <w:iCs/>
          <w:color w:val="0000FF"/>
        </w:rPr>
        <w:t>[__]</w:t>
      </w:r>
      <w:r w:rsidRPr="000B3399">
        <w:t xml:space="preserve"> Million dollars ($</w:t>
      </w:r>
      <w:r w:rsidRPr="000B3399">
        <w:rPr>
          <w:i/>
          <w:iCs/>
          <w:color w:val="0000FF"/>
        </w:rPr>
        <w:t>[__]</w:t>
      </w:r>
      <w:r w:rsidRPr="000B3399">
        <w:t xml:space="preserve">,000,000) </w:t>
      </w:r>
      <w:r w:rsidRPr="000B3399">
        <w:rPr>
          <w:i/>
          <w:iCs/>
          <w:color w:val="0000FF"/>
        </w:rPr>
        <w:t xml:space="preserve">{SCE Comment: Amount will be capped at $5 </w:t>
      </w:r>
      <w:r w:rsidRPr="000B3399">
        <w:rPr>
          <w:i/>
          <w:iCs/>
          <w:color w:val="0000FF"/>
        </w:rPr>
        <w:lastRenderedPageBreak/>
        <w:t>million}</w:t>
      </w:r>
      <w:r w:rsidRPr="000B3399">
        <w:t>, covering losses involving hazardous material</w:t>
      </w:r>
      <w:r w:rsidRPr="009676F1">
        <w:t>(s) and caused by pollution incidents or conditions that arise from the Project, including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14:paraId="53F1B903" w14:textId="77777777" w:rsidR="001B1A90" w:rsidRPr="009676F1" w:rsidRDefault="001B1A90" w:rsidP="001B1A90">
      <w:pPr>
        <w:pStyle w:val="Heading3Text"/>
      </w:pPr>
      <w:r w:rsidRPr="009676F1">
        <w:t>If Seller elects, with SCE’s written concurrence, to use a “claims made” form of Pollution Liability Insurance, then the following additional requirements apply:</w:t>
      </w:r>
    </w:p>
    <w:p w14:paraId="7B537BEE" w14:textId="77777777" w:rsidR="001B1A90" w:rsidRPr="009676F1" w:rsidRDefault="001B1A90" w:rsidP="001B1A90">
      <w:pPr>
        <w:pStyle w:val="Heading4"/>
      </w:pPr>
      <w:r w:rsidRPr="009676F1">
        <w:t>The retroactive date of the policy must be prior to the Effective Date; and</w:t>
      </w:r>
    </w:p>
    <w:p w14:paraId="4CC6637A" w14:textId="77777777" w:rsidR="001B1A90" w:rsidRPr="009676F1" w:rsidRDefault="001B1A90" w:rsidP="001B1A90">
      <w:pPr>
        <w:pStyle w:val="Heading4"/>
      </w:pPr>
      <w:r w:rsidRPr="009676F1">
        <w:t>Either the coverage must be maintained for a period of not less than three (3) years after this Agreement terminates, or the policy must provide for a supplemental extended reporting period of not less than three (3) years after this Agreement terminates.</w:t>
      </w:r>
    </w:p>
    <w:p w14:paraId="71E32FA3" w14:textId="1FF7580C" w:rsidR="001B1A90" w:rsidRPr="000B3399" w:rsidRDefault="001B1A90" w:rsidP="001B1A90">
      <w:pPr>
        <w:pStyle w:val="Heading3"/>
      </w:pPr>
      <w:r w:rsidRPr="009676F1">
        <w:rPr>
          <w:u w:val="single"/>
        </w:rPr>
        <w:t>Umbrella/Excess Liability Insurance</w:t>
      </w:r>
      <w:r w:rsidRPr="009676F1">
        <w:t xml:space="preserve">, written on an “occurrence,” not a “claims-made” basis, providing coverage excess of the underlying Employer’s Liability, Commercial General Liability, Pollution Liability Insurance, and Commercial Automobile Liability insurance, </w:t>
      </w:r>
      <w:r w:rsidRPr="000B3399">
        <w:t xml:space="preserve">on terms at least as broad as the underlying coverage, with limits of not less than </w:t>
      </w:r>
      <w:r w:rsidRPr="000B3399">
        <w:rPr>
          <w:i/>
          <w:iCs/>
          <w:color w:val="0000FF"/>
        </w:rPr>
        <w:t>[__]</w:t>
      </w:r>
      <w:r w:rsidRPr="000B3399">
        <w:t xml:space="preserve"> Million dollars ($</w:t>
      </w:r>
      <w:r w:rsidRPr="000B3399">
        <w:rPr>
          <w:i/>
          <w:iCs/>
          <w:color w:val="0000FF"/>
        </w:rPr>
        <w:t>[__]</w:t>
      </w:r>
      <w:r w:rsidRPr="000B3399">
        <w:t xml:space="preserve">,000,000) </w:t>
      </w:r>
      <w:r w:rsidRPr="000B3399">
        <w:rPr>
          <w:i/>
          <w:iCs/>
          <w:color w:val="0000FF"/>
        </w:rPr>
        <w:t>{SCE Comment: Amount will be equal to $1 million</w:t>
      </w:r>
      <w:r w:rsidRPr="000B3399">
        <w:rPr>
          <w:i/>
          <w:color w:val="0000FF"/>
        </w:rPr>
        <w:t xml:space="preserve"> per </w:t>
      </w:r>
      <w:r w:rsidRPr="000B3399">
        <w:rPr>
          <w:i/>
          <w:iCs/>
          <w:color w:val="0000FF"/>
        </w:rPr>
        <w:t>MW of Contract Capacity, capped at $20 million}</w:t>
      </w:r>
      <w:r w:rsidRPr="000B3399">
        <w:t xml:space="preserve"> per occurrence and in the annual aggregate. The insurance requirements </w:t>
      </w:r>
      <w:r w:rsidR="006D4F8F">
        <w:t>under</w:t>
      </w:r>
      <w:r w:rsidR="006D4F8F" w:rsidRPr="000B3399">
        <w:t xml:space="preserve"> </w:t>
      </w:r>
      <w:r w:rsidRPr="000B3399">
        <w:t xml:space="preserve">this Section </w:t>
      </w:r>
      <w:r>
        <w:t>14.07</w:t>
      </w:r>
      <w:r w:rsidRPr="000B3399">
        <w:t xml:space="preserve"> can be provided</w:t>
      </w:r>
      <w:r w:rsidR="006D4F8F">
        <w:t xml:space="preserve"> in part</w:t>
      </w:r>
      <w:r w:rsidRPr="000B3399">
        <w:t xml:space="preserve"> by </w:t>
      </w:r>
      <w:r w:rsidR="006D4F8F">
        <w:t>the</w:t>
      </w:r>
      <w:r w:rsidR="006D4F8F" w:rsidRPr="000B3399">
        <w:t xml:space="preserve"> </w:t>
      </w:r>
      <w:r w:rsidRPr="000B3399">
        <w:t xml:space="preserve">combination of Seller’s primary </w:t>
      </w:r>
      <w:r w:rsidR="006D4F8F">
        <w:t xml:space="preserve">commercial general liability </w:t>
      </w:r>
      <w:r w:rsidRPr="000B3399">
        <w:t>and excess liability policies.</w:t>
      </w:r>
    </w:p>
    <w:p w14:paraId="33A764C5" w14:textId="77777777" w:rsidR="001B1A90" w:rsidRPr="000B3399" w:rsidRDefault="001B1A90" w:rsidP="001B1A90">
      <w:pPr>
        <w:pStyle w:val="Heading3Text"/>
      </w:pPr>
      <w:r w:rsidRPr="000B3399">
        <w:t>If Seller elects, with SCE’s written concurrence, to use a “claims made” form of Umbrella/Excess Liability Insurance, then the following additional requirements apply:</w:t>
      </w:r>
    </w:p>
    <w:p w14:paraId="37D1AA6A" w14:textId="77777777" w:rsidR="001B1A90" w:rsidRPr="000B3399" w:rsidRDefault="001B1A90" w:rsidP="001B1A90">
      <w:pPr>
        <w:pStyle w:val="Heading4"/>
      </w:pPr>
      <w:r w:rsidRPr="000B3399">
        <w:t>The retroactive date of the policy must be prior to the Effective Date; and</w:t>
      </w:r>
    </w:p>
    <w:p w14:paraId="01837DFA" w14:textId="77777777" w:rsidR="001B1A90" w:rsidRPr="000B3399" w:rsidRDefault="001B1A90" w:rsidP="001B1A90">
      <w:pPr>
        <w:pStyle w:val="Heading4"/>
      </w:pPr>
      <w:r w:rsidRPr="000B3399">
        <w:t>Either the coverage must be maintained for a period of not less than three (3) years after this Agreement terminates, or the policy must provide for a supplemental extended reporting period of not less than three (3) years after this Agreement terminates.</w:t>
      </w:r>
    </w:p>
    <w:p w14:paraId="2C848EA7" w14:textId="73D11715" w:rsidR="001B1A90" w:rsidRPr="000B3399" w:rsidRDefault="001B1A90" w:rsidP="001B1A90">
      <w:pPr>
        <w:pStyle w:val="Heading2Text"/>
      </w:pPr>
      <w:r w:rsidRPr="000B3399">
        <w:t xml:space="preserve">All policies required by Sections </w:t>
      </w:r>
      <w:r>
        <w:t>14.07</w:t>
      </w:r>
      <w:r w:rsidRPr="000B3399">
        <w:t>(a) through (f) shall be written on a “per project” or “per contract” basis.</w:t>
      </w:r>
    </w:p>
    <w:p w14:paraId="7461644C" w14:textId="0DD16E96" w:rsidR="001B1A90" w:rsidRPr="0027789B" w:rsidRDefault="001B1A90" w:rsidP="001B1A90">
      <w:pPr>
        <w:pStyle w:val="Heading3"/>
      </w:pPr>
      <w:r w:rsidRPr="000B3399">
        <w:rPr>
          <w:u w:val="single"/>
        </w:rPr>
        <w:lastRenderedPageBreak/>
        <w:t xml:space="preserve">SCE as </w:t>
      </w:r>
      <w:r w:rsidR="006D4F8F">
        <w:rPr>
          <w:u w:val="single"/>
        </w:rPr>
        <w:t xml:space="preserve">Additional </w:t>
      </w:r>
      <w:r w:rsidRPr="000B3399">
        <w:rPr>
          <w:u w:val="single"/>
        </w:rPr>
        <w:t>Insured</w:t>
      </w:r>
      <w:r w:rsidRPr="000B3399">
        <w:t xml:space="preserve">. The insurance required in this Section </w:t>
      </w:r>
      <w:r>
        <w:t>14.07</w:t>
      </w:r>
      <w:r w:rsidRPr="000B3399">
        <w:t xml:space="preserve"> shall apply as primary insurance to, without a right of contribution from, any other insurance </w:t>
      </w:r>
      <w:r w:rsidR="006D4F8F">
        <w:t xml:space="preserve">or self-insurance </w:t>
      </w:r>
      <w:r w:rsidRPr="000B3399">
        <w:t>maintained by or afforded to SCE, its subsidiaries and Affiliates, and their respective officers, directors, shareholders, agents, and employees, regardless of any conflicting provision in Seller's policies to the contrary. To the extent permitted by Applicable Laws, Seller and its insurers shall be required to waive all rights of recovery from or subrogation against SCE, its subsidiaries and Affiliates, and their respective officers, directors, shareholders, agents, employees and insurers. The Commercial General Liability, Commercial Automobile Liability, Pollution Liability and Umbrella/Excess Liability insurance required above shall include, either by policy terms and conditions or by endorsement, SCE, its subsidiaries and Affiliates, and their respective officers, directors, shareholders, agents and employees, as additional insureds for liability arising out of Seller’s construction, ownership or operation</w:t>
      </w:r>
      <w:r>
        <w:t xml:space="preserve"> of the Project, or </w:t>
      </w:r>
      <w:r w:rsidRPr="0027789B">
        <w:t xml:space="preserve">obligations </w:t>
      </w:r>
      <w:r>
        <w:t xml:space="preserve">or performance, </w:t>
      </w:r>
      <w:r w:rsidRPr="0027789B">
        <w:t>under this Agreement.</w:t>
      </w:r>
    </w:p>
    <w:p w14:paraId="5751B5D3" w14:textId="5DC54B9F" w:rsidR="001B1A90" w:rsidRPr="000B3399" w:rsidRDefault="001B1A90" w:rsidP="001B1A90">
      <w:pPr>
        <w:pStyle w:val="Heading3"/>
      </w:pPr>
      <w:r>
        <w:rPr>
          <w:u w:val="single"/>
        </w:rPr>
        <w:t>Proof</w:t>
      </w:r>
      <w:r w:rsidRPr="0027789B">
        <w:rPr>
          <w:u w:val="single"/>
        </w:rPr>
        <w:t xml:space="preserve"> of Insurance</w:t>
      </w:r>
      <w:r>
        <w:t xml:space="preserve">. </w:t>
      </w:r>
      <w:r w:rsidRPr="009E3F0E">
        <w:t>Within ten (10) Business Days after the Effective Date, and within ten (10) Business Days after coverage is renewed or replaced</w:t>
      </w:r>
      <w:r w:rsidRPr="0027789B">
        <w:t xml:space="preserve">, Seller shall furnish to SCE </w:t>
      </w:r>
      <w:r>
        <w:t xml:space="preserve">the entire policy forms, including endorsements, and </w:t>
      </w:r>
      <w:r w:rsidRPr="0027789B">
        <w:t>certificates of insurance evidencing the coverage required above, written on forms and with deductibles reasonably acceptable to SCE</w:t>
      </w:r>
      <w:r>
        <w:t xml:space="preserve">. </w:t>
      </w:r>
      <w:r w:rsidRPr="0027789B">
        <w:t>All deductibles</w:t>
      </w:r>
      <w:r>
        <w:t xml:space="preserve"> and</w:t>
      </w:r>
      <w:r w:rsidRPr="0027789B">
        <w:t xml:space="preserve"> co-insurance retentions applicable to the insurance above shall be paid by Seller</w:t>
      </w:r>
      <w:r>
        <w:t xml:space="preserve">. </w:t>
      </w:r>
      <w:r w:rsidRPr="009E3F0E">
        <w:t xml:space="preserve">Seller, or its insurance broker or agent, </w:t>
      </w:r>
      <w:r w:rsidRPr="0027789B">
        <w:t>shall provide SCE with at least thirty (30) days’ prior written notice in the event of cancellation of coverage</w:t>
      </w:r>
      <w:r>
        <w:t xml:space="preserve">. </w:t>
      </w:r>
      <w:r w:rsidRPr="0027789B">
        <w:t xml:space="preserve">SCE’s receipt of </w:t>
      </w:r>
      <w:r>
        <w:t>documents</w:t>
      </w:r>
      <w:r w:rsidRPr="0027789B">
        <w:t xml:space="preserve"> that do not comply with the requirements stated here</w:t>
      </w:r>
      <w:r w:rsidRPr="000B3399">
        <w:t xml:space="preserve">in, or Seller’s failure to provide documents that comply with the requirements stated herein, shall not limit or relieve Seller of the duties and responsibility of maintaining insurance in compliance with the requirements in this Section </w:t>
      </w:r>
      <w:r>
        <w:t>14.07</w:t>
      </w:r>
      <w:r w:rsidRPr="000B3399">
        <w:t xml:space="preserve"> and shall not constitute a waiver of any of the requirements in this Section </w:t>
      </w:r>
      <w:r>
        <w:t>14.07</w:t>
      </w:r>
      <w:r w:rsidRPr="000B3399">
        <w:t>.</w:t>
      </w:r>
    </w:p>
    <w:p w14:paraId="74B94BC5" w14:textId="77777777" w:rsidR="001B1A90" w:rsidRPr="000B3399" w:rsidRDefault="001B1A90" w:rsidP="001B1A90">
      <w:pPr>
        <w:pStyle w:val="Heading3"/>
      </w:pPr>
      <w:r w:rsidRPr="000B3399">
        <w:rPr>
          <w:u w:val="single"/>
        </w:rPr>
        <w:t>Reporting</w:t>
      </w:r>
      <w:r w:rsidRPr="000B3399">
        <w:t>. Seller agrees to report to SCE in writing within ten (10) Business Days following all accidents or occurrences resulting in bodily injury to any person, and to any property where such property damage is greater than One Hundred Thousand Dollars ($100,000).</w:t>
      </w:r>
    </w:p>
    <w:p w14:paraId="5850A8E8" w14:textId="1757F3C1" w:rsidR="001B1A90" w:rsidRPr="009676F1" w:rsidRDefault="001B1A90" w:rsidP="005C1365">
      <w:pPr>
        <w:pStyle w:val="Heading3"/>
      </w:pPr>
      <w:r w:rsidRPr="001B1A90">
        <w:rPr>
          <w:u w:val="single"/>
        </w:rPr>
        <w:t>Failure to Comply</w:t>
      </w:r>
      <w:r w:rsidRPr="000B3399">
        <w:t xml:space="preserve">. If Seller fails to comply with any of the provisions of this Section </w:t>
      </w:r>
      <w:r>
        <w:t>14.07</w:t>
      </w:r>
      <w:r w:rsidRPr="000B3399">
        <w:t xml:space="preserve">, Seller, among other things and without restricting SCE’s remedies under the law or otherwise, shall, at its own cost and expense, act as an insurer and provide insurance in accordance with the terms and conditions above. With respect to the required Commercial General Liability, Umbrella/Excess Liability, Pollution Liability and Commercial Automobile </w:t>
      </w:r>
      <w:r w:rsidRPr="000B3399">
        <w:lastRenderedPageBreak/>
        <w:t xml:space="preserve">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 In addition, an alleged violation of the provisions of this Section </w:t>
      </w:r>
      <w:r>
        <w:t>14.07</w:t>
      </w:r>
      <w:r w:rsidRPr="000B3399">
        <w:t xml:space="preserve"> means that Seller has the initial</w:t>
      </w:r>
      <w:r w:rsidRPr="009676F1">
        <w:t xml:space="preserve"> burden of proof regarding any legal justification for refusing or withholding coverage and Seller shall face the same liability and damages as an insurer for wrongfully refusing or withholding coverage in accordance with the laws of California.</w:t>
      </w:r>
    </w:p>
    <w:p w14:paraId="682153B5" w14:textId="77777777" w:rsidR="001B1A90" w:rsidRPr="00FF157D" w:rsidRDefault="001B1A90" w:rsidP="001B1A90">
      <w:pPr>
        <w:pStyle w:val="Heading2"/>
        <w:keepNext w:val="0"/>
        <w:keepLines w:val="0"/>
        <w:rPr>
          <w:u w:val="none"/>
        </w:rPr>
      </w:pPr>
      <w:bookmarkStart w:id="595" w:name="_Toc510788320"/>
      <w:r w:rsidRPr="0027789B">
        <w:t>Consolidation of Seller’s Financial Statements</w:t>
      </w:r>
      <w:r w:rsidRPr="00FF157D">
        <w:rPr>
          <w:u w:val="none"/>
        </w:rPr>
        <w:t>.</w:t>
      </w:r>
      <w:bookmarkEnd w:id="595"/>
    </w:p>
    <w:p w14:paraId="6195308D" w14:textId="77777777" w:rsidR="001B1A90" w:rsidRPr="0027789B" w:rsidRDefault="001B1A90" w:rsidP="001B1A90">
      <w:pPr>
        <w:pStyle w:val="Heading3"/>
      </w:pPr>
      <w:r w:rsidRPr="0027789B">
        <w:t>SCE shall determine, through consultation with its internal accountants and review with their independent registered public accounting firm, whether SCE is required to consolidate Seller’s financial statements with SCE’s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SCE accounting treatment for this Agreement (the “</w:t>
      </w:r>
      <w:r w:rsidRPr="0027789B">
        <w:rPr>
          <w:u w:val="single"/>
        </w:rPr>
        <w:t>Financial Consolidation Requirement</w:t>
      </w:r>
      <w:r w:rsidRPr="0027789B">
        <w:t>”).</w:t>
      </w:r>
    </w:p>
    <w:p w14:paraId="33747D58" w14:textId="77777777" w:rsidR="001B1A90" w:rsidRPr="0027789B" w:rsidRDefault="001B1A90" w:rsidP="001B1A90">
      <w:pPr>
        <w:pStyle w:val="Heading3"/>
      </w:pPr>
      <w:r w:rsidRPr="0027789B">
        <w:t>If the Financial Consolidation Requirement is applicable, then:</w:t>
      </w:r>
    </w:p>
    <w:p w14:paraId="16F976EF" w14:textId="77777777" w:rsidR="001B1A90" w:rsidRPr="0027789B" w:rsidRDefault="001B1A90" w:rsidP="001B1A90">
      <w:pPr>
        <w:pStyle w:val="Heading4"/>
      </w:pPr>
      <w:r w:rsidRPr="0027789B">
        <w:t>Within 20 days following the end of each calendar year (for each year that such treatment is required), Seller shall deliver to SCE unaudited financial statements and related footnotes of Seller as of the end of the year</w:t>
      </w:r>
      <w:r>
        <w:t xml:space="preserve">. </w:t>
      </w:r>
      <w:r w:rsidRPr="0027789B">
        <w:t>It is permissible for Seller to use accruals and prior months’ estimates with true-up to actual activity, in subsequent periods, when preparing the unaudited financial statements</w:t>
      </w:r>
      <w:r>
        <w:t xml:space="preserve">. </w:t>
      </w:r>
      <w:r w:rsidRPr="0027789B">
        <w:t>The annual financial statements should include quarter-to-date and yearly information</w:t>
      </w:r>
      <w:r>
        <w:t xml:space="preserve">. </w:t>
      </w:r>
      <w:r w:rsidRPr="0027789B">
        <w:t>SCE shall provide to Seller a checklist before the end of each year listing the items which SCE believes are material to SCE and required for this purpose, and Seller shall provide the information on the checklist, subject to the availability of data from Seller’s records</w:t>
      </w:r>
      <w:r>
        <w:t xml:space="preserve">. </w:t>
      </w:r>
      <w:r w:rsidRPr="0027789B">
        <w:t>It is permissible for Seller to use accruals and prior months’ estimates with true-up to actual activity, in subsequent periods, when preparing the information on the checklist</w:t>
      </w:r>
      <w:r>
        <w:t xml:space="preserve">. </w:t>
      </w:r>
      <w:r w:rsidRPr="0027789B">
        <w:t>If audited financial statements are prepared for Seller for the year, Seller shall provide such statements to SCE within five Business Days after those statements are issued.</w:t>
      </w:r>
    </w:p>
    <w:p w14:paraId="7B5459C1" w14:textId="77777777" w:rsidR="001B1A90" w:rsidRPr="0027789B" w:rsidRDefault="001B1A90" w:rsidP="001B1A90">
      <w:pPr>
        <w:pStyle w:val="Heading4"/>
      </w:pPr>
      <w:r w:rsidRPr="0027789B">
        <w:t xml:space="preserve">Within 15 days following the end of each fiscal quarter (for each quarter that such treatment is required), Seller shall deliver to SCE </w:t>
      </w:r>
      <w:r w:rsidRPr="0027789B">
        <w:lastRenderedPageBreak/>
        <w:t>unaudited financial statements and related footnotes of Seller as of the end of the quarterly period</w:t>
      </w:r>
      <w:r>
        <w:t xml:space="preserve">. </w:t>
      </w:r>
      <w:r w:rsidRPr="0027789B">
        <w:t>The financial statements should include quarter-to-date and year-to-date information</w:t>
      </w:r>
      <w:r>
        <w:t xml:space="preserve">. </w:t>
      </w:r>
      <w:r w:rsidRPr="0027789B">
        <w:t>SCE shall provide to Seller a checklist before the end of each quarter listing items which SCE believes are material to SCE and required for this purpose, and Seller shall provide the information on the checklist, subject to the availability of data from Seller’s records</w:t>
      </w:r>
      <w:r>
        <w:t xml:space="preserve">. </w:t>
      </w:r>
      <w:r w:rsidRPr="0027789B">
        <w:t>It is permissible for Seller to use accruals and prior months’ estimates with true-up to actual activity, in subsequent periods, when preparing the unaudited financial statements.</w:t>
      </w:r>
    </w:p>
    <w:p w14:paraId="6E044463" w14:textId="77777777" w:rsidR="001B1A90" w:rsidRPr="0027789B" w:rsidRDefault="001B1A90" w:rsidP="001B1A90">
      <w:pPr>
        <w:pStyle w:val="Heading4"/>
      </w:pPr>
      <w:r w:rsidRPr="0027789B">
        <w:t>If Seller regularly prepares its financial data in accordance with GAAP or IFRS, the financial information provided to SCE shall be prepared in accordance with such principles</w:t>
      </w:r>
      <w:r>
        <w:t xml:space="preserve">. </w:t>
      </w:r>
      <w:r w:rsidRPr="0027789B">
        <w:t xml:space="preserve">If Seller is not a SEC registrant and does not regularly prepare its financial data in accordance with GAAP or IFRS, the information provided to SCE shall be prepared in a format consistent with Seller’s regularly applied accounting principles, e.g., the format that Seller uses to provide financial data to its auditor. </w:t>
      </w:r>
    </w:p>
    <w:p w14:paraId="34C06CCC" w14:textId="6ACA3F22" w:rsidR="001B1A90" w:rsidRPr="000B3399" w:rsidRDefault="001B1A90" w:rsidP="001B1A90">
      <w:pPr>
        <w:pStyle w:val="Heading3"/>
      </w:pPr>
      <w:r w:rsidRPr="0027789B">
        <w:t xml:space="preserve">If the Financial Consolidation Requirement is applicable, then promptly upon Notice from SCE, Seller shall allow SCE’s independent registered public accounting firm such access to Seller’s records and personnel, as reasonably required so that SCE’s independent </w:t>
      </w:r>
      <w:r w:rsidRPr="009676F1">
        <w:t xml:space="preserve">registered public accounting firm can conduct financial statement audits in </w:t>
      </w:r>
      <w:r w:rsidRPr="000B3399">
        <w:t xml:space="preserve">accordance with the standards of the Public Company Accounting Oversight Board (United States), as well as internal control audits in accordance with Section 404 of the Sarbanes-Oxley Act of 2002, as applicable. All expenses for the </w:t>
      </w:r>
      <w:r w:rsidRPr="000B3399">
        <w:rPr>
          <w:shd w:val="clear" w:color="auto" w:fill="FFFFFF" w:themeFill="background1"/>
        </w:rPr>
        <w:t xml:space="preserve">foregoing work of SCE’s independent registered public accounting firm shall be borne by SCE. </w:t>
      </w:r>
      <w:r w:rsidRPr="000B3399">
        <w:t xml:space="preserve">If SCE’s independent registered public accounting firm during or as a result of the audits permitted in this Section </w:t>
      </w:r>
      <w:r>
        <w:t>14.08</w:t>
      </w:r>
      <w:r w:rsidRPr="000B3399">
        <w:t xml:space="preserve">(c) determines a material weakness or significant deficiency, as defined by GAAP or IFRS, as applicable, exists in Seller’s internal controls over financial reporting, then within 90 days </w:t>
      </w:r>
      <w:r>
        <w:t>after</w:t>
      </w:r>
      <w:r w:rsidRPr="000B3399">
        <w:t xml:space="preserve"> Seller’s receipt of Notice from SCE, Seller shall remediate any such material weakness or significant deficiency; </w:t>
      </w:r>
      <w:r w:rsidRPr="00DB7FE0">
        <w:t>provided</w:t>
      </w:r>
      <w:r w:rsidRPr="000B3399">
        <w:t xml:space="preserve">, </w:t>
      </w:r>
      <w:r w:rsidRPr="00DB7FE0">
        <w:t>however</w:t>
      </w:r>
      <w:r w:rsidRPr="000B3399">
        <w:t>,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551A9810" w14:textId="70820CD6" w:rsidR="001B1A90" w:rsidRPr="009676F1" w:rsidRDefault="001B1A90" w:rsidP="001B1A90">
      <w:pPr>
        <w:pStyle w:val="Heading3"/>
      </w:pPr>
      <w:r w:rsidRPr="000B3399">
        <w:t xml:space="preserve">SCE shall treat Seller’s financial statements and other financial information provided under the terms of this Section </w:t>
      </w:r>
      <w:r>
        <w:t>14.08</w:t>
      </w:r>
      <w:r w:rsidRPr="000B3399">
        <w:t xml:space="preserve"> in strict</w:t>
      </w:r>
      <w:r w:rsidRPr="009676F1">
        <w:t xml:space="preserve"> confidence and, accordingly:</w:t>
      </w:r>
    </w:p>
    <w:p w14:paraId="7848825D" w14:textId="77777777" w:rsidR="001B1A90" w:rsidRPr="009676F1" w:rsidRDefault="001B1A90" w:rsidP="001B1A90">
      <w:pPr>
        <w:pStyle w:val="Heading4"/>
      </w:pPr>
      <w:r w:rsidRPr="009676F1">
        <w:lastRenderedPageBreak/>
        <w:t xml:space="preserve">Shall utilize such Seller financial information </w:t>
      </w:r>
      <w:r w:rsidRPr="009676F1">
        <w:rPr>
          <w:i/>
        </w:rPr>
        <w:t xml:space="preserve">only </w:t>
      </w:r>
      <w:r w:rsidRPr="009676F1">
        <w:t>for purposes of preparing, reviewing or certifying SCE’s or any SCE parent company financial statements, for making regulatory, tax or other filings required by law in which SCE is required to demonstrate or certify its or any parent company’s financial condition or to obtain Credit Ratings;</w:t>
      </w:r>
    </w:p>
    <w:p w14:paraId="10BE20D9" w14:textId="77777777" w:rsidR="001B1A90" w:rsidRPr="0027789B" w:rsidRDefault="001B1A90" w:rsidP="001B1A90">
      <w:pPr>
        <w:pStyle w:val="Heading4"/>
      </w:pPr>
      <w:r w:rsidRPr="009676F1">
        <w:t>Shall make such Seller financial information available only to its officers, directors, employees or auditors who are responsible for preparing, reviewing or certifying SCE’s or</w:t>
      </w:r>
      <w:r w:rsidRPr="0027789B">
        <w:t xml:space="preserve"> any SCE parent company financial statements, to the SEC and the Public Company Accounting Oversight Board (United States) in connection with any oversight of SCE’s or any SCE parent company financial statement and to those Persons who are entitled to receive Confidential Information as identified in </w:t>
      </w:r>
      <w:r>
        <w:t>Section 14.05 (Confidentiality)</w:t>
      </w:r>
      <w:r w:rsidRPr="005E0C5F">
        <w:t>; and</w:t>
      </w:r>
    </w:p>
    <w:p w14:paraId="68FEF06F" w14:textId="5C6B6446" w:rsidR="001B1A90" w:rsidRPr="009676F1" w:rsidRDefault="001B1A90" w:rsidP="001B1A90">
      <w:pPr>
        <w:pStyle w:val="Heading4"/>
      </w:pPr>
      <w:r w:rsidRPr="0027789B">
        <w:t xml:space="preserve">SCE shall ensure that its internal auditors </w:t>
      </w:r>
      <w:r w:rsidRPr="009676F1">
        <w:t xml:space="preserve">and independent registered public accounting firm (1) </w:t>
      </w:r>
      <w:r w:rsidRPr="000B3399">
        <w:t xml:space="preserve">treat as confidential any information disclosed to them by SCE pursuant to this Section </w:t>
      </w:r>
      <w:r>
        <w:t>14.08</w:t>
      </w:r>
      <w:r w:rsidRPr="000B3399">
        <w:t xml:space="preserve">, (2) use such information solely for purposes of conducting the audits described in this Section </w:t>
      </w:r>
      <w:r>
        <w:t>14.08</w:t>
      </w:r>
      <w:r w:rsidRPr="000B3399">
        <w:t>, and (3) disclose</w:t>
      </w:r>
      <w:r w:rsidRPr="009676F1">
        <w:t xml:space="preserve"> any information received only to personnel responsible for conducting the audits. </w:t>
      </w:r>
    </w:p>
    <w:p w14:paraId="175AB6BB" w14:textId="77777777" w:rsidR="001B1A90" w:rsidRPr="009676F1" w:rsidRDefault="001B1A90" w:rsidP="001B1A90">
      <w:pPr>
        <w:pStyle w:val="Heading3"/>
      </w:pPr>
      <w:r w:rsidRPr="009676F1">
        <w:t xml:space="preserve">If the Financial Consolidation Requirement is applicable, then, within two (2) Business Days following the occurrence of any event affecting Seller which Seller understands, during the Term, would require SCE to disclose such event in a Form 8-K filing with the SEC, Seller shall provide to SCE a Notice describing such event in sufficient detail to permit SCE to make a Form 8-K filing. </w:t>
      </w:r>
    </w:p>
    <w:p w14:paraId="0E20E6B3" w14:textId="29E4D7A4" w:rsidR="001B1A90" w:rsidRPr="0027789B" w:rsidRDefault="001B1A90" w:rsidP="001B1A90">
      <w:pPr>
        <w:pStyle w:val="Heading3"/>
      </w:pPr>
      <w:r w:rsidRPr="000B3399">
        <w:t xml:space="preserve">If, after consultation and review, the Parties do not agree on issues raised by Section </w:t>
      </w:r>
      <w:r>
        <w:t>14.08</w:t>
      </w:r>
      <w:r w:rsidRPr="000B3399">
        <w:t>(a),</w:t>
      </w:r>
      <w:r w:rsidRPr="009676F1">
        <w:t xml:space="preserve"> then such dispute shall be subject to review by another independent audit firm not associated with either Party’s respective independent registered public accounting firm, reasonably acceptable to both Parties. This third independent audit firm will render its recommendation on whether consolidation by SCE is required. Based on this</w:t>
      </w:r>
      <w:r w:rsidRPr="0027789B">
        <w:t xml:space="preserve"> recommendation, Seller and SCE shall mutually agree on how to </w:t>
      </w:r>
      <w:r w:rsidRPr="005E0C5F">
        <w:t xml:space="preserve">resolve the dispute. If Seller fails to provide the data consistent with the mutually agreed upon resolution, SCE may declare an Event of Default pursuant to </w:t>
      </w:r>
      <w:r w:rsidRPr="00541852">
        <w:t xml:space="preserve">Section </w:t>
      </w:r>
      <w:r>
        <w:t>10</w:t>
      </w:r>
      <w:r w:rsidRPr="00541852">
        <w:t>.01</w:t>
      </w:r>
      <w:r w:rsidRPr="005E0C5F">
        <w:t>. If the independent audit firm associated with SCE still determines, after</w:t>
      </w:r>
      <w:r w:rsidRPr="0027789B">
        <w:t xml:space="preserve"> review by the third party independent audit firm, that SCE must consolidate, then Seller shall provide the financial information necessary to permit consolidation to SCE; </w:t>
      </w:r>
      <w:r w:rsidRPr="00DB7FE0">
        <w:t>provided</w:t>
      </w:r>
      <w:r w:rsidRPr="0027789B">
        <w:t xml:space="preserve">, </w:t>
      </w:r>
      <w:r w:rsidRPr="00DB7FE0">
        <w:t>however</w:t>
      </w:r>
      <w:r w:rsidRPr="0027789B">
        <w:t xml:space="preserve">, that in addition to the </w:t>
      </w:r>
      <w:r w:rsidRPr="009676F1">
        <w:t xml:space="preserve">protections in </w:t>
      </w:r>
      <w:r w:rsidRPr="000B3399">
        <w:t xml:space="preserve">Section </w:t>
      </w:r>
      <w:r>
        <w:t>14.08</w:t>
      </w:r>
      <w:r w:rsidRPr="000B3399">
        <w:t xml:space="preserve">(d), such information shall be password protected and available only to </w:t>
      </w:r>
      <w:r w:rsidRPr="000B3399">
        <w:lastRenderedPageBreak/>
        <w:t>those</w:t>
      </w:r>
      <w:r w:rsidRPr="0027789B">
        <w:t xml:space="preserve"> specific officers, directors, employees and auditors who are preparing and certifying the consolidated financial statements and not for any other purpose.</w:t>
      </w:r>
    </w:p>
    <w:p w14:paraId="5CC8C869" w14:textId="77777777" w:rsidR="00C56E4F" w:rsidRPr="00FF157D" w:rsidRDefault="008E65AA" w:rsidP="00FF157D">
      <w:pPr>
        <w:pStyle w:val="Heading2"/>
        <w:keepNext w:val="0"/>
        <w:keepLines w:val="0"/>
        <w:rPr>
          <w:u w:val="none"/>
        </w:rPr>
      </w:pPr>
      <w:bookmarkStart w:id="596" w:name="_Toc510788321"/>
      <w:r w:rsidRPr="0027789B">
        <w:t>Mobile Sierra</w:t>
      </w:r>
      <w:r w:rsidRPr="00FF157D">
        <w:rPr>
          <w:u w:val="none"/>
        </w:rPr>
        <w:t>.</w:t>
      </w:r>
      <w:bookmarkEnd w:id="565"/>
      <w:bookmarkEnd w:id="566"/>
      <w:bookmarkEnd w:id="567"/>
      <w:bookmarkEnd w:id="596"/>
    </w:p>
    <w:p w14:paraId="1DBD54FD" w14:textId="5EFCDC57" w:rsidR="00A01DF3" w:rsidRPr="0027789B" w:rsidRDefault="008E65AA" w:rsidP="00FF157D">
      <w:pPr>
        <w:pStyle w:val="Heading2Text"/>
      </w:pPr>
      <w:r w:rsidRPr="0027789B">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r w:rsidRPr="0027789B">
        <w:rPr>
          <w:u w:val="single"/>
        </w:rPr>
        <w:t>sua sponte</w:t>
      </w:r>
      <w:r w:rsidRPr="0027789B">
        <w:t xml:space="preserve">, shall be the ‘public interest’ standard of review set forth in </w:t>
      </w:r>
      <w:r w:rsidRPr="0027789B">
        <w:rPr>
          <w:i/>
        </w:rPr>
        <w:t>United Gas Pipe Line Co. v. Mobile Gas Service Corp</w:t>
      </w:r>
      <w:r w:rsidRPr="0027789B">
        <w:t xml:space="preserve">., 350 U.S. 332 (1956) and </w:t>
      </w:r>
      <w:r w:rsidRPr="0027789B">
        <w:rPr>
          <w:i/>
        </w:rPr>
        <w:t>Federal Power Commission v. Sierra Pacific Power Co</w:t>
      </w:r>
      <w:r w:rsidRPr="0027789B">
        <w:t xml:space="preserve">., 350 U.S. 348 (1956), and clarified by </w:t>
      </w:r>
      <w:r w:rsidRPr="0027789B">
        <w:rPr>
          <w:i/>
        </w:rPr>
        <w:t>Morgan Stanley Capital Group, Inc. v. Public Util. Dist. No. 1 of Snohomish</w:t>
      </w:r>
      <w:r w:rsidR="00FA501B" w:rsidRPr="0027789B">
        <w:t>,</w:t>
      </w:r>
      <w:r w:rsidRPr="0027789B">
        <w:t xml:space="preserve"> 554 U.S. 527 (2008</w:t>
      </w:r>
      <w:r w:rsidR="00C8421F" w:rsidRPr="0027789B">
        <w:t>)</w:t>
      </w:r>
      <w:r w:rsidR="00C8421F">
        <w:t xml:space="preserve">; </w:t>
      </w:r>
      <w:r w:rsidR="00C8421F">
        <w:rPr>
          <w:i/>
          <w:iCs/>
        </w:rPr>
        <w:t>NRG Power Marketing LLC v. Maine Public Utility Commission</w:t>
      </w:r>
      <w:r w:rsidR="00C8421F">
        <w:t>, 558 U.S. 527 (2010</w:t>
      </w:r>
      <w:r w:rsidRPr="0027789B">
        <w:t>.</w:t>
      </w:r>
    </w:p>
    <w:p w14:paraId="03723685" w14:textId="77777777" w:rsidR="00A01DF3" w:rsidRPr="009676F1" w:rsidRDefault="008E65AA" w:rsidP="00FF157D">
      <w:pPr>
        <w:pStyle w:val="Heading2Text"/>
      </w:pPr>
      <w:r w:rsidRPr="0027789B">
        <w:t xml:space="preserve">Notwithstanding any provision of </w:t>
      </w:r>
      <w:r w:rsidR="0092688C" w:rsidRPr="0027789B">
        <w:t xml:space="preserve">this </w:t>
      </w:r>
      <w:r w:rsidRPr="0027789B">
        <w:t xml:space="preserve">Agreement, and absent the prior written agreement </w:t>
      </w:r>
      <w:r w:rsidRPr="00CF77B9">
        <w:t>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w:t>
      </w:r>
      <w:r w:rsidRPr="009676F1">
        <w:t xml:space="preserve"> this Agreement specifying any rate or other material economic terms and conditions agreed to by the Parties.</w:t>
      </w:r>
    </w:p>
    <w:p w14:paraId="4FA2402B" w14:textId="77777777" w:rsidR="00C56E4F" w:rsidRPr="009676F1" w:rsidRDefault="00946AC9" w:rsidP="00FF157D">
      <w:pPr>
        <w:pStyle w:val="Heading2"/>
        <w:keepNext w:val="0"/>
        <w:keepLines w:val="0"/>
        <w:rPr>
          <w:u w:val="none"/>
        </w:rPr>
      </w:pPr>
      <w:bookmarkStart w:id="597" w:name="_Toc182103629"/>
      <w:bookmarkStart w:id="598" w:name="_Toc424138826"/>
      <w:bookmarkStart w:id="599" w:name="_Toc460249279"/>
      <w:bookmarkStart w:id="600" w:name="_Toc467577630"/>
      <w:bookmarkStart w:id="601" w:name="_Toc470014890"/>
      <w:bookmarkStart w:id="602" w:name="_Toc470856081"/>
      <w:bookmarkStart w:id="603" w:name="_Toc510788322"/>
      <w:r w:rsidRPr="009676F1">
        <w:t>Seller Ownership and Control of Project</w:t>
      </w:r>
      <w:r w:rsidRPr="009676F1">
        <w:rPr>
          <w:u w:val="none"/>
        </w:rPr>
        <w:t>.</w:t>
      </w:r>
      <w:bookmarkEnd w:id="597"/>
      <w:bookmarkEnd w:id="598"/>
      <w:bookmarkEnd w:id="599"/>
      <w:bookmarkEnd w:id="600"/>
      <w:bookmarkEnd w:id="601"/>
      <w:bookmarkEnd w:id="602"/>
      <w:bookmarkEnd w:id="603"/>
    </w:p>
    <w:p w14:paraId="1E847FC6" w14:textId="77777777" w:rsidR="00946AC9" w:rsidRPr="009676F1" w:rsidRDefault="00946AC9" w:rsidP="00FF157D">
      <w:pPr>
        <w:pStyle w:val="Heading2Text"/>
      </w:pPr>
      <w:r w:rsidRPr="009676F1">
        <w:t xml:space="preserve">Seller agrees, that, in accordance with FERC Order No. 697, upon request of SCE, Seller shall submit a letter of concurrence in support of any affirmative statement by SCE that the contractual arrangement set forth in this Agreement does not transfer “ownership or control of generation capacity” from Seller to SCE as the term “ownership or control of generation capacity” is used in 18 </w:t>
      </w:r>
      <w:r w:rsidRPr="000B3399">
        <w:t>CFR Section 35.</w:t>
      </w:r>
      <w:r w:rsidRPr="009676F1">
        <w:t>42</w:t>
      </w:r>
      <w:r w:rsidR="001D4101" w:rsidRPr="009676F1">
        <w:t xml:space="preserve">. </w:t>
      </w:r>
      <w:r w:rsidRPr="009676F1">
        <w:t>Seller also agrees that it will not, in filings, if any, made subject to FERC Order Nos. 652 and 697, claim that the contractual arrangement set forth in this Agreement conveys ownership or control of generation capacity from Seller to SCE.</w:t>
      </w:r>
    </w:p>
    <w:p w14:paraId="401F6DA0" w14:textId="019B5335" w:rsidR="00D509A2" w:rsidRPr="00FF157D" w:rsidRDefault="00D509A2" w:rsidP="00D509A2">
      <w:pPr>
        <w:pStyle w:val="Heading2"/>
        <w:keepNext w:val="0"/>
        <w:keepLines w:val="0"/>
        <w:rPr>
          <w:u w:val="none"/>
        </w:rPr>
      </w:pPr>
      <w:bookmarkStart w:id="604" w:name="_Toc467577617"/>
      <w:bookmarkStart w:id="605" w:name="_Toc470014877"/>
      <w:bookmarkStart w:id="606" w:name="_Toc470856068"/>
      <w:bookmarkStart w:id="607" w:name="_Toc510788323"/>
      <w:r w:rsidRPr="0027789B">
        <w:t xml:space="preserve">NERC Standards </w:t>
      </w:r>
      <w:r>
        <w:t>Non-</w:t>
      </w:r>
      <w:r w:rsidRPr="0027789B">
        <w:t>Compliance Penalties</w:t>
      </w:r>
      <w:r w:rsidRPr="00FF157D">
        <w:rPr>
          <w:u w:val="none"/>
        </w:rPr>
        <w:t>.</w:t>
      </w:r>
      <w:bookmarkEnd w:id="604"/>
      <w:bookmarkEnd w:id="605"/>
      <w:bookmarkEnd w:id="606"/>
      <w:bookmarkEnd w:id="607"/>
    </w:p>
    <w:p w14:paraId="1C4BA93B" w14:textId="4954C906" w:rsidR="006B3D85" w:rsidRDefault="00D509A2" w:rsidP="00D509A2">
      <w:pPr>
        <w:pStyle w:val="Heading2Text"/>
      </w:pPr>
      <w:r w:rsidRPr="0027789B">
        <w:t xml:space="preserve">During the Delivery Period, Seller shall be </w:t>
      </w:r>
    </w:p>
    <w:p w14:paraId="41C82796" w14:textId="3844D527" w:rsidR="000C4B07" w:rsidRDefault="00D509A2" w:rsidP="00DB7FE0">
      <w:pPr>
        <w:pStyle w:val="Heading3"/>
      </w:pPr>
      <w:r w:rsidRPr="0027789B">
        <w:t xml:space="preserve">responsible for complying with any NERC Reliability Standards applicable to the Storage Units, including registration with NERC as the Generator Operator </w:t>
      </w:r>
      <w:r w:rsidRPr="0027789B">
        <w:lastRenderedPageBreak/>
        <w:t>for the Storage Units or other applicable category under the NERC Reliability Standards and implementation of all applicable</w:t>
      </w:r>
      <w:bookmarkStart w:id="608" w:name="_DV_X66"/>
      <w:bookmarkStart w:id="609" w:name="_DV_C63"/>
      <w:r w:rsidRPr="0027789B">
        <w:t xml:space="preserve"> processes and procedures required by FERC, NERC, WECC</w:t>
      </w:r>
      <w:bookmarkStart w:id="610" w:name="_DV_C64"/>
      <w:bookmarkEnd w:id="608"/>
      <w:bookmarkEnd w:id="609"/>
      <w:r w:rsidRPr="0027789B">
        <w:t xml:space="preserve">, the CAISO or other Governmental Authority for compliance with the NERC Reliability Standards; and </w:t>
      </w:r>
    </w:p>
    <w:p w14:paraId="01D501E1" w14:textId="432FC61C" w:rsidR="006B3D85" w:rsidRDefault="00D509A2" w:rsidP="00DB7FE0">
      <w:pPr>
        <w:pStyle w:val="Heading3"/>
      </w:pPr>
      <w:r w:rsidRPr="0027789B">
        <w:t xml:space="preserve">liable for </w:t>
      </w:r>
      <w:r w:rsidRPr="00051A6C">
        <w:t>NERC Standards Non-Compliance Penalties</w:t>
      </w:r>
      <w:r>
        <w:t xml:space="preserve">. </w:t>
      </w:r>
    </w:p>
    <w:p w14:paraId="10BD689F" w14:textId="36DCA097" w:rsidR="00D509A2" w:rsidRPr="0027789B" w:rsidRDefault="00D509A2" w:rsidP="00D509A2">
      <w:pPr>
        <w:pStyle w:val="Heading2Text"/>
      </w:pPr>
      <w:r w:rsidRPr="0027789B">
        <w:t>However, if Seller learns that FERC, NERC (through WECC or otherwise) or other Governmental Authority is considering or intends to assess Seller with a penalty that Seller believes is attributable to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potential assessment, Seller shall provide SCE with sufficient notice to allow SCE to take part in administrative processes, discussions or settlement negotiations with FERC, NERC, WECC, or other Governmental Authority arising from or related to the alleged violation or possible penalty</w:t>
      </w:r>
      <w:r>
        <w:t xml:space="preserve">. </w:t>
      </w:r>
      <w:r w:rsidRPr="0027789B">
        <w:t>If the penalty is nonetheless assessed in spite of SCE’s participation in the processes, discussions or settlement negotiations, or SCE waives its right to take part in the processes, discussion or settlement negotiations with FERC, NERC, WECC, or other Governmental Authority, SCE shall reimburse Seller for the penalty to the extent that (</w:t>
      </w:r>
      <w:r w:rsidR="006B3D85">
        <w:t>i</w:t>
      </w:r>
      <w:r w:rsidRPr="0027789B">
        <w:t>) it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violation; and (</w:t>
      </w:r>
      <w:r w:rsidR="006B3D85">
        <w:t>ii</w:t>
      </w:r>
      <w:r w:rsidRPr="0027789B">
        <w:t>) Seller can establish to SCE’s reasonable satisfaction that the penalty was actually assessed against Seller by FERC, NERC (through WECC or otherwise) or other Governmental Authority and paid by Seller to the applicable entity</w:t>
      </w:r>
      <w:r>
        <w:t xml:space="preserve">. </w:t>
      </w:r>
      <w:r w:rsidRPr="0027789B">
        <w:t>If SCE took part in and agreed to the terms of settlement, SCE shall also reimburse Seller for any payment made by Seller in settlement of a claim of violation by or on behalf of FERC, NERC (through WECC or otherwise) or other Governmental Authority, to the extent that (x) the claim being settled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claim; and (y) Seller can establish to SCE’s reasonable satisfaction that Seller actually made the payment to the applicable entity under the settlement.</w:t>
      </w:r>
      <w:bookmarkEnd w:id="610"/>
    </w:p>
    <w:p w14:paraId="708768D6" w14:textId="77777777" w:rsidR="00D509A2" w:rsidRPr="00D509A2" w:rsidRDefault="00D509A2" w:rsidP="00D509A2"/>
    <w:p w14:paraId="68206A7D" w14:textId="77777777" w:rsidR="00A01DF3" w:rsidRPr="009676F1" w:rsidRDefault="00A01DF3" w:rsidP="00FF157D">
      <w:pPr>
        <w:pStyle w:val="Heading2Text"/>
        <w:ind w:left="720"/>
      </w:pPr>
    </w:p>
    <w:p w14:paraId="3EA231B3" w14:textId="77777777" w:rsidR="00A01DF3" w:rsidRPr="0027789B" w:rsidRDefault="008E65AA" w:rsidP="00FF157D">
      <w:pPr>
        <w:pStyle w:val="Heading2Text"/>
        <w:ind w:left="720"/>
        <w:jc w:val="center"/>
      </w:pPr>
      <w:r w:rsidRPr="009676F1">
        <w:t>[Remainder of</w:t>
      </w:r>
      <w:r w:rsidR="00582503" w:rsidRPr="009676F1">
        <w:t xml:space="preserve"> this</w:t>
      </w:r>
      <w:r w:rsidRPr="009676F1">
        <w:t xml:space="preserve"> page intentionally left blank]</w:t>
      </w:r>
    </w:p>
    <w:p w14:paraId="6F597644" w14:textId="77777777" w:rsidR="00A01DF3" w:rsidRPr="0027789B" w:rsidRDefault="00A01DF3" w:rsidP="00FF157D">
      <w:pPr>
        <w:pStyle w:val="Heading2Text"/>
        <w:ind w:left="720"/>
      </w:pPr>
    </w:p>
    <w:p w14:paraId="561B1187" w14:textId="77777777" w:rsidR="00A01DF3" w:rsidRPr="0027789B" w:rsidRDefault="008E65AA" w:rsidP="00FF157D">
      <w:pPr>
        <w:rPr>
          <w:szCs w:val="20"/>
        </w:rPr>
      </w:pPr>
      <w:r w:rsidRPr="0027789B">
        <w:lastRenderedPageBreak/>
        <w:br w:type="page"/>
      </w:r>
    </w:p>
    <w:p w14:paraId="677C4793" w14:textId="77777777" w:rsidR="00EC7D19" w:rsidRPr="00EC7D19" w:rsidRDefault="00EC7D19" w:rsidP="00EC7D19">
      <w:pPr>
        <w:rPr>
          <w:rFonts w:eastAsia="Fd27761-Identity-H"/>
          <w:kern w:val="18"/>
          <w:szCs w:val="20"/>
        </w:rPr>
      </w:pPr>
      <w:r w:rsidRPr="00EC7D19">
        <w:rPr>
          <w:rFonts w:eastAsia="Fd27761-Identity-H"/>
          <w:kern w:val="18"/>
          <w:szCs w:val="20"/>
        </w:rPr>
        <w:lastRenderedPageBreak/>
        <w:t>IN WITNESS WHEREOF, the Parties have read this Agreement, understand it, and agree to be bound by its terms as of the Effective Date.</w:t>
      </w:r>
    </w:p>
    <w:p w14:paraId="25D2C2F2" w14:textId="77777777" w:rsidR="00EC7D19" w:rsidRPr="00EC7D19" w:rsidRDefault="00EC7D19" w:rsidP="00EC7D19">
      <w:pPr>
        <w:rPr>
          <w:kern w:val="18"/>
          <w:szCs w:val="20"/>
        </w:rPr>
      </w:pPr>
    </w:p>
    <w:tbl>
      <w:tblPr>
        <w:tblW w:w="0" w:type="auto"/>
        <w:tblInd w:w="108" w:type="dxa"/>
        <w:tblLook w:val="01E0" w:firstRow="1" w:lastRow="1" w:firstColumn="1" w:lastColumn="1" w:noHBand="0" w:noVBand="0"/>
      </w:tblPr>
      <w:tblGrid>
        <w:gridCol w:w="4320"/>
        <w:gridCol w:w="360"/>
        <w:gridCol w:w="4320"/>
      </w:tblGrid>
      <w:tr w:rsidR="00EC7D19" w:rsidRPr="00EC7D19" w14:paraId="1B2368D8" w14:textId="77777777" w:rsidTr="006342D0">
        <w:tc>
          <w:tcPr>
            <w:tcW w:w="4320" w:type="dxa"/>
          </w:tcPr>
          <w:p w14:paraId="218D9103" w14:textId="77777777" w:rsidR="00EC7D19" w:rsidRPr="00EC7D19" w:rsidRDefault="00EC7D19" w:rsidP="00EC7D19">
            <w:pPr>
              <w:spacing w:before="-1" w:beforeAutospacing="1" w:after="-1" w:afterAutospacing="1"/>
              <w:rPr>
                <w:b/>
                <w:bCs/>
                <w:color w:val="FF0000"/>
                <w:szCs w:val="20"/>
              </w:rPr>
            </w:pPr>
            <w:r w:rsidRPr="00EC7D19">
              <w:rPr>
                <w:b/>
                <w:i/>
                <w:color w:val="0000CC"/>
                <w:szCs w:val="20"/>
              </w:rPr>
              <w:t>[SELLER’S NAME]</w:t>
            </w:r>
            <w:r w:rsidRPr="00EC7D19">
              <w:rPr>
                <w:b/>
                <w:szCs w:val="20"/>
              </w:rPr>
              <w:t>,</w:t>
            </w:r>
          </w:p>
          <w:p w14:paraId="4F00E46D" w14:textId="77777777" w:rsidR="00EC7D19" w:rsidRPr="00EC7D19" w:rsidRDefault="00EC7D19" w:rsidP="00EC7D19">
            <w:pPr>
              <w:spacing w:before="-1" w:beforeAutospacing="1" w:afterAutospacing="1"/>
              <w:rPr>
                <w:szCs w:val="20"/>
              </w:rPr>
            </w:pPr>
            <w:r w:rsidRPr="00EC7D19">
              <w:rPr>
                <w:i/>
                <w:szCs w:val="20"/>
              </w:rPr>
              <w:t xml:space="preserve">a </w:t>
            </w:r>
            <w:r w:rsidRPr="00EC7D19">
              <w:rPr>
                <w:i/>
                <w:color w:val="0000CC"/>
                <w:szCs w:val="20"/>
              </w:rPr>
              <w:t>[Seller’s jurisdiction of organization and type of organization]</w:t>
            </w:r>
            <w:r w:rsidRPr="00EC7D19">
              <w:rPr>
                <w:szCs w:val="20"/>
              </w:rPr>
              <w:t>.</w:t>
            </w:r>
          </w:p>
        </w:tc>
        <w:tc>
          <w:tcPr>
            <w:tcW w:w="360" w:type="dxa"/>
          </w:tcPr>
          <w:p w14:paraId="7047F63F" w14:textId="77777777" w:rsidR="00EC7D19" w:rsidRPr="00EC7D19" w:rsidRDefault="00EC7D19" w:rsidP="00EC7D19">
            <w:pPr>
              <w:spacing w:before="-1" w:beforeAutospacing="1" w:after="-1" w:afterAutospacing="1"/>
              <w:rPr>
                <w:szCs w:val="20"/>
              </w:rPr>
            </w:pPr>
          </w:p>
        </w:tc>
        <w:tc>
          <w:tcPr>
            <w:tcW w:w="4320" w:type="dxa"/>
          </w:tcPr>
          <w:p w14:paraId="13BEC820" w14:textId="77777777" w:rsidR="00EC7D19" w:rsidRPr="00EC7D19" w:rsidRDefault="00EC7D19" w:rsidP="00EC7D19">
            <w:pPr>
              <w:spacing w:before="-1" w:beforeAutospacing="1" w:after="-1" w:afterAutospacing="1"/>
              <w:rPr>
                <w:b/>
                <w:bCs/>
                <w:szCs w:val="20"/>
              </w:rPr>
            </w:pPr>
            <w:r w:rsidRPr="00EC7D19">
              <w:rPr>
                <w:b/>
                <w:bCs/>
                <w:szCs w:val="20"/>
              </w:rPr>
              <w:t>SOUTHERN CALIFORNIA EDISON COMPANY,</w:t>
            </w:r>
          </w:p>
          <w:p w14:paraId="19102335" w14:textId="77777777" w:rsidR="00EC7D19" w:rsidRPr="00EC7D19" w:rsidRDefault="00EC7D19" w:rsidP="00EC7D19">
            <w:pPr>
              <w:spacing w:before="-1" w:beforeAutospacing="1" w:afterAutospacing="1"/>
              <w:rPr>
                <w:szCs w:val="20"/>
              </w:rPr>
            </w:pPr>
            <w:r w:rsidRPr="00EC7D19">
              <w:rPr>
                <w:szCs w:val="20"/>
              </w:rPr>
              <w:t>a California corporation.</w:t>
            </w:r>
          </w:p>
        </w:tc>
      </w:tr>
      <w:tr w:rsidR="00EC7D19" w:rsidRPr="00EC7D19" w14:paraId="7E58439B" w14:textId="77777777" w:rsidTr="006342D0">
        <w:tc>
          <w:tcPr>
            <w:tcW w:w="4320" w:type="dxa"/>
          </w:tcPr>
          <w:p w14:paraId="3879EFF9" w14:textId="77777777" w:rsidR="00EC7D19" w:rsidRPr="00EC7D19" w:rsidRDefault="00EC7D19" w:rsidP="00D509A2">
            <w:pPr>
              <w:spacing w:before="100" w:beforeAutospacing="1" w:after="100" w:afterAutospacing="1"/>
              <w:rPr>
                <w:szCs w:val="20"/>
              </w:rPr>
            </w:pPr>
            <w:r w:rsidRPr="00EC7D19">
              <w:rPr>
                <w:szCs w:val="20"/>
              </w:rPr>
              <w:t>By:</w:t>
            </w:r>
          </w:p>
          <w:p w14:paraId="38F80491" w14:textId="77777777" w:rsidR="00EC7D19" w:rsidRPr="00EC7D19" w:rsidRDefault="00EC7D19" w:rsidP="00EC7D19">
            <w:pPr>
              <w:spacing w:before="-1" w:beforeAutospacing="1" w:after="-1" w:afterAutospacing="1"/>
              <w:rPr>
                <w:szCs w:val="20"/>
              </w:rPr>
            </w:pPr>
            <w:r w:rsidRPr="00EC7D19">
              <w:rPr>
                <w:szCs w:val="20"/>
              </w:rPr>
              <w:t>________________________________</w:t>
            </w:r>
          </w:p>
          <w:p w14:paraId="1DD3F1BD" w14:textId="77777777" w:rsidR="00EC7D19" w:rsidRPr="00EC7D19" w:rsidRDefault="00EC7D19" w:rsidP="00EC7D19">
            <w:pPr>
              <w:spacing w:before="-1" w:beforeAutospacing="1" w:after="-1" w:afterAutospacing="1"/>
              <w:rPr>
                <w:i/>
                <w:color w:val="0000CC"/>
                <w:szCs w:val="20"/>
              </w:rPr>
            </w:pPr>
            <w:r w:rsidRPr="00EC7D19">
              <w:rPr>
                <w:i/>
                <w:color w:val="0000CC"/>
                <w:szCs w:val="20"/>
              </w:rPr>
              <w:t>[Name]</w:t>
            </w:r>
          </w:p>
          <w:p w14:paraId="66EDA8F0" w14:textId="77777777" w:rsidR="00EC7D19" w:rsidRPr="00EC7D19" w:rsidRDefault="00EC7D19" w:rsidP="00EC7D19">
            <w:pPr>
              <w:spacing w:before="-1" w:beforeAutospacing="1" w:afterAutospacing="1"/>
              <w:rPr>
                <w:szCs w:val="20"/>
              </w:rPr>
            </w:pPr>
            <w:r w:rsidRPr="00EC7D19">
              <w:rPr>
                <w:i/>
                <w:color w:val="0000CC"/>
                <w:szCs w:val="20"/>
              </w:rPr>
              <w:t>[Title]</w:t>
            </w:r>
          </w:p>
        </w:tc>
        <w:tc>
          <w:tcPr>
            <w:tcW w:w="360" w:type="dxa"/>
          </w:tcPr>
          <w:p w14:paraId="4676F1C1" w14:textId="77777777" w:rsidR="00EC7D19" w:rsidRPr="00EC7D19" w:rsidRDefault="00EC7D19" w:rsidP="00EC7D19">
            <w:pPr>
              <w:spacing w:before="-1" w:beforeAutospacing="1" w:after="-1" w:afterAutospacing="1"/>
              <w:rPr>
                <w:i/>
                <w:iCs/>
                <w:szCs w:val="20"/>
              </w:rPr>
            </w:pPr>
          </w:p>
        </w:tc>
        <w:tc>
          <w:tcPr>
            <w:tcW w:w="4320" w:type="dxa"/>
          </w:tcPr>
          <w:p w14:paraId="5C254889" w14:textId="77777777" w:rsidR="00EC7D19" w:rsidRPr="00EC7D19" w:rsidRDefault="00EC7D19" w:rsidP="00EC7D19">
            <w:pPr>
              <w:spacing w:before="-1" w:beforeAutospacing="1" w:after="-1" w:afterAutospacing="1"/>
              <w:rPr>
                <w:i/>
                <w:iCs/>
                <w:szCs w:val="20"/>
              </w:rPr>
            </w:pPr>
            <w:r w:rsidRPr="00CA37E4">
              <w:rPr>
                <w:iCs/>
                <w:szCs w:val="20"/>
              </w:rPr>
              <w:t>By</w:t>
            </w:r>
            <w:r w:rsidRPr="00EC7D19">
              <w:rPr>
                <w:i/>
                <w:iCs/>
                <w:szCs w:val="20"/>
              </w:rPr>
              <w:t>:</w:t>
            </w:r>
          </w:p>
          <w:p w14:paraId="1D5C9E4B" w14:textId="77777777" w:rsidR="00EC7D19" w:rsidRPr="00EC7D19" w:rsidRDefault="00EC7D19" w:rsidP="00EC7D19">
            <w:pPr>
              <w:spacing w:before="-1" w:beforeAutospacing="1" w:after="-1" w:afterAutospacing="1"/>
              <w:rPr>
                <w:i/>
                <w:iCs/>
                <w:szCs w:val="20"/>
              </w:rPr>
            </w:pPr>
            <w:r w:rsidRPr="00EC7D19">
              <w:rPr>
                <w:i/>
                <w:iCs/>
                <w:szCs w:val="20"/>
              </w:rPr>
              <w:t>_______________________________</w:t>
            </w:r>
          </w:p>
          <w:p w14:paraId="053153A7" w14:textId="77777777" w:rsidR="00EC7D19" w:rsidRPr="00EC7D19" w:rsidRDefault="00EC7D19" w:rsidP="00EC7D19">
            <w:pPr>
              <w:spacing w:before="-1" w:beforeAutospacing="1" w:after="-1" w:afterAutospacing="1"/>
              <w:rPr>
                <w:i/>
                <w:color w:val="0000CC"/>
                <w:szCs w:val="20"/>
              </w:rPr>
            </w:pPr>
            <w:r w:rsidRPr="00EC7D19">
              <w:rPr>
                <w:i/>
                <w:color w:val="0000CC"/>
                <w:szCs w:val="20"/>
              </w:rPr>
              <w:t>[Name]</w:t>
            </w:r>
          </w:p>
          <w:p w14:paraId="5062EE2E" w14:textId="77777777" w:rsidR="00EC7D19" w:rsidRPr="00EC7D19" w:rsidRDefault="00EC7D19" w:rsidP="00EC7D19">
            <w:pPr>
              <w:spacing w:before="-1" w:beforeAutospacing="1" w:afterAutospacing="1"/>
              <w:rPr>
                <w:i/>
                <w:iCs/>
                <w:szCs w:val="20"/>
              </w:rPr>
            </w:pPr>
            <w:r w:rsidRPr="00EC7D19">
              <w:rPr>
                <w:i/>
                <w:color w:val="0000CC"/>
                <w:szCs w:val="20"/>
              </w:rPr>
              <w:t>[Title]</w:t>
            </w:r>
          </w:p>
        </w:tc>
      </w:tr>
      <w:tr w:rsidR="00EC7D19" w:rsidRPr="00EC7D19" w14:paraId="762B73DE" w14:textId="77777777" w:rsidTr="006342D0">
        <w:tc>
          <w:tcPr>
            <w:tcW w:w="4320" w:type="dxa"/>
          </w:tcPr>
          <w:p w14:paraId="1B269CE7" w14:textId="77777777" w:rsidR="00EC7D19" w:rsidRPr="00EC7D19" w:rsidRDefault="00EC7D19" w:rsidP="00EC7D19">
            <w:pPr>
              <w:spacing w:before="-1" w:beforeAutospacing="1" w:afterAutospacing="1"/>
              <w:rPr>
                <w:szCs w:val="20"/>
              </w:rPr>
            </w:pPr>
            <w:r w:rsidRPr="00EC7D19">
              <w:rPr>
                <w:szCs w:val="20"/>
              </w:rPr>
              <w:t>Date:  ___________________________</w:t>
            </w:r>
          </w:p>
        </w:tc>
        <w:tc>
          <w:tcPr>
            <w:tcW w:w="360" w:type="dxa"/>
          </w:tcPr>
          <w:p w14:paraId="335E0CAE" w14:textId="77777777" w:rsidR="00EC7D19" w:rsidRPr="00EC7D19" w:rsidRDefault="00EC7D19" w:rsidP="00EC7D19">
            <w:pPr>
              <w:spacing w:before="-1" w:beforeAutospacing="1" w:afterAutospacing="1"/>
              <w:rPr>
                <w:szCs w:val="20"/>
              </w:rPr>
            </w:pPr>
          </w:p>
        </w:tc>
        <w:tc>
          <w:tcPr>
            <w:tcW w:w="4320" w:type="dxa"/>
          </w:tcPr>
          <w:p w14:paraId="3A1942FB" w14:textId="77777777" w:rsidR="00EC7D19" w:rsidRPr="00EC7D19" w:rsidRDefault="00EC7D19" w:rsidP="00EC7D19">
            <w:pPr>
              <w:spacing w:before="-1" w:beforeAutospacing="1" w:afterAutospacing="1"/>
              <w:rPr>
                <w:szCs w:val="20"/>
              </w:rPr>
            </w:pPr>
            <w:r w:rsidRPr="00EC7D19">
              <w:rPr>
                <w:szCs w:val="20"/>
              </w:rPr>
              <w:t>Date:  ___________________________</w:t>
            </w:r>
          </w:p>
        </w:tc>
      </w:tr>
    </w:tbl>
    <w:p w14:paraId="7C08FFEF" w14:textId="77777777" w:rsidR="00EC7D19" w:rsidRPr="00EC7D19" w:rsidRDefault="00EC7D19" w:rsidP="00D509A2">
      <w:pPr>
        <w:spacing w:before="100" w:beforeAutospacing="1" w:after="100" w:afterAutospacing="1"/>
        <w:sectPr w:rsidR="00EC7D19" w:rsidRPr="00EC7D19" w:rsidSect="00C81A39">
          <w:headerReference w:type="default" r:id="rId23"/>
          <w:footerReference w:type="default" r:id="rId24"/>
          <w:pgSz w:w="12240" w:h="15840" w:code="1"/>
          <w:pgMar w:top="1440" w:right="1440" w:bottom="1440" w:left="1440" w:header="720" w:footer="720" w:gutter="0"/>
          <w:pgNumType w:start="1"/>
          <w:cols w:space="720"/>
          <w:docGrid w:linePitch="360"/>
        </w:sectPr>
      </w:pPr>
    </w:p>
    <w:p w14:paraId="004F706F" w14:textId="77777777" w:rsidR="00A01DF3" w:rsidRPr="0027789B" w:rsidRDefault="003C07DC" w:rsidP="00FF157D">
      <w:pPr>
        <w:spacing w:after="0"/>
        <w:jc w:val="center"/>
        <w:rPr>
          <w:b/>
        </w:rPr>
      </w:pPr>
      <w:bookmarkStart w:id="611" w:name="_Toc364783625"/>
      <w:bookmarkStart w:id="612" w:name="_Toc366241180"/>
      <w:bookmarkStart w:id="613" w:name="_Toc366249613"/>
      <w:r w:rsidRPr="0027789B">
        <w:rPr>
          <w:b/>
        </w:rPr>
        <w:lastRenderedPageBreak/>
        <w:t>EXHIBIT</w:t>
      </w:r>
      <w:r w:rsidR="008E65AA" w:rsidRPr="0027789B">
        <w:rPr>
          <w:b/>
        </w:rPr>
        <w:t xml:space="preserve"> A</w:t>
      </w:r>
      <w:bookmarkEnd w:id="611"/>
      <w:bookmarkEnd w:id="612"/>
      <w:bookmarkEnd w:id="613"/>
    </w:p>
    <w:p w14:paraId="02990880" w14:textId="77777777" w:rsidR="00A01DF3" w:rsidRPr="0027789B" w:rsidRDefault="008E65AA" w:rsidP="00FF157D">
      <w:pPr>
        <w:spacing w:after="0"/>
        <w:jc w:val="center"/>
        <w:rPr>
          <w:b/>
        </w:rPr>
      </w:pPr>
      <w:bookmarkStart w:id="614" w:name="_Toc364783626"/>
      <w:bookmarkStart w:id="615" w:name="_Toc366241181"/>
      <w:bookmarkStart w:id="616" w:name="_Toc366249614"/>
      <w:r w:rsidRPr="0027789B">
        <w:rPr>
          <w:b/>
        </w:rPr>
        <w:t>DEFINITIONS</w:t>
      </w:r>
      <w:bookmarkEnd w:id="614"/>
      <w:bookmarkEnd w:id="615"/>
      <w:bookmarkEnd w:id="616"/>
    </w:p>
    <w:p w14:paraId="31668160" w14:textId="77777777" w:rsidR="003F6377" w:rsidRPr="009676F1" w:rsidRDefault="003F6377" w:rsidP="003F6377">
      <w:pPr>
        <w:pStyle w:val="Definition"/>
      </w:pPr>
      <w:r>
        <w:t>“</w:t>
      </w:r>
      <w:r w:rsidRPr="000B03C7">
        <w:rPr>
          <w:u w:val="single"/>
        </w:rPr>
        <w:t>Accepted DER Costs</w:t>
      </w:r>
      <w:r>
        <w:t>” has the meaning set forth in Section 6.01(e).</w:t>
      </w:r>
    </w:p>
    <w:p w14:paraId="4C8C3C0F" w14:textId="447E03FC" w:rsidR="00805F12" w:rsidRDefault="003F6377" w:rsidP="003F6377">
      <w:pPr>
        <w:pStyle w:val="Definition"/>
      </w:pPr>
      <w:r w:rsidRPr="0027789B">
        <w:t xml:space="preserve"> </w:t>
      </w:r>
      <w:r w:rsidR="00805F12" w:rsidRPr="0027789B">
        <w:t>“</w:t>
      </w:r>
      <w:r w:rsidR="00805F12" w:rsidRPr="00FF157D">
        <w:rPr>
          <w:u w:val="single"/>
        </w:rPr>
        <w:t>ACH</w:t>
      </w:r>
      <w:r w:rsidR="00805F12" w:rsidRPr="0027789B">
        <w:t xml:space="preserve">” means the electronic funds transfer system operated by the National Automated Clearing </w:t>
      </w:r>
      <w:r w:rsidR="00805F12" w:rsidRPr="009676F1">
        <w:t>House, or any successor entity.</w:t>
      </w:r>
    </w:p>
    <w:p w14:paraId="3AE8E0DE" w14:textId="34134E11" w:rsidR="00A01DF3" w:rsidRPr="0027789B" w:rsidRDefault="003F6377" w:rsidP="00561154">
      <w:pPr>
        <w:pStyle w:val="Definition"/>
      </w:pPr>
      <w:r w:rsidDel="003F6377">
        <w:t xml:space="preserve"> </w:t>
      </w:r>
      <w:r w:rsidR="008E65AA" w:rsidRPr="009676F1">
        <w:t>“</w:t>
      </w:r>
      <w:r w:rsidR="008E65AA" w:rsidRPr="009676F1">
        <w:rPr>
          <w:u w:val="single"/>
        </w:rPr>
        <w:t>Actual Efficiency Factor</w:t>
      </w:r>
      <w:r w:rsidR="008E65AA" w:rsidRPr="009676F1">
        <w:t>” or “</w:t>
      </w:r>
      <w:r w:rsidR="008E65AA" w:rsidRPr="009676F1">
        <w:rPr>
          <w:u w:val="single"/>
        </w:rPr>
        <w:t>AEF</w:t>
      </w:r>
      <w:r w:rsidR="008E65AA" w:rsidRPr="009676F1">
        <w:t xml:space="preserve">” has the meaning set forth in </w:t>
      </w:r>
      <w:r w:rsidR="008E65AA" w:rsidRPr="00B022A3">
        <w:t>Section</w:t>
      </w:r>
      <w:r w:rsidR="00B022A3" w:rsidRPr="00B022A3">
        <w:t xml:space="preserve"> 3</w:t>
      </w:r>
      <w:r w:rsidR="008E65AA" w:rsidRPr="00B022A3">
        <w:t>.</w:t>
      </w:r>
      <w:r w:rsidR="00B022A3" w:rsidRPr="00B022A3">
        <w:t>10</w:t>
      </w:r>
      <w:r w:rsidR="008E65AA" w:rsidRPr="009676F1">
        <w:t>(a).</w:t>
      </w:r>
    </w:p>
    <w:p w14:paraId="21F3CE6E" w14:textId="77777777" w:rsidR="00A01DF3" w:rsidRPr="0027789B" w:rsidRDefault="008E65AA" w:rsidP="00561154">
      <w:pPr>
        <w:pStyle w:val="Definition"/>
      </w:pPr>
      <w:r w:rsidRPr="0027789B">
        <w:t>“</w:t>
      </w:r>
      <w:r w:rsidRPr="00FF157D">
        <w:rPr>
          <w:u w:val="single"/>
        </w:rPr>
        <w:t>Affiliate</w:t>
      </w:r>
      <w:r w:rsidRPr="0027789B">
        <w:t>” means, with respect to a Party, any entity that, directly or indirectly, through one or more intermediaries, controls, or is controlled by, or is under common control with such Party</w:t>
      </w:r>
      <w:r w:rsidR="001D4101">
        <w:t xml:space="preserve">. </w:t>
      </w:r>
    </w:p>
    <w:p w14:paraId="21430A16" w14:textId="7AA13018" w:rsidR="00A01DF3" w:rsidRPr="009676F1" w:rsidRDefault="008E65AA" w:rsidP="00561154">
      <w:pPr>
        <w:pStyle w:val="Definition"/>
      </w:pPr>
      <w:r w:rsidRPr="0027789B">
        <w:t>“</w:t>
      </w:r>
      <w:r w:rsidRPr="00FF157D">
        <w:rPr>
          <w:u w:val="single"/>
        </w:rPr>
        <w:t>Aggregate Network Upgrade Costs</w:t>
      </w:r>
      <w:r w:rsidRPr="0027789B">
        <w:t xml:space="preserve">” has the meaning </w:t>
      </w:r>
      <w:r w:rsidRPr="009676F1">
        <w:t xml:space="preserve">set forth in </w:t>
      </w:r>
      <w:r w:rsidRPr="00504642">
        <w:t>Section</w:t>
      </w:r>
      <w:r w:rsidR="00504642" w:rsidRPr="00504642">
        <w:t xml:space="preserve"> 5</w:t>
      </w:r>
      <w:r w:rsidRPr="00504642">
        <w:t>.0</w:t>
      </w:r>
      <w:r w:rsidR="00504642" w:rsidRPr="00504642">
        <w:t>1</w:t>
      </w:r>
      <w:r w:rsidRPr="00504642">
        <w:t>(</w:t>
      </w:r>
      <w:r w:rsidR="00504642" w:rsidRPr="00504642">
        <w:t>b</w:t>
      </w:r>
      <w:r w:rsidRPr="00504642">
        <w:t>)</w:t>
      </w:r>
      <w:r w:rsidR="00504642" w:rsidRPr="00504642">
        <w:t>(i)</w:t>
      </w:r>
      <w:r w:rsidR="001D4632">
        <w:t>(A)</w:t>
      </w:r>
      <w:r w:rsidRPr="00504642">
        <w:t>.</w:t>
      </w:r>
    </w:p>
    <w:p w14:paraId="23E6A358" w14:textId="77777777" w:rsidR="00A01DF3" w:rsidRPr="009676F1" w:rsidRDefault="008E65AA" w:rsidP="00561154">
      <w:pPr>
        <w:pStyle w:val="Definition"/>
      </w:pPr>
      <w:r w:rsidRPr="009676F1">
        <w:t>“</w:t>
      </w:r>
      <w:r w:rsidRPr="009676F1">
        <w:rPr>
          <w:u w:val="single"/>
        </w:rPr>
        <w:t>Agreement</w:t>
      </w:r>
      <w:r w:rsidRPr="009676F1">
        <w:t>” has the meaning set forth in the preamble.</w:t>
      </w:r>
    </w:p>
    <w:p w14:paraId="6087435C" w14:textId="77777777" w:rsidR="00A01DF3" w:rsidRPr="009676F1" w:rsidRDefault="008E65AA" w:rsidP="00561154">
      <w:pPr>
        <w:pStyle w:val="Definition"/>
      </w:pPr>
      <w:r w:rsidRPr="009676F1">
        <w:t>“</w:t>
      </w:r>
      <w:r w:rsidRPr="009676F1">
        <w:rPr>
          <w:u w:val="single"/>
        </w:rPr>
        <w:t>Ancillary Services</w:t>
      </w:r>
      <w:r w:rsidRPr="009676F1">
        <w:t>” or “</w:t>
      </w:r>
      <w:r w:rsidRPr="009676F1">
        <w:rPr>
          <w:u w:val="single"/>
        </w:rPr>
        <w:t>A/S</w:t>
      </w:r>
      <w:r w:rsidRPr="009676F1">
        <w:t xml:space="preserve">” means Spinning Reserve, Non-Spinning Reserve, replacement reserves, Regulation Up or Regulation Down or any other ancillary service defined in the </w:t>
      </w:r>
      <w:r w:rsidR="00C43FB9" w:rsidRPr="009676F1">
        <w:t>CAISO Tariff</w:t>
      </w:r>
      <w:r w:rsidRPr="009676F1">
        <w:t>.</w:t>
      </w:r>
    </w:p>
    <w:p w14:paraId="402FF803" w14:textId="742F7A6B" w:rsidR="00A01DF3" w:rsidRPr="009676F1" w:rsidRDefault="008E65AA" w:rsidP="00561154">
      <w:pPr>
        <w:pStyle w:val="Definition"/>
        <w:rPr>
          <w:color w:val="000000"/>
        </w:rPr>
      </w:pPr>
      <w:r w:rsidRPr="009676F1">
        <w:t>“</w:t>
      </w:r>
      <w:r w:rsidRPr="009676F1">
        <w:rPr>
          <w:u w:val="single"/>
        </w:rPr>
        <w:t>Ancillary Services Capacity</w:t>
      </w:r>
      <w:r w:rsidRPr="009676F1">
        <w:t>” or “</w:t>
      </w:r>
      <w:r w:rsidRPr="009676F1">
        <w:rPr>
          <w:u w:val="single"/>
        </w:rPr>
        <w:t>A/S Capacity</w:t>
      </w:r>
      <w:r w:rsidRPr="009676F1">
        <w:t xml:space="preserve">” means Capacity associated with Spinning Reserve, Non-Spinning Reserve, Regulation Up or Regulation Down, </w:t>
      </w:r>
      <w:r w:rsidRPr="009676F1">
        <w:rPr>
          <w:color w:val="000000"/>
        </w:rPr>
        <w:t>as well as any other interconnected operation services as the CAISO develops as or deems to be ancillary services, available from any Storage Unit during a Put Period.</w:t>
      </w:r>
    </w:p>
    <w:p w14:paraId="6B2B5258" w14:textId="0429A78D" w:rsidR="005832DC" w:rsidRDefault="005832DC" w:rsidP="00561154">
      <w:pPr>
        <w:pStyle w:val="Definition"/>
      </w:pPr>
      <w:r>
        <w:t>“</w:t>
      </w:r>
      <w:r>
        <w:rPr>
          <w:u w:val="single"/>
        </w:rPr>
        <w:t>Annual Supply Plan</w:t>
      </w:r>
      <w:r>
        <w:t>” has the meaning set forth in the CAISO Tariff.</w:t>
      </w:r>
    </w:p>
    <w:p w14:paraId="0B4A71E5" w14:textId="535C9D0A" w:rsidR="00A01DF3" w:rsidRPr="009676F1" w:rsidRDefault="008E65AA" w:rsidP="00561154">
      <w:pPr>
        <w:pStyle w:val="Definition"/>
      </w:pPr>
      <w:r w:rsidRPr="009676F1">
        <w:t>“</w:t>
      </w:r>
      <w:r w:rsidRPr="009676F1">
        <w:rPr>
          <w:u w:val="single"/>
        </w:rPr>
        <w:t>Applicable Laws</w:t>
      </w:r>
      <w:r w:rsidRPr="009676F1">
        <w:t>” means</w:t>
      </w:r>
      <w:r w:rsidR="00AC247E">
        <w:t xml:space="preserve"> the CAISO Tariff and</w:t>
      </w:r>
      <w:r w:rsidRPr="009676F1">
        <w:t xml:space="preserve"> all constitutions, treaties, laws, ordinances, rules, regulations, interpretations, permits, judgments, decrees, injunctions, writs and orders of any Governmental Authority that apply to either or both of the Parties, the Project or the t</w:t>
      </w:r>
      <w:r w:rsidR="00805F12" w:rsidRPr="009676F1">
        <w:t>erms of this Agreement</w:t>
      </w:r>
      <w:r w:rsidRPr="009676F1">
        <w:t>.</w:t>
      </w:r>
    </w:p>
    <w:p w14:paraId="420019C2" w14:textId="33CB815F" w:rsidR="00A01DF3" w:rsidRPr="0027789B" w:rsidRDefault="008E65AA" w:rsidP="00561154">
      <w:pPr>
        <w:pStyle w:val="Definition"/>
        <w:rPr>
          <w:color w:val="000000"/>
        </w:rPr>
      </w:pPr>
      <w:r w:rsidRPr="009676F1">
        <w:rPr>
          <w:color w:val="000000"/>
        </w:rPr>
        <w:t>“</w:t>
      </w:r>
      <w:r w:rsidRPr="009676F1">
        <w:rPr>
          <w:color w:val="000000"/>
          <w:u w:val="single"/>
        </w:rPr>
        <w:t>Arbitrator</w:t>
      </w:r>
      <w:r w:rsidRPr="009676F1">
        <w:rPr>
          <w:color w:val="000000"/>
        </w:rPr>
        <w:t xml:space="preserve">” has the meaning set forth in </w:t>
      </w:r>
      <w:r w:rsidRPr="002F5C7B">
        <w:rPr>
          <w:color w:val="000000"/>
        </w:rPr>
        <w:t xml:space="preserve">Section </w:t>
      </w:r>
      <w:r w:rsidR="009B2ACF">
        <w:t>12</w:t>
      </w:r>
      <w:r w:rsidRPr="002F5C7B">
        <w:t>.03</w:t>
      </w:r>
      <w:r w:rsidRPr="002F5C7B">
        <w:rPr>
          <w:color w:val="000000"/>
        </w:rPr>
        <w:t>.</w:t>
      </w:r>
    </w:p>
    <w:p w14:paraId="18E910D4" w14:textId="5C784019" w:rsidR="00A01DF3" w:rsidRPr="0027789B" w:rsidRDefault="008E65AA" w:rsidP="00561154">
      <w:pPr>
        <w:pStyle w:val="Definition"/>
      </w:pPr>
      <w:r w:rsidRPr="0027789B">
        <w:t>“</w:t>
      </w:r>
      <w:r w:rsidRPr="00FF157D">
        <w:rPr>
          <w:u w:val="single"/>
        </w:rPr>
        <w:t>A/S Availability</w:t>
      </w:r>
      <w:r w:rsidRPr="0027789B">
        <w:t>” means the amount of Ancillary Services Capacity available to SCE under this Agreement from a Storage Unit during any Settlement Interval during a Put Period.</w:t>
      </w:r>
    </w:p>
    <w:p w14:paraId="40375754" w14:textId="04E4238F" w:rsidR="00A01DF3" w:rsidRPr="004726AE" w:rsidRDefault="008E65AA" w:rsidP="00561154">
      <w:pPr>
        <w:pStyle w:val="Definition"/>
      </w:pPr>
      <w:r w:rsidRPr="0027789B">
        <w:t>“</w:t>
      </w:r>
      <w:r w:rsidRPr="00FF157D">
        <w:rPr>
          <w:u w:val="single"/>
        </w:rPr>
        <w:t xml:space="preserve">A/S </w:t>
      </w:r>
      <w:r w:rsidRPr="00362F4D">
        <w:rPr>
          <w:u w:val="single"/>
        </w:rPr>
        <w:t>Capacity Payment Reduction</w:t>
      </w:r>
      <w:r w:rsidRPr="00362F4D">
        <w:t xml:space="preserve">” has the meaning set forth in </w:t>
      </w:r>
      <w:r w:rsidRPr="004726AE">
        <w:t xml:space="preserve">Section </w:t>
      </w:r>
      <w:r w:rsidR="004726AE" w:rsidRPr="004726AE">
        <w:t>3</w:t>
      </w:r>
      <w:r w:rsidRPr="004726AE">
        <w:t>.</w:t>
      </w:r>
      <w:r w:rsidR="004726AE" w:rsidRPr="004726AE">
        <w:t>1</w:t>
      </w:r>
      <w:r w:rsidRPr="004726AE">
        <w:t>1(d)(iii).</w:t>
      </w:r>
    </w:p>
    <w:p w14:paraId="261E01D7" w14:textId="6ED1EC09" w:rsidR="00A01DF3" w:rsidRPr="0027789B" w:rsidRDefault="008E65AA" w:rsidP="00561154">
      <w:pPr>
        <w:pStyle w:val="Definition"/>
      </w:pPr>
      <w:r w:rsidRPr="004726AE">
        <w:t>“</w:t>
      </w:r>
      <w:r w:rsidRPr="004726AE">
        <w:rPr>
          <w:u w:val="single"/>
        </w:rPr>
        <w:t>A/S Price Adjustment Factor</w:t>
      </w:r>
      <w:r w:rsidRPr="004726AE">
        <w:t xml:space="preserve">” has the meaning set forth in Section </w:t>
      </w:r>
      <w:r w:rsidR="004726AE" w:rsidRPr="004726AE">
        <w:t>3</w:t>
      </w:r>
      <w:r w:rsidRPr="004726AE">
        <w:t>.</w:t>
      </w:r>
      <w:r w:rsidR="004726AE" w:rsidRPr="004726AE">
        <w:t>1</w:t>
      </w:r>
      <w:r w:rsidRPr="004726AE">
        <w:t>1</w:t>
      </w:r>
      <w:r w:rsidRPr="00362F4D">
        <w:t>(d</w:t>
      </w:r>
      <w:r w:rsidRPr="0027789B">
        <w:t>)(ii).</w:t>
      </w:r>
    </w:p>
    <w:p w14:paraId="68396427" w14:textId="15503DB4" w:rsidR="00A01DF3" w:rsidRPr="0027789B" w:rsidRDefault="008E65AA" w:rsidP="00561154">
      <w:pPr>
        <w:pStyle w:val="Definition"/>
      </w:pPr>
      <w:r w:rsidRPr="0027789B">
        <w:lastRenderedPageBreak/>
        <w:t>“</w:t>
      </w:r>
      <w:r w:rsidRPr="00FF157D">
        <w:rPr>
          <w:u w:val="single"/>
        </w:rPr>
        <w:t>A/S Maximum Capacity</w:t>
      </w:r>
      <w:r w:rsidRPr="0027789B">
        <w:t xml:space="preserve">” is as set </w:t>
      </w:r>
      <w:r w:rsidRPr="00C600E0">
        <w:t xml:space="preserve">forth </w:t>
      </w:r>
      <w:r w:rsidRPr="00482B73">
        <w:t xml:space="preserve">in </w:t>
      </w:r>
      <w:r w:rsidR="00CF10CD">
        <w:rPr>
          <w:u w:val="single"/>
        </w:rPr>
        <w:t>Exhibit D</w:t>
      </w:r>
      <w:r w:rsidRPr="00482B73">
        <w:t xml:space="preserve"> for</w:t>
      </w:r>
      <w:r w:rsidRPr="00C600E0">
        <w:t xml:space="preserve"> each applicable Ancillary Service, the maximum capacity for a particular region in which such</w:t>
      </w:r>
      <w:r w:rsidRPr="0027789B">
        <w:t xml:space="preserve"> Ancillary Service is available.</w:t>
      </w:r>
    </w:p>
    <w:p w14:paraId="0AC7C2A1" w14:textId="4C66FAA5" w:rsidR="00A01DF3" w:rsidRPr="0027789B" w:rsidRDefault="008E65AA" w:rsidP="00561154">
      <w:pPr>
        <w:pStyle w:val="Definition"/>
      </w:pPr>
      <w:r w:rsidRPr="0027789B">
        <w:t>“</w:t>
      </w:r>
      <w:r w:rsidRPr="00FF157D">
        <w:rPr>
          <w:u w:val="single"/>
        </w:rPr>
        <w:t>Associated Ancillary Services Energy</w:t>
      </w:r>
      <w:r w:rsidRPr="0027789B">
        <w:t xml:space="preserve">” means the Energy expressed in </w:t>
      </w:r>
      <w:r w:rsidR="00BB0106" w:rsidRPr="0027789B">
        <w:t>MWh</w:t>
      </w:r>
      <w:r w:rsidRPr="0027789B">
        <w:t xml:space="preserve"> expressly associated with the Ancillary Service</w:t>
      </w:r>
      <w:r w:rsidR="007415FA" w:rsidRPr="0027789B">
        <w:t>s</w:t>
      </w:r>
      <w:r w:rsidRPr="0027789B">
        <w:t xml:space="preserve"> Capacity made available from any Storage Unit at the instruction of the CAISO.</w:t>
      </w:r>
    </w:p>
    <w:p w14:paraId="1FA4FB01" w14:textId="6EFA3F21" w:rsidR="00A01DF3" w:rsidRPr="0027789B" w:rsidRDefault="008E65AA" w:rsidP="00561154">
      <w:pPr>
        <w:pStyle w:val="Definition"/>
      </w:pPr>
      <w:r w:rsidRPr="0027789B">
        <w:t>“</w:t>
      </w:r>
      <w:r w:rsidRPr="00FF157D">
        <w:rPr>
          <w:u w:val="single"/>
        </w:rPr>
        <w:t>Automatic Generation Control</w:t>
      </w:r>
      <w:r w:rsidRPr="0027789B">
        <w:t>” or “</w:t>
      </w:r>
      <w:r w:rsidRPr="00FF157D">
        <w:rPr>
          <w:u w:val="single"/>
        </w:rPr>
        <w:t>AGC</w:t>
      </w:r>
      <w:r w:rsidRPr="0027789B">
        <w:t xml:space="preserve">” </w:t>
      </w:r>
      <w:r w:rsidR="00291C66">
        <w:t>has the meaning set forth in Section 5.02(b)</w:t>
      </w:r>
      <w:r w:rsidRPr="0027789B">
        <w:t>.</w:t>
      </w:r>
    </w:p>
    <w:p w14:paraId="173E2A69" w14:textId="7EF6855F" w:rsidR="00A01DF3" w:rsidRPr="0027789B" w:rsidRDefault="008E65AA" w:rsidP="00561154">
      <w:pPr>
        <w:pStyle w:val="Definition"/>
        <w:rPr>
          <w:rStyle w:val="DeltaViewInsertion"/>
          <w:rFonts w:eastAsia="MS Mincho"/>
          <w:b w:val="0"/>
          <w:u w:val="none"/>
        </w:rPr>
      </w:pPr>
      <w:r w:rsidRPr="0027789B">
        <w:rPr>
          <w:rStyle w:val="DeltaViewInsertion"/>
          <w:rFonts w:eastAsia="MS Mincho"/>
          <w:b w:val="0"/>
          <w:u w:val="none"/>
        </w:rPr>
        <w:t>“</w:t>
      </w:r>
      <w:r w:rsidRPr="00FF157D">
        <w:rPr>
          <w:rStyle w:val="DeltaViewInsertion"/>
          <w:rFonts w:eastAsia="MS Mincho"/>
          <w:b w:val="0"/>
          <w:u w:val="single"/>
        </w:rPr>
        <w:t>Availability Incentive Payments</w:t>
      </w:r>
      <w:r w:rsidRPr="0027789B">
        <w:rPr>
          <w:rStyle w:val="DeltaViewInsertion"/>
          <w:rFonts w:eastAsia="MS Mincho"/>
          <w:b w:val="0"/>
          <w:u w:val="none"/>
        </w:rPr>
        <w:t xml:space="preserve">” has the meaning set forth in </w:t>
      </w:r>
      <w:r w:rsidR="00291C66">
        <w:rPr>
          <w:rStyle w:val="DeltaViewInsertion"/>
          <w:rFonts w:eastAsia="MS Mincho"/>
          <w:b w:val="0"/>
          <w:u w:val="none"/>
        </w:rPr>
        <w:t>Section 3.11</w:t>
      </w:r>
      <w:r w:rsidRPr="0027789B">
        <w:rPr>
          <w:rStyle w:val="DeltaViewInsertion"/>
          <w:rFonts w:eastAsia="MS Mincho"/>
          <w:b w:val="0"/>
          <w:u w:val="none"/>
        </w:rPr>
        <w:t>.</w:t>
      </w:r>
    </w:p>
    <w:p w14:paraId="46EDB7D7" w14:textId="1FAF4AE4" w:rsidR="00A01DF3" w:rsidRPr="0027789B" w:rsidRDefault="008E65AA" w:rsidP="00561154">
      <w:pPr>
        <w:pStyle w:val="Definition"/>
      </w:pPr>
      <w:r w:rsidRPr="0027789B">
        <w:t>“</w:t>
      </w:r>
      <w:r w:rsidRPr="00FF157D">
        <w:rPr>
          <w:u w:val="single"/>
        </w:rPr>
        <w:t>Availability Notice</w:t>
      </w:r>
      <w:r w:rsidRPr="0027789B">
        <w:t xml:space="preserve">” </w:t>
      </w:r>
      <w:r w:rsidR="00457BA5">
        <w:t xml:space="preserve">means the </w:t>
      </w:r>
      <w:r w:rsidR="00457BA5" w:rsidRPr="0027789B">
        <w:t xml:space="preserve">hourly schedule of the Available Capacity (including Energy and Ancillary Services) that each Storage Unit is expected to have for each hour of such Operating Day, </w:t>
      </w:r>
      <w:r w:rsidR="00457BA5">
        <w:t xml:space="preserve">delivered by Seller to SCE </w:t>
      </w:r>
      <w:r w:rsidR="00457BA5" w:rsidRPr="0027789B">
        <w:t>no later than two (2) Business Days before the Trading Day applicable to such Operating Day</w:t>
      </w:r>
      <w:r w:rsidRPr="009676F1">
        <w:t>.</w:t>
      </w:r>
    </w:p>
    <w:p w14:paraId="28B287B4" w14:textId="77777777" w:rsidR="00A01DF3" w:rsidRPr="0027789B" w:rsidRDefault="008E65AA" w:rsidP="00561154">
      <w:pPr>
        <w:pStyle w:val="Definition"/>
      </w:pPr>
      <w:r w:rsidRPr="0027789B">
        <w:t>“</w:t>
      </w:r>
      <w:r w:rsidRPr="00FF157D">
        <w:rPr>
          <w:u w:val="single"/>
        </w:rPr>
        <w:t>Availability Standards</w:t>
      </w:r>
      <w:r w:rsidRPr="0027789B">
        <w:t xml:space="preserve">” has the meaning set forth in the </w:t>
      </w:r>
      <w:r w:rsidR="00C43FB9" w:rsidRPr="0027789B">
        <w:t>CAISO Tariff</w:t>
      </w:r>
      <w:r w:rsidRPr="0027789B">
        <w:t>.</w:t>
      </w:r>
    </w:p>
    <w:p w14:paraId="640CBAA3" w14:textId="77777777" w:rsidR="00A01DF3" w:rsidRPr="0027789B" w:rsidRDefault="008E65AA" w:rsidP="00561154">
      <w:pPr>
        <w:pStyle w:val="Definition"/>
      </w:pPr>
      <w:r w:rsidRPr="0027789B">
        <w:t>“</w:t>
      </w:r>
      <w:r w:rsidRPr="00FF157D">
        <w:rPr>
          <w:u w:val="single"/>
        </w:rPr>
        <w:t>Available Capacity</w:t>
      </w:r>
      <w:r w:rsidRPr="0027789B">
        <w:t>” means, collectively, Available Charging Capacity, Available Discharging Capacity, and Available Storage Capacity</w:t>
      </w:r>
      <w:r w:rsidR="001D4101">
        <w:t xml:space="preserve">. </w:t>
      </w:r>
    </w:p>
    <w:p w14:paraId="5760EC89" w14:textId="22D8DEBA" w:rsidR="00A01DF3" w:rsidRPr="0027789B" w:rsidRDefault="008E65AA" w:rsidP="00561154">
      <w:pPr>
        <w:pStyle w:val="Definition"/>
      </w:pPr>
      <w:r w:rsidRPr="0027789B">
        <w:t>“</w:t>
      </w:r>
      <w:r w:rsidRPr="00FF157D">
        <w:rPr>
          <w:u w:val="single"/>
        </w:rPr>
        <w:t>Available Charging Capacity</w:t>
      </w:r>
      <w:r w:rsidRPr="0027789B">
        <w:t>” means the amount of Charging Capacity that a Storage Unit is capable of providing under this Agreement during any Settlement Interval during a Put Period</w:t>
      </w:r>
      <w:r w:rsidR="001D4101">
        <w:t xml:space="preserve">. </w:t>
      </w:r>
    </w:p>
    <w:p w14:paraId="3C5F1E22" w14:textId="74E54D80" w:rsidR="00A01DF3" w:rsidRPr="0027789B" w:rsidRDefault="008E65AA" w:rsidP="00561154">
      <w:pPr>
        <w:pStyle w:val="Definition"/>
      </w:pPr>
      <w:r w:rsidRPr="0027789B">
        <w:t>“</w:t>
      </w:r>
      <w:r w:rsidRPr="00FF157D">
        <w:rPr>
          <w:u w:val="single"/>
        </w:rPr>
        <w:t>Available Discharging Capacity</w:t>
      </w:r>
      <w:r w:rsidRPr="0027789B">
        <w:t>” means the amount of Discharging Capacity that a Storage Unit is capable of providing under this Agreement during any Settlement Interval during a Put Period</w:t>
      </w:r>
      <w:r w:rsidR="001D4101">
        <w:t xml:space="preserve">. </w:t>
      </w:r>
    </w:p>
    <w:p w14:paraId="2813DA71" w14:textId="1BDB0FBA" w:rsidR="00A53887" w:rsidRPr="0027789B" w:rsidRDefault="008E65AA" w:rsidP="00561154">
      <w:pPr>
        <w:pStyle w:val="Definition"/>
      </w:pPr>
      <w:r w:rsidRPr="0027789B">
        <w:t>“</w:t>
      </w:r>
      <w:r w:rsidRPr="00FF157D">
        <w:rPr>
          <w:u w:val="single"/>
        </w:rPr>
        <w:t>Available Storage Capacity</w:t>
      </w:r>
      <w:r w:rsidRPr="0027789B">
        <w:t>” means the Storage Capacity amount of a Storage Unit for the applicable Settlement Interval during a Put Period</w:t>
      </w:r>
      <w:r w:rsidR="001D4101">
        <w:t xml:space="preserve">. </w:t>
      </w:r>
      <w:r w:rsidRPr="0027789B">
        <w:t xml:space="preserve">For purposes of this definition, the amount of Available Storage Capacity shall be expressed in megawatts according to the following: </w:t>
      </w:r>
    </w:p>
    <w:p w14:paraId="1CAFDD98" w14:textId="77777777" w:rsidR="00A01DF3" w:rsidRPr="0027789B" w:rsidRDefault="008E65AA" w:rsidP="00FF157D">
      <w:pPr>
        <w:ind w:left="1440"/>
        <w:contextualSpacing/>
      </w:pPr>
      <w:r w:rsidRPr="0027789B">
        <w:t>Available Storage Capacity = (Storage Capacity / Maximum Storage Level) * SU Contract Capacity</w:t>
      </w:r>
    </w:p>
    <w:p w14:paraId="7ECB22A3" w14:textId="149289DF" w:rsidR="00A01DF3" w:rsidRPr="0027789B" w:rsidRDefault="008E65AA" w:rsidP="00561154">
      <w:pPr>
        <w:pStyle w:val="Definition"/>
      </w:pPr>
      <w:r w:rsidRPr="0027789B">
        <w:t>“</w:t>
      </w:r>
      <w:r w:rsidRPr="00FF157D">
        <w:rPr>
          <w:u w:val="single"/>
        </w:rPr>
        <w:t>Bankrupt</w:t>
      </w:r>
      <w:r w:rsidRPr="0027789B">
        <w:t>” means with respe</w:t>
      </w:r>
      <w:r w:rsidR="00E33429" w:rsidRPr="0027789B">
        <w:t>ct to any entity, such entity (a</w:t>
      </w:r>
      <w:r w:rsidRPr="0027789B">
        <w:t>) files a petition or otherwise commences, authorizes, or acquiesces in the commencement of a proceeding or cause of action under any bankruptcy, insolvency, reorganization or similar law, or has any such petition fi</w:t>
      </w:r>
      <w:r w:rsidR="00E33429" w:rsidRPr="0027789B">
        <w:t>led or commenced against it, (b</w:t>
      </w:r>
      <w:r w:rsidRPr="0027789B">
        <w:t>) makes an assignment or any general arrangement fo</w:t>
      </w:r>
      <w:r w:rsidR="00E33429" w:rsidRPr="0027789B">
        <w:t xml:space="preserve">r the benefit </w:t>
      </w:r>
      <w:r w:rsidR="00582503" w:rsidRPr="0027789B">
        <w:t xml:space="preserve">of </w:t>
      </w:r>
      <w:r w:rsidR="00E33429" w:rsidRPr="0027789B">
        <w:t>creditors, (c</w:t>
      </w:r>
      <w:r w:rsidRPr="0027789B">
        <w:t>) otherwise becomes bankrupt or in</w:t>
      </w:r>
      <w:r w:rsidR="00E33429" w:rsidRPr="0027789B">
        <w:t>solvent (however evidenced), (d</w:t>
      </w:r>
      <w:r w:rsidRPr="0027789B">
        <w:t xml:space="preserve">) has a liquidator, administrator, receiver, trustee, conservator or similar official appointed with respect to it or any </w:t>
      </w:r>
      <w:r w:rsidRPr="0027789B">
        <w:lastRenderedPageBreak/>
        <w:t xml:space="preserve">substantial portion </w:t>
      </w:r>
      <w:r w:rsidR="00E33429" w:rsidRPr="0027789B">
        <w:t>of its property or assets, or (e</w:t>
      </w:r>
      <w:r w:rsidRPr="0027789B">
        <w:t>) is generally unable to pay its debts as they fall due.</w:t>
      </w:r>
    </w:p>
    <w:p w14:paraId="68C8EDA2" w14:textId="77777777" w:rsidR="00A01DF3" w:rsidRPr="0027789B" w:rsidRDefault="008E65AA" w:rsidP="00561154">
      <w:pPr>
        <w:pStyle w:val="Definition"/>
        <w:rPr>
          <w:rStyle w:val="DeltaViewInsertion"/>
          <w:rFonts w:eastAsia="MS Mincho"/>
          <w:b w:val="0"/>
          <w:u w:val="none"/>
        </w:rPr>
      </w:pPr>
      <w:r w:rsidRPr="0027789B">
        <w:rPr>
          <w:color w:val="000000"/>
        </w:rPr>
        <w:t>“</w:t>
      </w:r>
      <w:r w:rsidRPr="00FF157D">
        <w:rPr>
          <w:color w:val="000000"/>
          <w:u w:val="single"/>
        </w:rPr>
        <w:t>Bid</w:t>
      </w:r>
      <w:r w:rsidR="00531E49" w:rsidRPr="0027789B">
        <w:rPr>
          <w:color w:val="000000"/>
        </w:rPr>
        <w:t>,</w:t>
      </w:r>
      <w:r w:rsidRPr="0027789B">
        <w:rPr>
          <w:color w:val="000000"/>
        </w:rPr>
        <w:t xml:space="preserve">” </w:t>
      </w:r>
      <w:r w:rsidR="00531E49" w:rsidRPr="0027789B">
        <w:rPr>
          <w:color w:val="000000"/>
        </w:rPr>
        <w:t>“</w:t>
      </w:r>
      <w:r w:rsidR="00531E49" w:rsidRPr="00FF157D">
        <w:rPr>
          <w:color w:val="000000"/>
          <w:u w:val="single"/>
        </w:rPr>
        <w:t>Bids</w:t>
      </w:r>
      <w:r w:rsidR="00531E49" w:rsidRPr="0027789B">
        <w:rPr>
          <w:color w:val="000000"/>
        </w:rPr>
        <w:t>” or “</w:t>
      </w:r>
      <w:r w:rsidR="00531E49" w:rsidRPr="00FF157D">
        <w:rPr>
          <w:color w:val="000000"/>
          <w:u w:val="single"/>
        </w:rPr>
        <w:t>Bidding</w:t>
      </w:r>
      <w:r w:rsidR="00531E49" w:rsidRPr="0027789B">
        <w:rPr>
          <w:color w:val="000000"/>
        </w:rPr>
        <w:t xml:space="preserve">” </w:t>
      </w:r>
      <w:r w:rsidRPr="0027789B">
        <w:rPr>
          <w:rStyle w:val="DeltaViewInsertion"/>
          <w:rFonts w:eastAsia="MS Mincho"/>
          <w:b w:val="0"/>
          <w:u w:val="none"/>
        </w:rPr>
        <w:t xml:space="preserve">has the meaning set forth in the </w:t>
      </w:r>
      <w:r w:rsidR="00C43FB9" w:rsidRPr="0027789B">
        <w:rPr>
          <w:rStyle w:val="DeltaViewInsertion"/>
          <w:rFonts w:eastAsia="MS Mincho"/>
          <w:b w:val="0"/>
          <w:u w:val="none"/>
        </w:rPr>
        <w:t>CAISO Tariff</w:t>
      </w:r>
      <w:r w:rsidRPr="0027789B">
        <w:rPr>
          <w:rStyle w:val="DeltaViewInsertion"/>
          <w:rFonts w:eastAsia="MS Mincho"/>
          <w:b w:val="0"/>
          <w:u w:val="none"/>
        </w:rPr>
        <w:t>.</w:t>
      </w:r>
    </w:p>
    <w:p w14:paraId="04CBDC78" w14:textId="77777777" w:rsidR="00DE20E4" w:rsidRDefault="00DE20E4" w:rsidP="00DE20E4">
      <w:pPr>
        <w:spacing w:before="240"/>
        <w:rPr>
          <w:color w:val="000000"/>
        </w:rPr>
      </w:pPr>
      <w:r>
        <w:rPr>
          <w:color w:val="000000"/>
        </w:rPr>
        <w:t>“</w:t>
      </w:r>
      <w:r>
        <w:rPr>
          <w:color w:val="000000"/>
          <w:u w:val="single"/>
        </w:rPr>
        <w:t>Bid Data</w:t>
      </w:r>
      <w:r>
        <w:rPr>
          <w:color w:val="000000"/>
        </w:rPr>
        <w:t>” means the Bid quantity (in MW) and the time periods instructed by SCE for Seller to submit as Bids in the respective CAISO market(s) in accordance with this Agreement, including the Operating Restrictions, for designated LRCDs.</w:t>
      </w:r>
    </w:p>
    <w:p w14:paraId="7F515988" w14:textId="17550E7D" w:rsidR="00A01DF3" w:rsidRPr="0027789B" w:rsidRDefault="008E65AA" w:rsidP="00561154">
      <w:pPr>
        <w:pStyle w:val="Definition"/>
        <w:rPr>
          <w:bCs/>
        </w:rPr>
      </w:pPr>
      <w:r w:rsidRPr="0027789B">
        <w:rPr>
          <w:color w:val="000000"/>
        </w:rPr>
        <w:t>“</w:t>
      </w:r>
      <w:r w:rsidRPr="00FF157D">
        <w:rPr>
          <w:color w:val="000000"/>
          <w:u w:val="single"/>
        </w:rPr>
        <w:t>Business Day</w:t>
      </w:r>
      <w:r w:rsidRPr="0027789B">
        <w:rPr>
          <w:color w:val="000000"/>
        </w:rPr>
        <w:t xml:space="preserve">” </w:t>
      </w:r>
      <w:r w:rsidRPr="0027789B">
        <w:rPr>
          <w:bCs/>
        </w:rPr>
        <w:t xml:space="preserve">means any day except a Saturday, Sunday, </w:t>
      </w:r>
      <w:r w:rsidR="00E33429" w:rsidRPr="0027789B">
        <w:rPr>
          <w:bCs/>
        </w:rPr>
        <w:t xml:space="preserve">a Federal Reserve Bank holiday or the Friday </w:t>
      </w:r>
      <w:r w:rsidRPr="0027789B">
        <w:rPr>
          <w:bCs/>
        </w:rPr>
        <w:t xml:space="preserve">following </w:t>
      </w:r>
      <w:r w:rsidR="00E33429" w:rsidRPr="0027789B">
        <w:rPr>
          <w:bCs/>
        </w:rPr>
        <w:t>Thanksgiving</w:t>
      </w:r>
      <w:r w:rsidR="001D4101">
        <w:rPr>
          <w:bCs/>
        </w:rPr>
        <w:t xml:space="preserve">. </w:t>
      </w:r>
      <w:r w:rsidR="00E33429" w:rsidRPr="0027789B">
        <w:t>A Business Day begins at 8:00 a.m. and end at 5:00 p.m. local time for the Party sending the Notice or payment or performing a specified action.</w:t>
      </w:r>
    </w:p>
    <w:p w14:paraId="6EE4B602" w14:textId="77777777" w:rsidR="00A01DF3" w:rsidRPr="0027789B" w:rsidRDefault="008E65AA" w:rsidP="00561154">
      <w:pPr>
        <w:pStyle w:val="Definition"/>
      </w:pPr>
      <w:r w:rsidRPr="0027789B">
        <w:t>“</w:t>
      </w:r>
      <w:r w:rsidRPr="00FF157D">
        <w:rPr>
          <w:u w:val="single"/>
        </w:rPr>
        <w:t>CAISO</w:t>
      </w:r>
      <w:r w:rsidRPr="0027789B">
        <w:t>” means the California Independent System Operator</w:t>
      </w:r>
      <w:r w:rsidR="00E33429" w:rsidRPr="0027789B">
        <w:t xml:space="preserve"> Corporation.</w:t>
      </w:r>
    </w:p>
    <w:p w14:paraId="57275174" w14:textId="77777777" w:rsidR="001331FC" w:rsidRPr="0027789B" w:rsidRDefault="001331FC" w:rsidP="00561154">
      <w:pPr>
        <w:pStyle w:val="Definition"/>
      </w:pPr>
      <w:r w:rsidRPr="0027789B">
        <w:t>“</w:t>
      </w:r>
      <w:r w:rsidRPr="00FF157D">
        <w:rPr>
          <w:u w:val="single"/>
        </w:rPr>
        <w:t>CAISO Approved Meter</w:t>
      </w:r>
      <w:r w:rsidRPr="0027789B">
        <w:t>” means a CAISO approved revenue quality meter or meters, CAISO approved data processing gateway or remote intelligence gateway, telemetering equipment and data acquisition services sufficient for monitoring, recording and reporting, in real time, all electric energy discharged by the Storage Unit(s) and used to charge the Storage Unit(s), excluding Station Use.</w:t>
      </w:r>
    </w:p>
    <w:p w14:paraId="1A6CAA2E" w14:textId="77777777" w:rsidR="00A01DF3" w:rsidRPr="0027789B" w:rsidRDefault="008E65AA" w:rsidP="00561154">
      <w:pPr>
        <w:pStyle w:val="Definition"/>
      </w:pPr>
      <w:r w:rsidRPr="0027789B">
        <w:t>“</w:t>
      </w:r>
      <w:r w:rsidRPr="00FF157D">
        <w:rPr>
          <w:u w:val="single"/>
        </w:rPr>
        <w:t>CAISO Certification</w:t>
      </w:r>
      <w:r w:rsidRPr="0027789B">
        <w:t xml:space="preserve">” means the certification and testing requirements for a storage unit set forth in the </w:t>
      </w:r>
      <w:r w:rsidR="00C43FB9" w:rsidRPr="0027789B">
        <w:t>CAISO Tariff</w:t>
      </w:r>
      <w:r w:rsidRPr="0027789B">
        <w:t>, including certification and testing for all ancillary services</w:t>
      </w:r>
      <w:r w:rsidR="00073DF0" w:rsidRPr="0027789B">
        <w:t>,</w:t>
      </w:r>
      <w:r w:rsidRPr="0027789B">
        <w:t xml:space="preserve"> PMAX</w:t>
      </w:r>
      <w:r w:rsidR="00073DF0" w:rsidRPr="0027789B">
        <w:t>,</w:t>
      </w:r>
      <w:r w:rsidRPr="0027789B">
        <w:t xml:space="preserve"> and PMIN</w:t>
      </w:r>
      <w:r w:rsidR="00073DF0" w:rsidRPr="0027789B">
        <w:t xml:space="preserve"> associated with such storage units</w:t>
      </w:r>
      <w:r w:rsidRPr="0027789B">
        <w:t>.</w:t>
      </w:r>
    </w:p>
    <w:p w14:paraId="55C974C9" w14:textId="77777777" w:rsidR="00A01DF3" w:rsidRPr="0027789B" w:rsidRDefault="008E65AA" w:rsidP="00561154">
      <w:pPr>
        <w:pStyle w:val="Definition"/>
      </w:pPr>
      <w:r w:rsidRPr="0027789B">
        <w:t>“</w:t>
      </w:r>
      <w:r w:rsidR="00B767F2" w:rsidRPr="00FF157D">
        <w:rPr>
          <w:u w:val="single"/>
        </w:rPr>
        <w:t>CAISO Controlled Grid</w:t>
      </w:r>
      <w:r w:rsidRPr="0027789B">
        <w:t>”</w:t>
      </w:r>
      <w:r w:rsidR="00E33429" w:rsidRPr="0027789B">
        <w:t xml:space="preserve"> has the meaning set forth in the CAISO Tariff</w:t>
      </w:r>
      <w:r w:rsidRPr="0027789B">
        <w:t>.</w:t>
      </w:r>
    </w:p>
    <w:p w14:paraId="2C922733" w14:textId="77777777" w:rsidR="00A01DF3" w:rsidRPr="0027789B" w:rsidRDefault="008E65AA" w:rsidP="00561154">
      <w:pPr>
        <w:pStyle w:val="Definition"/>
      </w:pPr>
      <w:r w:rsidRPr="0027789B">
        <w:t>“</w:t>
      </w:r>
      <w:r w:rsidRPr="00FF157D">
        <w:rPr>
          <w:u w:val="single"/>
        </w:rPr>
        <w:t>CAISO Markets</w:t>
      </w:r>
      <w:r w:rsidRPr="0027789B">
        <w:t xml:space="preserve">” has the meaning set forth in the </w:t>
      </w:r>
      <w:r w:rsidR="00C43FB9" w:rsidRPr="0027789B">
        <w:t>CAISO Tariff</w:t>
      </w:r>
      <w:r w:rsidRPr="0027789B">
        <w:t>.</w:t>
      </w:r>
    </w:p>
    <w:p w14:paraId="7DF6A3BE" w14:textId="77777777" w:rsidR="000A4EE4" w:rsidRPr="0027789B" w:rsidRDefault="000A4EE4" w:rsidP="00561154">
      <w:pPr>
        <w:pStyle w:val="Definition"/>
      </w:pPr>
      <w:r w:rsidRPr="0027789B">
        <w:t>“</w:t>
      </w:r>
      <w:r w:rsidRPr="00FF157D">
        <w:rPr>
          <w:u w:val="single"/>
        </w:rPr>
        <w:t>CAISO Tariff</w:t>
      </w:r>
      <w:r w:rsidRPr="0027789B">
        <w:t xml:space="preserve">” </w:t>
      </w:r>
      <w:r w:rsidR="002854B9" w:rsidRPr="0027789B">
        <w:t>means the California Independent System Operator Corporation Tariff, Business Practice Manuals (BPMs), and Operating Procedures, including the rules, protocols, procedures and standards attached thereto, as the same may be amended or modified from time to time and approved by FERC</w:t>
      </w:r>
      <w:r w:rsidRPr="0027789B">
        <w:t>.</w:t>
      </w:r>
      <w:bookmarkStart w:id="617" w:name="_DV_M1744"/>
      <w:bookmarkEnd w:id="617"/>
    </w:p>
    <w:p w14:paraId="3C0AE7F4" w14:textId="67490931" w:rsidR="00A01DF3" w:rsidRPr="000678FD" w:rsidRDefault="008E65AA" w:rsidP="00561154">
      <w:pPr>
        <w:pStyle w:val="Definition"/>
      </w:pPr>
      <w:r w:rsidRPr="0027789B">
        <w:t>“</w:t>
      </w:r>
      <w:r w:rsidRPr="00FF157D">
        <w:rPr>
          <w:u w:val="single"/>
        </w:rPr>
        <w:t>Calculable Month</w:t>
      </w:r>
      <w:r w:rsidRPr="0027789B">
        <w:t xml:space="preserve">” has the meaning set </w:t>
      </w:r>
      <w:r w:rsidRPr="00362F4D">
        <w:t xml:space="preserve">forth </w:t>
      </w:r>
      <w:r w:rsidRPr="000678FD">
        <w:t xml:space="preserve">in Section </w:t>
      </w:r>
      <w:r w:rsidR="00B022A3" w:rsidRPr="000678FD">
        <w:t>3</w:t>
      </w:r>
      <w:r w:rsidRPr="000678FD">
        <w:t>.</w:t>
      </w:r>
      <w:r w:rsidR="00B022A3" w:rsidRPr="000678FD">
        <w:t>10</w:t>
      </w:r>
      <w:r w:rsidRPr="000678FD">
        <w:t xml:space="preserve">(a). </w:t>
      </w:r>
    </w:p>
    <w:p w14:paraId="09715B2E" w14:textId="75E43BB1" w:rsidR="00A01DF3" w:rsidRPr="0027789B" w:rsidRDefault="008E65AA" w:rsidP="00561154">
      <w:pPr>
        <w:pStyle w:val="Definition"/>
      </w:pPr>
      <w:r w:rsidRPr="000678FD">
        <w:t>“</w:t>
      </w:r>
      <w:r w:rsidRPr="000678FD">
        <w:rPr>
          <w:u w:val="single"/>
        </w:rPr>
        <w:t>Calculated Month</w:t>
      </w:r>
      <w:r w:rsidRPr="000678FD">
        <w:t xml:space="preserve">” has the meaning set forth in Section </w:t>
      </w:r>
      <w:r w:rsidR="00B022A3" w:rsidRPr="000678FD">
        <w:t>3</w:t>
      </w:r>
      <w:r w:rsidRPr="000678FD">
        <w:t>.</w:t>
      </w:r>
      <w:r w:rsidR="00B022A3" w:rsidRPr="000678FD">
        <w:t>10</w:t>
      </w:r>
      <w:r w:rsidRPr="000678FD">
        <w:t>(a)(y)</w:t>
      </w:r>
      <w:r w:rsidR="001D4101" w:rsidRPr="000678FD">
        <w:t>.</w:t>
      </w:r>
      <w:r w:rsidR="001D4101">
        <w:t xml:space="preserve"> </w:t>
      </w:r>
    </w:p>
    <w:p w14:paraId="5CC39786" w14:textId="4C034328" w:rsidR="00A01DF3" w:rsidRPr="0027789B" w:rsidRDefault="008E65AA" w:rsidP="00561154">
      <w:pPr>
        <w:pStyle w:val="Definition"/>
      </w:pPr>
      <w:r w:rsidRPr="0027789B">
        <w:t>“</w:t>
      </w:r>
      <w:r w:rsidRPr="00FF157D">
        <w:rPr>
          <w:u w:val="single"/>
        </w:rPr>
        <w:t>California Climate Action Registry</w:t>
      </w:r>
      <w:r w:rsidRPr="0027789B">
        <w:t xml:space="preserve">” </w:t>
      </w:r>
      <w:r w:rsidR="00781570">
        <w:t>has the meaning set forth in Section 14.06(</w:t>
      </w:r>
      <w:r w:rsidR="00D86212">
        <w:t>e</w:t>
      </w:r>
      <w:r w:rsidRPr="0027789B">
        <w:t>).</w:t>
      </w:r>
    </w:p>
    <w:p w14:paraId="4334CE6A" w14:textId="3817E6BB" w:rsidR="00073DF0" w:rsidRPr="0027789B" w:rsidRDefault="00073DF0" w:rsidP="00F06C20">
      <w:pPr>
        <w:pStyle w:val="Definition"/>
      </w:pPr>
      <w:r w:rsidRPr="0027789B">
        <w:t>“</w:t>
      </w:r>
      <w:r w:rsidRPr="00FF157D">
        <w:rPr>
          <w:u w:val="single"/>
        </w:rPr>
        <w:t>CAM</w:t>
      </w:r>
      <w:r w:rsidRPr="0027789B">
        <w:t xml:space="preserve">” </w:t>
      </w:r>
      <w:r w:rsidR="00781570">
        <w:t>has the meaning set forth in Section 14.05(b)</w:t>
      </w:r>
      <w:r w:rsidRPr="0027789B">
        <w:t>.</w:t>
      </w:r>
    </w:p>
    <w:p w14:paraId="5BDF8528" w14:textId="77777777" w:rsidR="000D565D" w:rsidRPr="0027789B" w:rsidRDefault="00E33429" w:rsidP="00561154">
      <w:pPr>
        <w:pStyle w:val="Definition"/>
      </w:pPr>
      <w:r w:rsidRPr="0027789B">
        <w:lastRenderedPageBreak/>
        <w:t>“</w:t>
      </w:r>
      <w:r w:rsidR="008E65AA" w:rsidRPr="00FF157D">
        <w:rPr>
          <w:u w:val="single"/>
        </w:rPr>
        <w:t>Capacity</w:t>
      </w:r>
      <w:r w:rsidR="008E65AA" w:rsidRPr="0027789B">
        <w:t xml:space="preserve">” means, </w:t>
      </w:r>
      <w:r w:rsidR="008A41A4">
        <w:t xml:space="preserve">individually or </w:t>
      </w:r>
      <w:r w:rsidR="008E65AA" w:rsidRPr="0027789B">
        <w:t xml:space="preserve">collectively, </w:t>
      </w:r>
      <w:r w:rsidR="008A41A4">
        <w:t xml:space="preserve">as applicable, </w:t>
      </w:r>
      <w:r w:rsidR="008E65AA" w:rsidRPr="0027789B">
        <w:t xml:space="preserve">Charging Capacity, Discharging Capacity, and Storage Capacity. </w:t>
      </w:r>
    </w:p>
    <w:p w14:paraId="290448C4" w14:textId="77777777" w:rsidR="000D565D" w:rsidRPr="0027789B" w:rsidRDefault="000D565D" w:rsidP="00DB7FE0">
      <w:pPr>
        <w:pStyle w:val="Definition"/>
      </w:pPr>
      <w:r w:rsidRPr="0027789B">
        <w:t>“</w:t>
      </w:r>
      <w:r w:rsidRPr="00FF157D">
        <w:rPr>
          <w:u w:val="single"/>
        </w:rPr>
        <w:t>Capacity Attributes</w:t>
      </w:r>
      <w:r w:rsidRPr="0027789B">
        <w:t>” means any and all current or future defined characteristics, certificates, tags, credits, ancillary service attributes, or accounting constructs, howsoever entitled, including any accounting construct counted toward any RA Compliance Obligations, attributed to or associated with a Storage Unit throughout the Delivery Period, including:</w:t>
      </w:r>
    </w:p>
    <w:p w14:paraId="24685CFF" w14:textId="729976ED" w:rsidR="000D565D" w:rsidRPr="0027789B" w:rsidRDefault="000D565D" w:rsidP="00DB7FE0">
      <w:pPr>
        <w:pStyle w:val="Heading3"/>
        <w:numPr>
          <w:ilvl w:val="2"/>
          <w:numId w:val="120"/>
        </w:numPr>
      </w:pPr>
      <w:r w:rsidRPr="0027789B">
        <w:t xml:space="preserve">resource adequacy attributes, as may be identified from time to time by the CPUC, </w:t>
      </w:r>
      <w:r w:rsidR="00AC247E">
        <w:t>any</w:t>
      </w:r>
      <w:r w:rsidR="00AC247E" w:rsidRPr="0027789B">
        <w:t xml:space="preserve"> </w:t>
      </w:r>
      <w:r w:rsidRPr="0027789B">
        <w:t>other Governmental Authority</w:t>
      </w:r>
      <w:r w:rsidR="00AC247E">
        <w:t>, or the CAISO</w:t>
      </w:r>
      <w:r w:rsidRPr="0027789B">
        <w:t>, that can be counted toward RAR;</w:t>
      </w:r>
    </w:p>
    <w:p w14:paraId="52C47BA7" w14:textId="7BE40412" w:rsidR="000D565D" w:rsidRPr="0027789B" w:rsidRDefault="000D565D" w:rsidP="00DB7FE0">
      <w:pPr>
        <w:pStyle w:val="Heading3"/>
      </w:pPr>
      <w:r w:rsidRPr="0027789B">
        <w:t xml:space="preserve">resource adequacy attributes or other locational attributes for the Storage Unit related to a Local Capacity Area, as may be identified from time to time by the CPUC, </w:t>
      </w:r>
      <w:r w:rsidR="00AC247E">
        <w:t>any</w:t>
      </w:r>
      <w:r w:rsidRPr="0027789B">
        <w:t xml:space="preserve"> other Governmental Authority</w:t>
      </w:r>
      <w:r w:rsidR="00AC247E">
        <w:t>, or the CAISO</w:t>
      </w:r>
      <w:r w:rsidRPr="0027789B">
        <w:t>, associated with the physical location or point of electrical interconnection of the Storage Unit within the CAISO Controlled Grid, that can be counted toward Local RAR; and</w:t>
      </w:r>
    </w:p>
    <w:p w14:paraId="56C8876A" w14:textId="737D44E8" w:rsidR="00A01DF3" w:rsidRDefault="000D565D" w:rsidP="00DB7FE0">
      <w:pPr>
        <w:pStyle w:val="Heading3"/>
      </w:pPr>
      <w:r w:rsidRPr="0027789B">
        <w:t xml:space="preserve">flexible capacity resource adequacy attributes for the Storage Unit, including the amount of </w:t>
      </w:r>
      <w:r w:rsidR="007415FA" w:rsidRPr="0027789B">
        <w:t xml:space="preserve">Unit </w:t>
      </w:r>
      <w:r w:rsidRPr="0027789B">
        <w:t xml:space="preserve">EFC as may be identified from time to time by the CPUC, </w:t>
      </w:r>
      <w:r w:rsidR="00AC247E">
        <w:t>any</w:t>
      </w:r>
      <w:r w:rsidR="00AC247E" w:rsidRPr="0027789B">
        <w:t xml:space="preserve"> </w:t>
      </w:r>
      <w:r w:rsidRPr="0027789B">
        <w:t>other Governmental Authority</w:t>
      </w:r>
      <w:r w:rsidR="00AC247E">
        <w:t>,</w:t>
      </w:r>
      <w:r w:rsidRPr="0027789B">
        <w:t xml:space="preserve"> </w:t>
      </w:r>
      <w:r w:rsidR="00AC247E">
        <w:t>or the CAISO</w:t>
      </w:r>
      <w:r w:rsidRPr="0027789B">
        <w:t>, that can be counted toward Flexible RAR.</w:t>
      </w:r>
      <w:r w:rsidR="008E65AA" w:rsidRPr="0027789B">
        <w:t xml:space="preserve"> </w:t>
      </w:r>
    </w:p>
    <w:p w14:paraId="5902DD6C" w14:textId="77777777" w:rsidR="00CA7AF7" w:rsidRDefault="00CA7AF7" w:rsidP="00DB7FE0">
      <w:pPr>
        <w:pStyle w:val="Definition"/>
      </w:pPr>
      <w:r>
        <w:t xml:space="preserve">If </w:t>
      </w:r>
      <w:r w:rsidRPr="009120CA">
        <w:t>any change by the CAISO, CPUC or other Governmental Authority</w:t>
      </w:r>
      <w:r>
        <w:t xml:space="preserve"> occurs</w:t>
      </w:r>
      <w:r w:rsidRPr="009120CA">
        <w:t xml:space="preserve"> that defines new or re-defines existing</w:t>
      </w:r>
      <w:r w:rsidRPr="00AA2F65">
        <w:t>:</w:t>
      </w:r>
    </w:p>
    <w:p w14:paraId="78A926BE" w14:textId="475A82A7" w:rsidR="00080C39" w:rsidRDefault="00080C39" w:rsidP="00DB7FE0">
      <w:pPr>
        <w:pStyle w:val="Heading3"/>
      </w:pPr>
      <w:r w:rsidRPr="009120CA">
        <w:t xml:space="preserve">Local </w:t>
      </w:r>
      <w:r w:rsidRPr="00FF7FC0">
        <w:t>Capacity</w:t>
      </w:r>
      <w:r w:rsidRPr="009120CA">
        <w:t xml:space="preserve"> Areas resu</w:t>
      </w:r>
      <w:r>
        <w:t>lts</w:t>
      </w:r>
      <w:r w:rsidRPr="009120CA">
        <w:t xml:space="preserve"> in a decrease or increase in the amount of Capacity Attributes related to a Local Capacity Area provided hereunder </w:t>
      </w:r>
      <w:r>
        <w:t>there will be no</w:t>
      </w:r>
      <w:r w:rsidRPr="009120CA">
        <w:t xml:space="preserve"> change in payments made pursuant to this Agreement;</w:t>
      </w:r>
    </w:p>
    <w:p w14:paraId="0C4032C6" w14:textId="77777777" w:rsidR="00080C39" w:rsidRDefault="00080C39" w:rsidP="00DB7FE0">
      <w:pPr>
        <w:pStyle w:val="Heading3"/>
      </w:pPr>
      <w:r w:rsidRPr="009120CA">
        <w:t xml:space="preserve">Flexible </w:t>
      </w:r>
      <w:r w:rsidRPr="00FF7FC0">
        <w:t>RAR</w:t>
      </w:r>
      <w:r w:rsidRPr="009120CA">
        <w:t>, Capacity Attributes related to Flexible RAR, or attributes of the Project related to Flexible RAR, resul</w:t>
      </w:r>
      <w:r>
        <w:t>ts</w:t>
      </w:r>
      <w:r w:rsidRPr="009120CA">
        <w:t xml:space="preserve"> in a decrease or increase in the amount of Capacity Attributes related to Flexible RAR provided hereunder </w:t>
      </w:r>
      <w:r>
        <w:t>there will be no</w:t>
      </w:r>
      <w:r w:rsidRPr="009120CA">
        <w:t xml:space="preserve"> change in payments made pursuant to this Agreement;</w:t>
      </w:r>
    </w:p>
    <w:p w14:paraId="1EACEB25" w14:textId="3F729A81" w:rsidR="00CA7AF7" w:rsidRDefault="00CA7AF7" w:rsidP="00DB7FE0">
      <w:pPr>
        <w:pStyle w:val="Heading3"/>
      </w:pPr>
      <w:r w:rsidRPr="009120CA">
        <w:t xml:space="preserve">Local Capacity </w:t>
      </w:r>
      <w:r w:rsidRPr="00FF7FC0">
        <w:t>Areas</w:t>
      </w:r>
      <w:r w:rsidRPr="009120CA">
        <w:t xml:space="preserve"> </w:t>
      </w:r>
      <w:r>
        <w:t xml:space="preserve">results in </w:t>
      </w:r>
      <w:r w:rsidRPr="009120CA">
        <w:t>the Project subsequently qualif</w:t>
      </w:r>
      <w:r>
        <w:t>ying</w:t>
      </w:r>
      <w:r w:rsidRPr="009120CA">
        <w:t xml:space="preserve"> for a Local Capacity Area, the </w:t>
      </w:r>
      <w:r>
        <w:t>Capacity Attributes will change</w:t>
      </w:r>
      <w:r w:rsidRPr="009120CA">
        <w:t xml:space="preserve"> </w:t>
      </w:r>
      <w:r>
        <w:t>to</w:t>
      </w:r>
      <w:r w:rsidRPr="009120CA">
        <w:t xml:space="preserve"> include all Resource Adequacy Benefits related to such Local Capacity Area; and</w:t>
      </w:r>
    </w:p>
    <w:p w14:paraId="277A3A4D" w14:textId="748EF82D" w:rsidR="00CA7AF7" w:rsidRPr="0027789B" w:rsidRDefault="00CA7AF7" w:rsidP="00DB7FE0">
      <w:pPr>
        <w:pStyle w:val="Heading3"/>
      </w:pPr>
      <w:r w:rsidRPr="009120CA">
        <w:t xml:space="preserve">Flexible RAR, Capacity Attributes related to Flexible RAR, or attributes of any Storage Unit related to Flexible RAR </w:t>
      </w:r>
      <w:r>
        <w:t>results in</w:t>
      </w:r>
      <w:r w:rsidRPr="009120CA">
        <w:t xml:space="preserve"> any Storage Unit, or a portion </w:t>
      </w:r>
      <w:r w:rsidRPr="009120CA">
        <w:lastRenderedPageBreak/>
        <w:t>of any Storage Unit which did not previously qualify to satisfy Flex</w:t>
      </w:r>
      <w:r>
        <w:t>ible RAR, subsequently qualifying</w:t>
      </w:r>
      <w:r w:rsidRPr="009120CA">
        <w:t xml:space="preserve"> to satisfy Flexible RAR, the </w:t>
      </w:r>
      <w:r>
        <w:t>Capacity Attributes will change</w:t>
      </w:r>
      <w:r w:rsidRPr="009120CA">
        <w:t xml:space="preserve"> </w:t>
      </w:r>
      <w:r>
        <w:t>to</w:t>
      </w:r>
      <w:r w:rsidRPr="009120CA">
        <w:t xml:space="preserve"> include all Capacity Attributes of all Storage Units related to Flexible RAR, including any Capacity Attributes related to Flexible RAR with respect to any portion of the Storage Units which previously were not able to satisfy Flexible RAR.</w:t>
      </w:r>
    </w:p>
    <w:p w14:paraId="65FFCDDD" w14:textId="540552B9" w:rsidR="00A01DF3" w:rsidRPr="0027789B" w:rsidRDefault="008E65AA" w:rsidP="00FF157D">
      <w:pPr>
        <w:pStyle w:val="BodyText"/>
        <w:spacing w:after="240"/>
      </w:pPr>
      <w:r w:rsidRPr="0027789B">
        <w:t>“</w:t>
      </w:r>
      <w:r w:rsidRPr="00FF157D">
        <w:rPr>
          <w:u w:val="single"/>
        </w:rPr>
        <w:t>Capacity Availability</w:t>
      </w:r>
      <w:r w:rsidRPr="0027789B">
        <w:t>” means, for each Settlement Interval during a Put Period, the lesser of the following for each Storage Unit:</w:t>
      </w:r>
    </w:p>
    <w:p w14:paraId="218987C1" w14:textId="77777777" w:rsidR="00A01DF3" w:rsidRPr="00E95856" w:rsidRDefault="008E65AA" w:rsidP="00DB7FE0">
      <w:pPr>
        <w:pStyle w:val="Heading3"/>
        <w:numPr>
          <w:ilvl w:val="2"/>
          <w:numId w:val="129"/>
        </w:numPr>
        <w:rPr>
          <w:bCs/>
        </w:rPr>
      </w:pPr>
      <w:r w:rsidRPr="0027789B">
        <w:t xml:space="preserve">the Available Storage Capacity; </w:t>
      </w:r>
    </w:p>
    <w:p w14:paraId="3429C33E" w14:textId="77777777" w:rsidR="00A01DF3" w:rsidRPr="0027789B" w:rsidRDefault="008E65AA" w:rsidP="00DB7FE0">
      <w:pPr>
        <w:pStyle w:val="Heading3"/>
        <w:rPr>
          <w:bCs/>
        </w:rPr>
      </w:pPr>
      <w:r w:rsidRPr="0027789B">
        <w:t xml:space="preserve">the Available Charging Capacity; or </w:t>
      </w:r>
    </w:p>
    <w:p w14:paraId="4133E9FB" w14:textId="4453943E" w:rsidR="00A01DF3" w:rsidRPr="00484686" w:rsidRDefault="008E65AA" w:rsidP="00DB7FE0">
      <w:pPr>
        <w:pStyle w:val="Heading3"/>
        <w:rPr>
          <w:bCs/>
        </w:rPr>
      </w:pPr>
      <w:r w:rsidRPr="0027789B">
        <w:t>(i) the Available Discharging Capacity, or (ii) if such Storage Unit operates below the Performance Tolerance Band Lower Limit, the Available Discharging Capacity, less the product of (</w:t>
      </w:r>
      <w:r w:rsidR="0028440E">
        <w:t>A</w:t>
      </w:r>
      <w:r w:rsidRPr="0027789B">
        <w:t>) the difference between (</w:t>
      </w:r>
      <w:r w:rsidR="0028440E">
        <w:t>I</w:t>
      </w:r>
      <w:r w:rsidRPr="0027789B">
        <w:t>) Scheduled Energy and (</w:t>
      </w:r>
      <w:r w:rsidR="0028440E">
        <w:t>II</w:t>
      </w:r>
      <w:r w:rsidRPr="0027789B">
        <w:t>) Qualifying Delivered Energy, and (</w:t>
      </w:r>
      <w:r w:rsidR="0028440E">
        <w:t>B</w:t>
      </w:r>
      <w:r w:rsidRPr="0027789B">
        <w:t>) the number of S</w:t>
      </w:r>
      <w:r w:rsidR="00F65801" w:rsidRPr="0027789B">
        <w:t>ettlement Intervals in one hour</w:t>
      </w:r>
      <w:r w:rsidRPr="0027789B">
        <w:t xml:space="preserve">; </w:t>
      </w:r>
      <w:r w:rsidRPr="00DB7FE0">
        <w:t>provided</w:t>
      </w:r>
      <w:r w:rsidRPr="0027789B">
        <w:t xml:space="preserve">, if Scheduled Energy exceeds Contract Capacity Energy in a Settlement Interval, then, for the purpose of calculating Capacity Availability under this subsection (c) of this definition (including the determination of the Performance Tolerance Band Lower Limit), Scheduled Energy shall be deemed to equal Contract Capacity Energy for </w:t>
      </w:r>
      <w:r w:rsidRPr="00484686">
        <w:t xml:space="preserve">that Settlement Interval; </w:t>
      </w:r>
      <w:r w:rsidRPr="00DB7FE0">
        <w:t>provided further</w:t>
      </w:r>
      <w:r w:rsidRPr="00484686">
        <w:t xml:space="preserve">, that for any particular month, subsection (c)(ii) of this definition shall only apply if the Actual Efficiency Factor calculated pursuant </w:t>
      </w:r>
      <w:r w:rsidRPr="000678FD">
        <w:t xml:space="preserve">Section </w:t>
      </w:r>
      <w:r w:rsidR="00B022A3" w:rsidRPr="000678FD">
        <w:t>3</w:t>
      </w:r>
      <w:r w:rsidRPr="000678FD">
        <w:t>.</w:t>
      </w:r>
      <w:r w:rsidR="00B022A3" w:rsidRPr="000678FD">
        <w:t>10</w:t>
      </w:r>
      <w:r w:rsidRPr="000678FD">
        <w:t>(a) for such</w:t>
      </w:r>
      <w:r w:rsidRPr="00484686">
        <w:t xml:space="preserve"> month is greater than the </w:t>
      </w:r>
      <m:oMath>
        <m:r>
          <w:rPr>
            <w:rFonts w:ascii="Cambria Math" w:hAnsi="Cambria Math"/>
          </w:rPr>
          <m:t>GE</m:t>
        </m:r>
        <m:sSup>
          <m:sSupPr>
            <m:ctrlPr>
              <w:rPr>
                <w:rFonts w:ascii="Cambria Math" w:hAnsi="Cambria Math"/>
                <w:i/>
              </w:rPr>
            </m:ctrlPr>
          </m:sSupPr>
          <m:e>
            <m:r>
              <w:rPr>
                <w:rFonts w:ascii="Cambria Math" w:hAnsi="Cambria Math"/>
              </w:rPr>
              <m:t>F</m:t>
            </m:r>
          </m:e>
          <m:sup>
            <m:r>
              <w:rPr>
                <w:rFonts w:ascii="Cambria Math" w:hAnsi="Cambria Math"/>
              </w:rPr>
              <m:t>Min</m:t>
            </m:r>
          </m:sup>
        </m:sSup>
      </m:oMath>
      <w:r w:rsidR="001D4101" w:rsidRPr="00484686">
        <w:t xml:space="preserve">. </w:t>
      </w:r>
    </w:p>
    <w:p w14:paraId="7FA40E75" w14:textId="77777777" w:rsidR="00A01DF3" w:rsidRPr="0027789B" w:rsidRDefault="008E65AA" w:rsidP="00DB7FE0">
      <w:pPr>
        <w:pStyle w:val="Definition"/>
      </w:pPr>
      <w:r w:rsidRPr="0027789B">
        <w:t xml:space="preserve">In no event shall the Capacity Availability be less than zero (0) MW or greater than SU Contract Capacity. </w:t>
      </w:r>
    </w:p>
    <w:p w14:paraId="53CB9B42" w14:textId="580EA38D" w:rsidR="00A01DF3" w:rsidRPr="0027789B" w:rsidRDefault="008E65AA" w:rsidP="00561154">
      <w:pPr>
        <w:pStyle w:val="Definition"/>
      </w:pPr>
      <w:r w:rsidRPr="00362F4D">
        <w:t>“</w:t>
      </w:r>
      <w:r w:rsidRPr="00362F4D">
        <w:rPr>
          <w:u w:val="single"/>
        </w:rPr>
        <w:t>Capacity Price Adjustment Factor</w:t>
      </w:r>
      <w:r w:rsidRPr="00362F4D">
        <w:t xml:space="preserve">” has the meaning set forth in </w:t>
      </w:r>
      <w:r w:rsidRPr="004726AE">
        <w:t xml:space="preserve">Section </w:t>
      </w:r>
      <w:r w:rsidR="004726AE" w:rsidRPr="004726AE">
        <w:t>3</w:t>
      </w:r>
      <w:r w:rsidRPr="004726AE">
        <w:t>.</w:t>
      </w:r>
      <w:r w:rsidR="004726AE" w:rsidRPr="004726AE">
        <w:t>1</w:t>
      </w:r>
      <w:r w:rsidRPr="004726AE">
        <w:t>1</w:t>
      </w:r>
      <w:r w:rsidRPr="00362F4D">
        <w:t>(c)(iii</w:t>
      </w:r>
      <w:r w:rsidRPr="0027789B">
        <w:t>).</w:t>
      </w:r>
    </w:p>
    <w:p w14:paraId="163CA2AA" w14:textId="77777777" w:rsidR="007F0C43" w:rsidRPr="0027789B" w:rsidRDefault="007F0C43" w:rsidP="007F0C43">
      <w:pPr>
        <w:pStyle w:val="Definition"/>
      </w:pPr>
      <w:r w:rsidRPr="0027789B">
        <w:t>“</w:t>
      </w:r>
      <w:r w:rsidRPr="00FF157D">
        <w:rPr>
          <w:u w:val="single"/>
        </w:rPr>
        <w:t>CEC</w:t>
      </w:r>
      <w:r w:rsidRPr="0027789B">
        <w:t>” means the California Energy Commission.</w:t>
      </w:r>
    </w:p>
    <w:p w14:paraId="2EE3BDB3" w14:textId="77777777" w:rsidR="00A01DF3" w:rsidRPr="0027789B" w:rsidRDefault="008E65AA" w:rsidP="00DB7FE0">
      <w:pPr>
        <w:pStyle w:val="Definition"/>
      </w:pPr>
      <w:r w:rsidRPr="0027789B">
        <w:t>“</w:t>
      </w:r>
      <w:r w:rsidRPr="00FF157D">
        <w:rPr>
          <w:u w:val="single"/>
        </w:rPr>
        <w:t>Charging Capacity</w:t>
      </w:r>
      <w:r w:rsidRPr="0027789B">
        <w:t>” means the maximum dependable operating capability of any storage resource to charge electric energy into a storage device, and shall include, without limitation, Ancillary Services Capacity, and any other products that may be developed or evolve from time to time during the Term that relate to the capability of a storage resource to store and charge energy</w:t>
      </w:r>
      <w:r w:rsidR="001D4101">
        <w:t xml:space="preserve">. </w:t>
      </w:r>
    </w:p>
    <w:p w14:paraId="71F150B2" w14:textId="2F90383B" w:rsidR="00A01DF3" w:rsidRPr="0027789B" w:rsidRDefault="008E65AA" w:rsidP="00561154">
      <w:pPr>
        <w:pStyle w:val="Definition"/>
      </w:pPr>
      <w:r w:rsidRPr="00362F4D">
        <w:t>“</w:t>
      </w:r>
      <w:r w:rsidRPr="00362F4D">
        <w:rPr>
          <w:u w:val="single"/>
        </w:rPr>
        <w:t>Charging Energy Costs</w:t>
      </w:r>
      <w:r w:rsidRPr="00362F4D">
        <w:t xml:space="preserve">” has the meaning set forth in </w:t>
      </w:r>
      <w:r w:rsidRPr="008923FE">
        <w:t xml:space="preserve">Section </w:t>
      </w:r>
      <w:r w:rsidR="002A0D66">
        <w:t>5</w:t>
      </w:r>
      <w:r w:rsidRPr="008923FE">
        <w:t>.</w:t>
      </w:r>
      <w:r w:rsidR="002A0D66" w:rsidRPr="008923FE">
        <w:t>0</w:t>
      </w:r>
      <w:r w:rsidR="002A0D66">
        <w:t>3</w:t>
      </w:r>
      <w:r w:rsidR="008923FE" w:rsidRPr="008923FE">
        <w:t>(c)</w:t>
      </w:r>
      <w:r w:rsidRPr="0027789B">
        <w:t>.</w:t>
      </w:r>
    </w:p>
    <w:p w14:paraId="51B1A03E" w14:textId="77777777" w:rsidR="00A01DF3" w:rsidRPr="0027789B" w:rsidRDefault="008E65AA" w:rsidP="00561154">
      <w:pPr>
        <w:pStyle w:val="Definition"/>
      </w:pPr>
      <w:r w:rsidRPr="0027789B">
        <w:lastRenderedPageBreak/>
        <w:t>“</w:t>
      </w:r>
      <w:r w:rsidRPr="00FF157D">
        <w:rPr>
          <w:u w:val="single"/>
        </w:rPr>
        <w:t>Charging Energy Requirements</w:t>
      </w:r>
      <w:r w:rsidRPr="0027789B">
        <w:t xml:space="preserve">” means the electric energy requirements of a Storage Unit that is withdrawn from the </w:t>
      </w:r>
      <w:r w:rsidR="000A4EE4" w:rsidRPr="0027789B">
        <w:t>Transmission Provider</w:t>
      </w:r>
      <w:r w:rsidRPr="0027789B">
        <w:t xml:space="preserve">’s electrical system or the </w:t>
      </w:r>
      <w:r w:rsidR="00B767F2" w:rsidRPr="0027789B">
        <w:t>CAISO Controlled Grid</w:t>
      </w:r>
      <w:r w:rsidRPr="0027789B">
        <w:t xml:space="preserve"> to be stored by the Storage Unit and discharged at a later time</w:t>
      </w:r>
      <w:r w:rsidR="001D4101">
        <w:t xml:space="preserve">. </w:t>
      </w:r>
      <w:r w:rsidRPr="0027789B">
        <w:t>Under no circumstances does Charging Energy Requirements include Station Use.</w:t>
      </w:r>
    </w:p>
    <w:p w14:paraId="265D53CD" w14:textId="77777777" w:rsidR="00A01DF3" w:rsidRPr="00362F4D" w:rsidRDefault="008E65AA" w:rsidP="00DB7FE0">
      <w:pPr>
        <w:pStyle w:val="Definition"/>
      </w:pPr>
      <w:r w:rsidRPr="0027789B">
        <w:t>“</w:t>
      </w:r>
      <w:r w:rsidRPr="00FF157D">
        <w:rPr>
          <w:u w:val="single"/>
        </w:rPr>
        <w:t>Charging Notice</w:t>
      </w:r>
      <w:r w:rsidRPr="0027789B">
        <w:t xml:space="preserve">” means the operating instruction, and any subsequent updates, given by SCE or the CAISO to Seller, directing the applicable Storage Unit to charge at a specific megawatt rate to a specified </w:t>
      </w:r>
      <w:r w:rsidR="00977C0D" w:rsidRPr="0027789B">
        <w:t>Stored Energy Level</w:t>
      </w:r>
      <w:r w:rsidR="001D4101">
        <w:t xml:space="preserve">. </w:t>
      </w:r>
      <w:r w:rsidRPr="0027789B">
        <w:t>Charging Notices may be communicated electronically, via facsimile, telephonically or other verbal means</w:t>
      </w:r>
      <w:r w:rsidR="001D4101">
        <w:t xml:space="preserve">. </w:t>
      </w:r>
      <w:r w:rsidRPr="0027789B">
        <w:t>Telephonic or other verbal communications shall be documented (either recorded by tape, electronically or in writing) and such recordings shall be made available to both SCE and Seller upon request for settlement purposes</w:t>
      </w:r>
      <w:r w:rsidR="001D4101">
        <w:t xml:space="preserve">. </w:t>
      </w:r>
      <w:r w:rsidRPr="0027789B">
        <w:t xml:space="preserve">For the avoidance of doubt, any Schedule, including self-schedules, submitted by SCE or awarded by the CAISO in order to effectuate a Seller </w:t>
      </w:r>
      <w:r w:rsidRPr="00362F4D">
        <w:t>Initiated Test shall not be considered a Charging Notice.</w:t>
      </w:r>
    </w:p>
    <w:p w14:paraId="65649AD0" w14:textId="78DBFF4F" w:rsidR="00A01DF3" w:rsidRPr="00362F4D" w:rsidRDefault="008E65AA" w:rsidP="00561154">
      <w:pPr>
        <w:pStyle w:val="Definition"/>
      </w:pPr>
      <w:r w:rsidRPr="00362F4D">
        <w:t>“</w:t>
      </w:r>
      <w:r w:rsidRPr="00362F4D">
        <w:rPr>
          <w:u w:val="single"/>
        </w:rPr>
        <w:t>Claiming Party</w:t>
      </w:r>
      <w:r w:rsidRPr="00362F4D">
        <w:t>”</w:t>
      </w:r>
      <w:r w:rsidR="00C30D42" w:rsidRPr="00362F4D">
        <w:t xml:space="preserve"> has the meaning set forth in </w:t>
      </w:r>
      <w:r w:rsidR="00C30D42" w:rsidRPr="006179DF">
        <w:t xml:space="preserve">Section </w:t>
      </w:r>
      <w:r w:rsidR="009B2ACF">
        <w:t>8</w:t>
      </w:r>
      <w:r w:rsidR="00C30D42" w:rsidRPr="006179DF">
        <w:t>.02</w:t>
      </w:r>
      <w:r w:rsidR="00C30D42" w:rsidRPr="00362F4D">
        <w:t xml:space="preserve">. </w:t>
      </w:r>
    </w:p>
    <w:p w14:paraId="5F94185E" w14:textId="412672E2" w:rsidR="00A01DF3" w:rsidRPr="0027789B" w:rsidRDefault="008E65AA" w:rsidP="00561154">
      <w:pPr>
        <w:pStyle w:val="Definition"/>
      </w:pPr>
      <w:r w:rsidRPr="00362F4D">
        <w:t>“</w:t>
      </w:r>
      <w:r w:rsidRPr="00362F4D">
        <w:rPr>
          <w:u w:val="single"/>
        </w:rPr>
        <w:t>Collateral Assignment Agreement</w:t>
      </w:r>
      <w:r w:rsidRPr="00362F4D">
        <w:t xml:space="preserve">” has the meaning set forth in </w:t>
      </w:r>
      <w:r w:rsidRPr="008923FE">
        <w:t>Section</w:t>
      </w:r>
      <w:r w:rsidR="008923FE" w:rsidRPr="008923FE">
        <w:t xml:space="preserve"> </w:t>
      </w:r>
      <w:r w:rsidR="007B0BB3">
        <w:t>14</w:t>
      </w:r>
      <w:r w:rsidR="008923FE" w:rsidRPr="008923FE">
        <w:t>.0</w:t>
      </w:r>
      <w:r w:rsidR="007B0BB3">
        <w:t>4(d)</w:t>
      </w:r>
      <w:r w:rsidRPr="008923FE">
        <w:t>.</w:t>
      </w:r>
    </w:p>
    <w:p w14:paraId="4F77C330" w14:textId="37A67E8B" w:rsidR="00A01DF3" w:rsidRPr="00484686" w:rsidRDefault="008E65AA" w:rsidP="00561154">
      <w:pPr>
        <w:pStyle w:val="Definition"/>
      </w:pPr>
      <w:r w:rsidRPr="0027789B">
        <w:t>“</w:t>
      </w:r>
      <w:r w:rsidRPr="00FF157D">
        <w:rPr>
          <w:u w:val="single"/>
        </w:rPr>
        <w:t>Commercial Operation</w:t>
      </w:r>
      <w:r w:rsidRPr="0027789B">
        <w:t xml:space="preserve">” means that </w:t>
      </w:r>
      <w:r w:rsidRPr="00C600E0">
        <w:t xml:space="preserve">a Storage Unit has (i) </w:t>
      </w:r>
      <w:r w:rsidRPr="00484686">
        <w:t xml:space="preserve">successfully completed the demonstration set </w:t>
      </w:r>
      <w:r w:rsidRPr="00D01883">
        <w:t xml:space="preserve">forth in </w:t>
      </w:r>
      <w:r w:rsidR="00CF10CD">
        <w:rPr>
          <w:u w:val="single"/>
        </w:rPr>
        <w:t>Exhibit C</w:t>
      </w:r>
      <w:r w:rsidRPr="00D01883">
        <w:t xml:space="preserve">, </w:t>
      </w:r>
      <w:r w:rsidR="009805F8">
        <w:t xml:space="preserve">and </w:t>
      </w:r>
      <w:r w:rsidRPr="00D01883">
        <w:t xml:space="preserve">(ii) has met the requirements of </w:t>
      </w:r>
      <w:r w:rsidR="00CF10CD">
        <w:rPr>
          <w:u w:val="single"/>
        </w:rPr>
        <w:t>Exhibit C</w:t>
      </w:r>
      <w:r w:rsidRPr="00D01883">
        <w:t>, Part</w:t>
      </w:r>
      <w:r w:rsidRPr="00484686">
        <w:t xml:space="preserve"> II.C., and SCE has accepted the test results. </w:t>
      </w:r>
    </w:p>
    <w:p w14:paraId="4087D7A3" w14:textId="3DBD7EE5" w:rsidR="00A01DF3" w:rsidRPr="0027789B" w:rsidRDefault="008E65AA" w:rsidP="00DB7FE0">
      <w:pPr>
        <w:pStyle w:val="Definition"/>
      </w:pPr>
      <w:r w:rsidRPr="00484686">
        <w:t>“</w:t>
      </w:r>
      <w:r w:rsidRPr="00484686">
        <w:rPr>
          <w:u w:val="single"/>
        </w:rPr>
        <w:t>Confidential Information</w:t>
      </w:r>
      <w:r w:rsidRPr="00484686">
        <w:t xml:space="preserve">” means </w:t>
      </w:r>
      <w:r w:rsidR="0027596A" w:rsidRPr="00484686">
        <w:t>this Agreement, the terms and conditions and other facts with respect to this Agreement, and any and all written or recorded or oral information, data, analyses, documents, and materials furnished or made available by a Party or its Representatives to the other Party or its Representatives in connection with this Agreement, including any and all analyses, compilations, studies, documents, or other material prepared by the receiving Party or</w:t>
      </w:r>
      <w:r w:rsidR="0027596A" w:rsidRPr="006C768D">
        <w:t xml:space="preserve"> its Representatives to the extent containing or based upon such information, data, analyses, documents, and materials</w:t>
      </w:r>
      <w:r w:rsidR="001D4101">
        <w:t xml:space="preserve">. </w:t>
      </w:r>
      <w:r w:rsidR="0027596A" w:rsidRPr="006C768D">
        <w:t>Confidential Information does not include information, data, analyses, documents, or materials that (</w:t>
      </w:r>
      <w:r w:rsidR="00BA6F42">
        <w:t>a</w:t>
      </w:r>
      <w:r w:rsidR="0027596A" w:rsidRPr="006C768D">
        <w:t>) are when furnished or thereafter become available to the public other than as a result of a disclosure by the receiving Party or its Representatives, or (</w:t>
      </w:r>
      <w:r w:rsidR="00BA6F42">
        <w:t>b</w:t>
      </w:r>
      <w:r w:rsidR="0027596A" w:rsidRPr="006C768D">
        <w:t>) are already in the possession of or become available to the receiving Party or its Representatives on a nonconfidential basis from a source other than the disclosing Party or its Representatives, provided, to the best knowledge of the receiving Party or its Representatives, as the case may be, such source is not and was not bound by an obligation of confidentiality to the disclosing Party or its Representatives, or (</w:t>
      </w:r>
      <w:r w:rsidR="00BA6F42">
        <w:t>c</w:t>
      </w:r>
      <w:r w:rsidR="0027596A" w:rsidRPr="006C768D">
        <w:t>) the receiving Party or its Representatives can demonstrate that the information has been independently developed by the receiving Party’s personnel acting without access to the Confidential Information</w:t>
      </w:r>
      <w:r w:rsidRPr="0027789B">
        <w:t>.</w:t>
      </w:r>
      <w:bookmarkStart w:id="618" w:name="_DV_C2914"/>
    </w:p>
    <w:p w14:paraId="46FC0B17" w14:textId="77777777" w:rsidR="007E26C8" w:rsidRDefault="007E26C8" w:rsidP="00561154">
      <w:pPr>
        <w:pStyle w:val="Definition"/>
      </w:pPr>
      <w:r w:rsidRPr="00F23706">
        <w:t>“</w:t>
      </w:r>
      <w:r w:rsidRPr="006A6B16">
        <w:rPr>
          <w:u w:val="single"/>
        </w:rPr>
        <w:t>Conflicting Bid Quantities</w:t>
      </w:r>
      <w:r>
        <w:t xml:space="preserve">” </w:t>
      </w:r>
      <w:r w:rsidRPr="00F23706">
        <w:t>has the meaning set forth in Section</w:t>
      </w:r>
      <w:r>
        <w:t xml:space="preserve"> 6.04(d).</w:t>
      </w:r>
      <w:r w:rsidRPr="00EF6846">
        <w:t xml:space="preserve"> </w:t>
      </w:r>
    </w:p>
    <w:p w14:paraId="366861D4" w14:textId="62EDEE83" w:rsidR="00A01DF3" w:rsidRPr="0027789B" w:rsidRDefault="008E65AA" w:rsidP="00561154">
      <w:pPr>
        <w:pStyle w:val="Definition"/>
        <w:rPr>
          <w:bCs/>
        </w:rPr>
      </w:pPr>
      <w:r w:rsidRPr="0027789B">
        <w:rPr>
          <w:bCs/>
        </w:rPr>
        <w:t>“</w:t>
      </w:r>
      <w:r w:rsidRPr="00FF157D">
        <w:rPr>
          <w:u w:val="single"/>
        </w:rPr>
        <w:t>Congestion Revenue Right</w:t>
      </w:r>
      <w:r w:rsidRPr="0027789B">
        <w:rPr>
          <w:bCs/>
        </w:rPr>
        <w:t xml:space="preserve">” has the meaning set forth in the </w:t>
      </w:r>
      <w:r w:rsidR="00C43FB9" w:rsidRPr="0027789B">
        <w:rPr>
          <w:bCs/>
        </w:rPr>
        <w:t>CAISO Tariff</w:t>
      </w:r>
      <w:r w:rsidRPr="0027789B">
        <w:rPr>
          <w:bCs/>
        </w:rPr>
        <w:t>.</w:t>
      </w:r>
      <w:bookmarkEnd w:id="618"/>
    </w:p>
    <w:p w14:paraId="5D7DE525" w14:textId="29B9DEF9" w:rsidR="00A01DF3" w:rsidRPr="0027789B" w:rsidRDefault="008E65AA" w:rsidP="00561154">
      <w:pPr>
        <w:pStyle w:val="Definition"/>
      </w:pPr>
      <w:r w:rsidRPr="0027789B">
        <w:lastRenderedPageBreak/>
        <w:t>“</w:t>
      </w:r>
      <w:r w:rsidRPr="00FF157D">
        <w:rPr>
          <w:u w:val="single"/>
        </w:rPr>
        <w:t>Construction Report</w:t>
      </w:r>
      <w:r w:rsidRPr="0027789B">
        <w:t xml:space="preserve">” has the meaning set </w:t>
      </w:r>
      <w:r w:rsidRPr="00362F4D">
        <w:t xml:space="preserve">forth in </w:t>
      </w:r>
      <w:r w:rsidRPr="00504642">
        <w:t>Section</w:t>
      </w:r>
      <w:r w:rsidR="00504642" w:rsidRPr="00504642">
        <w:t xml:space="preserve"> 4.0</w:t>
      </w:r>
      <w:r w:rsidR="00D07E46">
        <w:t>6</w:t>
      </w:r>
      <w:r w:rsidRPr="00362F4D">
        <w:t>.</w:t>
      </w:r>
    </w:p>
    <w:p w14:paraId="41CCA232" w14:textId="4C24BFD4" w:rsidR="00A01DF3" w:rsidRPr="0027789B" w:rsidRDefault="008E65AA" w:rsidP="00DB7FE0">
      <w:pPr>
        <w:pStyle w:val="Definition"/>
      </w:pPr>
      <w:r w:rsidRPr="0027789B">
        <w:t>“</w:t>
      </w:r>
      <w:r w:rsidRPr="00FF157D">
        <w:rPr>
          <w:u w:val="single"/>
        </w:rPr>
        <w:t>Contract Capacity</w:t>
      </w:r>
      <w:r w:rsidRPr="0027789B">
        <w:t xml:space="preserve">” </w:t>
      </w:r>
      <w:r w:rsidR="00250103">
        <w:t>has the meaning set forth in Section 1.03</w:t>
      </w:r>
      <w:r w:rsidRPr="0027789B">
        <w:t>.</w:t>
      </w:r>
    </w:p>
    <w:p w14:paraId="62772543" w14:textId="77777777" w:rsidR="00A01DF3" w:rsidRPr="00C600E0" w:rsidRDefault="008E65AA" w:rsidP="00DB7FE0">
      <w:pPr>
        <w:pStyle w:val="Definition"/>
      </w:pPr>
      <w:r w:rsidRPr="0027789B">
        <w:t>“</w:t>
      </w:r>
      <w:r w:rsidRPr="00FF157D">
        <w:rPr>
          <w:u w:val="single"/>
        </w:rPr>
        <w:t>Contract Capacity Energy</w:t>
      </w:r>
      <w:r w:rsidRPr="0027789B">
        <w:t xml:space="preserve">” means the </w:t>
      </w:r>
      <w:r w:rsidRPr="00C600E0">
        <w:t>amount of Energy capable of being discharged, expressed in megawatt hours, by a Storage Unit based on its SU Contract Capacity.</w:t>
      </w:r>
    </w:p>
    <w:p w14:paraId="0FDD7806" w14:textId="060A10D8" w:rsidR="00A01DF3" w:rsidRPr="0027789B" w:rsidRDefault="008E65AA" w:rsidP="00DB7FE0">
      <w:pPr>
        <w:pStyle w:val="Definition"/>
      </w:pPr>
      <w:r w:rsidRPr="00C600E0">
        <w:t>“</w:t>
      </w:r>
      <w:r w:rsidRPr="00C600E0">
        <w:rPr>
          <w:u w:val="single"/>
        </w:rPr>
        <w:t>Contract Capacity &amp; Ancillary Services Tests</w:t>
      </w:r>
      <w:r w:rsidRPr="00C600E0">
        <w:t xml:space="preserve">” means the testing procedures, requirements, and protocols set forth in </w:t>
      </w:r>
      <w:r w:rsidR="00CF10CD">
        <w:rPr>
          <w:u w:val="single"/>
        </w:rPr>
        <w:t>Exhibit C</w:t>
      </w:r>
      <w:r w:rsidRPr="00D01883">
        <w:t>.</w:t>
      </w:r>
    </w:p>
    <w:p w14:paraId="3E523B3F" w14:textId="77777777" w:rsidR="00A01DF3" w:rsidRPr="0027789B" w:rsidRDefault="008E65AA" w:rsidP="00DB7FE0">
      <w:pPr>
        <w:pStyle w:val="Definition"/>
      </w:pPr>
      <w:r w:rsidRPr="0027789B">
        <w:t>“</w:t>
      </w:r>
      <w:r w:rsidRPr="00FF157D">
        <w:rPr>
          <w:u w:val="single"/>
        </w:rPr>
        <w:t>Contract Year</w:t>
      </w:r>
      <w:r w:rsidRPr="0027789B">
        <w:t>” means the months within each calendar year during the Delivery Period</w:t>
      </w:r>
      <w:r w:rsidR="001D4101">
        <w:t xml:space="preserve">. </w:t>
      </w:r>
      <w:r w:rsidRPr="0027789B">
        <w:t xml:space="preserve">The initial Contract Year </w:t>
      </w:r>
      <w:r w:rsidR="00E340CB" w:rsidRPr="0027789B">
        <w:t xml:space="preserve">will </w:t>
      </w:r>
      <w:r w:rsidRPr="0027789B">
        <w:t>be from the Initial Delivery Date until December 31st of such year</w:t>
      </w:r>
      <w:r w:rsidR="001D4101">
        <w:t xml:space="preserve">. </w:t>
      </w:r>
      <w:r w:rsidRPr="0027789B">
        <w:t xml:space="preserve">The second </w:t>
      </w:r>
      <w:r w:rsidR="00E340CB" w:rsidRPr="0027789B">
        <w:t>Contract Year will</w:t>
      </w:r>
      <w:r w:rsidRPr="0027789B">
        <w:t xml:space="preserve"> be from January 1st through December 31st of the year immediately following the initial Contract Year</w:t>
      </w:r>
      <w:r w:rsidR="001D4101">
        <w:t xml:space="preserve">. </w:t>
      </w:r>
      <w:r w:rsidRPr="0027789B">
        <w:t>The final Contract Year will be January 1st of the last year during which the Delivery Period occurs, through the last day of the Delivery Period.</w:t>
      </w:r>
      <w:bookmarkStart w:id="619" w:name="_DV_C2930"/>
    </w:p>
    <w:p w14:paraId="73B7BB26" w14:textId="77777777" w:rsidR="00A01DF3" w:rsidRPr="0027789B" w:rsidRDefault="008E65AA" w:rsidP="00DB7FE0">
      <w:pPr>
        <w:pStyle w:val="Definition"/>
        <w:rPr>
          <w:bCs/>
        </w:rPr>
      </w:pPr>
      <w:r w:rsidRPr="0027789B">
        <w:rPr>
          <w:bCs/>
        </w:rPr>
        <w:t>“</w:t>
      </w:r>
      <w:r w:rsidRPr="00FF157D">
        <w:rPr>
          <w:u w:val="single"/>
        </w:rPr>
        <w:t>Control Area</w:t>
      </w:r>
      <w:r w:rsidRPr="0027789B">
        <w:rPr>
          <w:bCs/>
        </w:rPr>
        <w:t>” means the electric power system (or combination of electric power systems) under the operational control of the CAISO or any other electric power system under the operational control of another organization vested with authority comparable to that of the CAISO.</w:t>
      </w:r>
      <w:bookmarkEnd w:id="619"/>
    </w:p>
    <w:p w14:paraId="38338DE9" w14:textId="4B34E9D0" w:rsidR="00F04B4A" w:rsidRPr="0027789B" w:rsidRDefault="00F04B4A" w:rsidP="00561154">
      <w:pPr>
        <w:pStyle w:val="Definition"/>
      </w:pPr>
      <w:r w:rsidRPr="0027789B">
        <w:t>“</w:t>
      </w:r>
      <w:r w:rsidR="00D55637">
        <w:rPr>
          <w:u w:val="single"/>
        </w:rPr>
        <w:t>CPD</w:t>
      </w:r>
      <w:r w:rsidRPr="00867921">
        <w:rPr>
          <w:u w:val="single"/>
        </w:rPr>
        <w:t xml:space="preserve"> Milestone Extension Date</w:t>
      </w:r>
      <w:r w:rsidRPr="0027789B">
        <w:t xml:space="preserve">” has the meaning </w:t>
      </w:r>
      <w:r w:rsidRPr="00362F4D">
        <w:t xml:space="preserve">set forth in </w:t>
      </w:r>
      <w:r w:rsidRPr="00541852">
        <w:t>Section</w:t>
      </w:r>
      <w:r w:rsidR="00541852" w:rsidRPr="00541852">
        <w:t xml:space="preserve"> </w:t>
      </w:r>
      <w:r w:rsidR="00F86599">
        <w:t>4</w:t>
      </w:r>
      <w:r w:rsidRPr="00541852">
        <w:t>.0</w:t>
      </w:r>
      <w:r w:rsidR="00F86599">
        <w:t>7</w:t>
      </w:r>
      <w:r w:rsidRPr="00362F4D">
        <w:t>(</w:t>
      </w:r>
      <w:r w:rsidR="00F86599">
        <w:t>a</w:t>
      </w:r>
      <w:r w:rsidRPr="00362F4D">
        <w:t>)</w:t>
      </w:r>
      <w:r w:rsidRPr="0027789B">
        <w:t>.</w:t>
      </w:r>
    </w:p>
    <w:p w14:paraId="2CD7FFF5" w14:textId="77777777" w:rsidR="00A01DF3" w:rsidRPr="0027789B" w:rsidRDefault="008E65AA" w:rsidP="00561154">
      <w:pPr>
        <w:pStyle w:val="Definition"/>
      </w:pPr>
      <w:r w:rsidRPr="0027789B">
        <w:t>“</w:t>
      </w:r>
      <w:r w:rsidRPr="00FF157D">
        <w:rPr>
          <w:u w:val="single"/>
        </w:rPr>
        <w:t>CPM Capacity</w:t>
      </w:r>
      <w:r w:rsidRPr="0027789B">
        <w:t xml:space="preserve">” has the meaning set forth in the </w:t>
      </w:r>
      <w:r w:rsidR="00C43FB9" w:rsidRPr="0027789B">
        <w:t>CAISO Tariff</w:t>
      </w:r>
      <w:r w:rsidRPr="0027789B">
        <w:t>.</w:t>
      </w:r>
    </w:p>
    <w:p w14:paraId="75832B73" w14:textId="77777777" w:rsidR="00A01DF3" w:rsidRPr="0027789B" w:rsidRDefault="008E65AA" w:rsidP="00561154">
      <w:pPr>
        <w:pStyle w:val="Definition"/>
      </w:pPr>
      <w:r w:rsidRPr="0027789B">
        <w:t>“</w:t>
      </w:r>
      <w:r w:rsidRPr="00FF157D">
        <w:rPr>
          <w:u w:val="single"/>
        </w:rPr>
        <w:t>CPUC</w:t>
      </w:r>
      <w:r w:rsidRPr="0027789B">
        <w:t>” means the California Public Utilities Commission.</w:t>
      </w:r>
    </w:p>
    <w:p w14:paraId="4426C5A0" w14:textId="0B7D9A9F" w:rsidR="00E60840" w:rsidRPr="0027789B" w:rsidRDefault="00E60840" w:rsidP="00DB7FE0">
      <w:pPr>
        <w:pStyle w:val="Definition"/>
      </w:pPr>
      <w:r w:rsidRPr="0027789B">
        <w:t>“</w:t>
      </w:r>
      <w:r w:rsidRPr="00FF157D">
        <w:rPr>
          <w:u w:val="single"/>
        </w:rPr>
        <w:t>CPUC Approval</w:t>
      </w:r>
      <w:r w:rsidRPr="0027789B">
        <w:t>” mean</w:t>
      </w:r>
      <w:r w:rsidR="002854B9" w:rsidRPr="0027789B">
        <w:t>s a decision of the CPUC that (a</w:t>
      </w:r>
      <w:r w:rsidRPr="0027789B">
        <w:t>) is final and no longer subject to appeal, which approves the Agreement in full and in the form presented on terms and conditions acceptable to SCE in its sole discretion, including terms and conditions related to cost recovery and cost allocation of amounts paid to</w:t>
      </w:r>
      <w:r w:rsidR="002854B9" w:rsidRPr="0027789B">
        <w:t xml:space="preserve"> Seller under the Agreement; (b</w:t>
      </w:r>
      <w:r w:rsidRPr="0027789B">
        <w:t>) does not contain conditions or modifications unacceptable to SCE, in</w:t>
      </w:r>
      <w:r w:rsidR="002854B9" w:rsidRPr="0027789B">
        <w:t xml:space="preserve"> SCE’s sole discretion; and (c</w:t>
      </w:r>
      <w:r w:rsidRPr="0027789B">
        <w:t>) finds that any procurement pursuant to this Agreement satisfies the requirement to procure resources under CPUC Decision 13-</w:t>
      </w:r>
      <w:r w:rsidR="002A2FA0">
        <w:t>0</w:t>
      </w:r>
      <w:r w:rsidR="003D4B57">
        <w:t>2</w:t>
      </w:r>
      <w:r w:rsidRPr="0027789B">
        <w:t>-0</w:t>
      </w:r>
      <w:r w:rsidR="003D4B57">
        <w:t>15</w:t>
      </w:r>
      <w:r w:rsidRPr="0027789B">
        <w:t>.</w:t>
      </w:r>
    </w:p>
    <w:p w14:paraId="1E7865DE" w14:textId="77777777" w:rsidR="00D52327" w:rsidRDefault="00D52327" w:rsidP="00DB7FE0">
      <w:pPr>
        <w:pStyle w:val="Definition"/>
      </w:pPr>
      <w:r w:rsidRPr="00D52327">
        <w:t>“</w:t>
      </w:r>
      <w:r w:rsidRPr="00771879">
        <w:rPr>
          <w:u w:val="single"/>
        </w:rPr>
        <w:t>CPUC Filing Guide</w:t>
      </w:r>
      <w:r w:rsidRPr="00D52327">
        <w:t>” is the annual document issued by the CPUC which sets forth the guidelines, requirements and instructions for load-serving entities to demonstrate compliance with the CPUC’s resource adequacy program.</w:t>
      </w:r>
    </w:p>
    <w:p w14:paraId="0BE8A7DB" w14:textId="74AF1DAA" w:rsidR="00531E49" w:rsidRPr="0027789B" w:rsidRDefault="008E65AA" w:rsidP="00DB7FE0">
      <w:pPr>
        <w:pStyle w:val="Definition"/>
      </w:pPr>
      <w:r w:rsidRPr="0027789B">
        <w:t>“</w:t>
      </w:r>
      <w:r w:rsidRPr="00FF157D">
        <w:rPr>
          <w:u w:val="single"/>
        </w:rPr>
        <w:t>Credit Rating</w:t>
      </w:r>
      <w:r w:rsidRPr="0027789B">
        <w:t xml:space="preserve">” means with respect to any entity, the rating then assigned to such entity’s unsecured, senior long-term debt </w:t>
      </w:r>
      <w:r w:rsidR="0096466F">
        <w:t xml:space="preserve">or deposit </w:t>
      </w:r>
      <w:r w:rsidRPr="0027789B">
        <w:t xml:space="preserve">obligations (not supported by third party credit enhancements) </w:t>
      </w:r>
      <w:r w:rsidR="0096466F">
        <w:t>by S&amp;P</w:t>
      </w:r>
      <w:r w:rsidR="00032336">
        <w:t xml:space="preserve"> or</w:t>
      </w:r>
      <w:r w:rsidR="0096466F">
        <w:t xml:space="preserve"> Moody’s.</w:t>
      </w:r>
      <w:r w:rsidR="0096466F" w:rsidRPr="00183138">
        <w:t xml:space="preserve"> </w:t>
      </w:r>
      <w:r w:rsidR="0096466F">
        <w:t>If</w:t>
      </w:r>
      <w:r w:rsidR="0096466F" w:rsidRPr="00183138">
        <w:t xml:space="preserve"> </w:t>
      </w:r>
      <w:r w:rsidR="0096466F">
        <w:t>no rating is assigned to such entity’s</w:t>
      </w:r>
      <w:r w:rsidR="0096466F" w:rsidRPr="00183138">
        <w:t xml:space="preserve"> unsecured</w:t>
      </w:r>
      <w:r w:rsidR="0096466F">
        <w:t>, senior</w:t>
      </w:r>
      <w:r w:rsidR="0096466F" w:rsidRPr="00183138">
        <w:t xml:space="preserve"> </w:t>
      </w:r>
      <w:r w:rsidR="0096466F" w:rsidRPr="00183138">
        <w:lastRenderedPageBreak/>
        <w:t>long-term debt</w:t>
      </w:r>
      <w:r w:rsidR="0096466F">
        <w:t xml:space="preserve"> or deposit obligations by any Ratings Agency</w:t>
      </w:r>
      <w:r w:rsidR="0096466F" w:rsidRPr="00183138">
        <w:t xml:space="preserve">, then </w:t>
      </w:r>
      <w:r w:rsidR="0096466F">
        <w:t xml:space="preserve">“Credit Rating” means </w:t>
      </w:r>
      <w:r w:rsidR="0096466F" w:rsidRPr="00183138">
        <w:t xml:space="preserve">the </w:t>
      </w:r>
      <w:r w:rsidR="0096466F">
        <w:t xml:space="preserve">general corporate credit rating or long-term issuer rating </w:t>
      </w:r>
      <w:r w:rsidR="0096466F" w:rsidRPr="00183138">
        <w:t xml:space="preserve">assigned to such entity </w:t>
      </w:r>
      <w:r w:rsidR="0096466F">
        <w:t>by S&amp;P</w:t>
      </w:r>
      <w:r w:rsidR="00032336">
        <w:t xml:space="preserve"> or</w:t>
      </w:r>
      <w:r w:rsidR="0096466F">
        <w:t xml:space="preserve"> Moody’s</w:t>
      </w:r>
      <w:r w:rsidRPr="0027789B">
        <w:t>.</w:t>
      </w:r>
      <w:r w:rsidR="00C81C1E">
        <w:t xml:space="preserve"> If an entity is rated by more than one Ratings Agency and the ratings are at different levels, then “Credit Rating” means the lowest such rating.</w:t>
      </w:r>
    </w:p>
    <w:p w14:paraId="777C247E" w14:textId="6FAF61D5" w:rsidR="00531E49" w:rsidRPr="0027789B" w:rsidRDefault="00531E49" w:rsidP="00561154">
      <w:pPr>
        <w:pStyle w:val="Definition"/>
      </w:pPr>
      <w:r w:rsidRPr="0027789B">
        <w:t>“</w:t>
      </w:r>
      <w:r w:rsidRPr="00FF157D">
        <w:rPr>
          <w:u w:val="single"/>
        </w:rPr>
        <w:t>Critical Path Development Milestone</w:t>
      </w:r>
      <w:r w:rsidRPr="0027789B">
        <w:t xml:space="preserve">” means any of the milestones set </w:t>
      </w:r>
      <w:r w:rsidRPr="00C600E0">
        <w:t xml:space="preserve">forth in </w:t>
      </w:r>
      <w:r w:rsidR="00D01883" w:rsidRPr="00D01883">
        <w:t>Section 4.07</w:t>
      </w:r>
      <w:r w:rsidRPr="00C600E0">
        <w:t>.</w:t>
      </w:r>
    </w:p>
    <w:p w14:paraId="7090EEDB" w14:textId="1CA69D70" w:rsidR="00DD1F59" w:rsidRPr="0027789B" w:rsidRDefault="00DD1F59" w:rsidP="00561154">
      <w:pPr>
        <w:pStyle w:val="Definition"/>
      </w:pPr>
      <w:r w:rsidRPr="0027789B">
        <w:t>“</w:t>
      </w:r>
      <w:r w:rsidRPr="00FF157D">
        <w:rPr>
          <w:u w:val="single"/>
        </w:rPr>
        <w:t>Daily Delay Liquidated Damages</w:t>
      </w:r>
      <w:r w:rsidRPr="0027789B">
        <w:t>” has the</w:t>
      </w:r>
      <w:r w:rsidRPr="0027789B">
        <w:rPr>
          <w:szCs w:val="20"/>
        </w:rPr>
        <w:t xml:space="preserve"> </w:t>
      </w:r>
      <w:r w:rsidRPr="0027789B">
        <w:t xml:space="preserve">meaning set forth in </w:t>
      </w:r>
      <w:r w:rsidRPr="00541852">
        <w:t>Section 2.0</w:t>
      </w:r>
      <w:r w:rsidR="00633AAC">
        <w:t>6</w:t>
      </w:r>
      <w:r w:rsidRPr="00541852">
        <w:t>.</w:t>
      </w:r>
    </w:p>
    <w:p w14:paraId="032835C8" w14:textId="77777777" w:rsidR="00A01DF3" w:rsidRPr="0027789B" w:rsidRDefault="008E65AA" w:rsidP="00561154">
      <w:pPr>
        <w:pStyle w:val="Definition"/>
      </w:pPr>
      <w:r w:rsidRPr="0027789B">
        <w:t>“</w:t>
      </w:r>
      <w:r w:rsidRPr="00FF157D">
        <w:rPr>
          <w:u w:val="single"/>
        </w:rPr>
        <w:t>Day-Ahead</w:t>
      </w:r>
      <w:r w:rsidRPr="0027789B">
        <w:t xml:space="preserve">” has the meaning set forth in the </w:t>
      </w:r>
      <w:r w:rsidR="00C43FB9" w:rsidRPr="0027789B">
        <w:t>CAISO Tariff</w:t>
      </w:r>
      <w:r w:rsidRPr="0027789B">
        <w:t>.</w:t>
      </w:r>
    </w:p>
    <w:p w14:paraId="38A3F4A0" w14:textId="29176F56" w:rsidR="00DC25C5" w:rsidRPr="0027789B" w:rsidRDefault="008E65AA" w:rsidP="00561154">
      <w:pPr>
        <w:pStyle w:val="Definition"/>
      </w:pPr>
      <w:r w:rsidRPr="0027789B">
        <w:t>“</w:t>
      </w:r>
      <w:r w:rsidRPr="00FF157D">
        <w:rPr>
          <w:u w:val="single"/>
        </w:rPr>
        <w:t>Day-Ahead Market</w:t>
      </w:r>
      <w:r w:rsidRPr="0027789B">
        <w:t xml:space="preserve">” </w:t>
      </w:r>
      <w:r w:rsidR="007E26C8">
        <w:t>or “</w:t>
      </w:r>
      <w:r w:rsidR="007E26C8">
        <w:rPr>
          <w:u w:val="single"/>
        </w:rPr>
        <w:t>DAM</w:t>
      </w:r>
      <w:r w:rsidR="007E26C8">
        <w:t xml:space="preserve">” </w:t>
      </w:r>
      <w:r w:rsidRPr="0027789B">
        <w:t xml:space="preserve">has the meaning set forth in the </w:t>
      </w:r>
      <w:r w:rsidR="00C43FB9" w:rsidRPr="0027789B">
        <w:t>CAISO Tariff</w:t>
      </w:r>
      <w:r w:rsidRPr="0027789B">
        <w:t>.</w:t>
      </w:r>
    </w:p>
    <w:p w14:paraId="2FE2B86F" w14:textId="77777777" w:rsidR="007E26C8" w:rsidRDefault="007E26C8" w:rsidP="00561154">
      <w:pPr>
        <w:pStyle w:val="Definition"/>
      </w:pPr>
      <w:r w:rsidRPr="00F23706">
        <w:t>“</w:t>
      </w:r>
      <w:r w:rsidRPr="00F222C8">
        <w:rPr>
          <w:u w:val="single"/>
        </w:rPr>
        <w:t>Day-of Bid Data</w:t>
      </w:r>
      <w:r>
        <w:t xml:space="preserve">” </w:t>
      </w:r>
      <w:r w:rsidRPr="00F23706">
        <w:t>has the meaning set forth in Section</w:t>
      </w:r>
      <w:r>
        <w:t xml:space="preserve"> 6.04(d).</w:t>
      </w:r>
    </w:p>
    <w:p w14:paraId="04EC7619" w14:textId="173DB141" w:rsidR="00DD1F59" w:rsidRPr="0027789B" w:rsidRDefault="008E65AA" w:rsidP="00561154">
      <w:pPr>
        <w:pStyle w:val="Definition"/>
      </w:pPr>
      <w:r w:rsidRPr="00484686">
        <w:t>“</w:t>
      </w:r>
      <w:r w:rsidRPr="00484686">
        <w:rPr>
          <w:u w:val="single"/>
        </w:rPr>
        <w:t>Defaulting Party</w:t>
      </w:r>
      <w:r w:rsidRPr="00484686">
        <w:t xml:space="preserve">” has the meaning set forth </w:t>
      </w:r>
      <w:r w:rsidRPr="00541852">
        <w:t xml:space="preserve">in Section </w:t>
      </w:r>
      <w:r w:rsidR="009B2ACF">
        <w:t>10</w:t>
      </w:r>
      <w:r w:rsidRPr="00541852">
        <w:t>.01</w:t>
      </w:r>
      <w:r w:rsidR="00982416" w:rsidRPr="00541852">
        <w:t>.</w:t>
      </w:r>
      <w:r w:rsidRPr="0027789B">
        <w:t xml:space="preserve"> </w:t>
      </w:r>
    </w:p>
    <w:p w14:paraId="7E7B4AA3" w14:textId="3EF2847D" w:rsidR="00A01DF3" w:rsidRPr="0027789B" w:rsidRDefault="008E65AA" w:rsidP="00F06C20">
      <w:pPr>
        <w:pStyle w:val="Definition"/>
      </w:pPr>
      <w:r w:rsidRPr="0027789B">
        <w:t>“</w:t>
      </w:r>
      <w:r w:rsidRPr="00FF157D">
        <w:rPr>
          <w:u w:val="single"/>
        </w:rPr>
        <w:t>Delivered Energy</w:t>
      </w:r>
      <w:r w:rsidRPr="0027789B">
        <w:t xml:space="preserve">” means, in respect of a Storage Unit during a Put Period, the amount of Energy discharged by such Storage Unit and delivered during each Settlement Interval at the Energy Delivery Point as measured by the </w:t>
      </w:r>
      <w:r w:rsidR="001331FC" w:rsidRPr="0027789B">
        <w:t>CAISO</w:t>
      </w:r>
      <w:r w:rsidR="002854B9" w:rsidRPr="0027789B">
        <w:t xml:space="preserve"> Approved Meter</w:t>
      </w:r>
      <w:r w:rsidRPr="0027789B">
        <w:t>, and subject to adjustments identified in this Agreement</w:t>
      </w:r>
      <w:r w:rsidR="001D4101">
        <w:t xml:space="preserve">. </w:t>
      </w:r>
      <w:r w:rsidRPr="0027789B">
        <w:t>The Delivered Energy in any hour is equal to the sum of the Delivered Energy for each Settlement Interval during such hour.</w:t>
      </w:r>
    </w:p>
    <w:p w14:paraId="5AEB39D6" w14:textId="3F74E8E8" w:rsidR="00A01DF3" w:rsidRPr="00362F4D" w:rsidRDefault="008E65AA" w:rsidP="00561154">
      <w:pPr>
        <w:pStyle w:val="Definition"/>
      </w:pPr>
      <w:r w:rsidRPr="0027789B">
        <w:t>“</w:t>
      </w:r>
      <w:r w:rsidRPr="00FF157D">
        <w:rPr>
          <w:u w:val="single"/>
        </w:rPr>
        <w:t>Delivery Period</w:t>
      </w:r>
      <w:r w:rsidRPr="0027789B">
        <w:t xml:space="preserve">” has the meaning set </w:t>
      </w:r>
      <w:r w:rsidRPr="00362F4D">
        <w:t xml:space="preserve">forth </w:t>
      </w:r>
      <w:r w:rsidRPr="00541852">
        <w:t>in Section</w:t>
      </w:r>
      <w:r w:rsidR="00541852" w:rsidRPr="00541852">
        <w:t xml:space="preserve"> 2.02</w:t>
      </w:r>
      <w:r w:rsidRPr="00541852">
        <w:t>.</w:t>
      </w:r>
    </w:p>
    <w:p w14:paraId="042DEDEA" w14:textId="77777777" w:rsidR="000B03C7" w:rsidRDefault="000B03C7" w:rsidP="000B03C7">
      <w:pPr>
        <w:pStyle w:val="Definition"/>
      </w:pPr>
      <w:r>
        <w:t>“</w:t>
      </w:r>
      <w:r w:rsidRPr="000B03C7">
        <w:rPr>
          <w:u w:val="single"/>
        </w:rPr>
        <w:t>DER Upgrade</w:t>
      </w:r>
      <w:r>
        <w:t>” has the meaning set forth in Section 6.01(e).</w:t>
      </w:r>
    </w:p>
    <w:p w14:paraId="0D16B2DE" w14:textId="790A13F0" w:rsidR="004E1EE3" w:rsidRDefault="004E1EE3" w:rsidP="000B03C7">
      <w:pPr>
        <w:pStyle w:val="Definition"/>
      </w:pPr>
      <w:r w:rsidRPr="00362F4D">
        <w:t>“</w:t>
      </w:r>
      <w:r w:rsidRPr="00362F4D">
        <w:rPr>
          <w:u w:val="single"/>
        </w:rPr>
        <w:t>DER</w:t>
      </w:r>
      <w:r w:rsidR="00925A79" w:rsidRPr="00362F4D">
        <w:rPr>
          <w:u w:val="single"/>
        </w:rPr>
        <w:t>s</w:t>
      </w:r>
      <w:r w:rsidRPr="00362F4D">
        <w:rPr>
          <w:u w:val="single"/>
        </w:rPr>
        <w:t xml:space="preserve"> Monitoring</w:t>
      </w:r>
      <w:r w:rsidRPr="00362F4D">
        <w:t xml:space="preserve">” has the meaning set forth </w:t>
      </w:r>
      <w:r w:rsidRPr="00B022A3">
        <w:t>in Section</w:t>
      </w:r>
      <w:r w:rsidR="00B022A3" w:rsidRPr="00B022A3">
        <w:t xml:space="preserve"> 6</w:t>
      </w:r>
      <w:r w:rsidRPr="00B022A3">
        <w:t>.01(</w:t>
      </w:r>
      <w:r w:rsidR="00D86212">
        <w:t>e</w:t>
      </w:r>
      <w:r w:rsidRPr="00B022A3">
        <w:t>).</w:t>
      </w:r>
    </w:p>
    <w:p w14:paraId="3AD8A63F" w14:textId="7D11FB17" w:rsidR="002854B9" w:rsidRPr="0027789B" w:rsidRDefault="002854B9" w:rsidP="00561154">
      <w:pPr>
        <w:pStyle w:val="Definition"/>
      </w:pPr>
      <w:r w:rsidRPr="0027789B">
        <w:t>“</w:t>
      </w:r>
      <w:r w:rsidRPr="00867921">
        <w:rPr>
          <w:u w:val="single"/>
        </w:rPr>
        <w:t>Development Security</w:t>
      </w:r>
      <w:r w:rsidRPr="0027789B">
        <w:t xml:space="preserve">” </w:t>
      </w:r>
      <w:r w:rsidR="0096466F">
        <w:t xml:space="preserve">means the collateral required </w:t>
      </w:r>
      <w:r w:rsidR="0096466F" w:rsidRPr="008923FE">
        <w:t>under</w:t>
      </w:r>
      <w:r w:rsidRPr="008923FE">
        <w:t xml:space="preserve"> Section </w:t>
      </w:r>
      <w:r w:rsidR="009B2ACF">
        <w:t>7</w:t>
      </w:r>
      <w:r w:rsidRPr="008923FE">
        <w:t>.0</w:t>
      </w:r>
      <w:r w:rsidR="00556AC8" w:rsidRPr="008923FE">
        <w:t>1</w:t>
      </w:r>
      <w:r w:rsidRPr="00484686">
        <w:t>.</w:t>
      </w:r>
    </w:p>
    <w:p w14:paraId="246E9030" w14:textId="77777777" w:rsidR="00A01DF3" w:rsidRPr="0027789B" w:rsidRDefault="008E65AA" w:rsidP="00F06C20">
      <w:pPr>
        <w:pStyle w:val="Definition"/>
      </w:pPr>
      <w:r w:rsidRPr="0027789B">
        <w:t>“</w:t>
      </w:r>
      <w:r w:rsidRPr="00FF157D">
        <w:rPr>
          <w:u w:val="single"/>
        </w:rPr>
        <w:t>Discharging Capacity</w:t>
      </w:r>
      <w:r w:rsidRPr="0027789B">
        <w:t>” means the maximum dependable operating capability of any storage resource to discharge energy, and shall include, without limitation, Ancillary Services Capacity, and any other products that may be developed or evolve from time to time during the Term that relate to the capability of a storage resource to store and discharge energy</w:t>
      </w:r>
      <w:r w:rsidR="001D4101">
        <w:t xml:space="preserve">. </w:t>
      </w:r>
    </w:p>
    <w:p w14:paraId="704EC170" w14:textId="1A6B63D6" w:rsidR="0051228E" w:rsidRDefault="008E65AA" w:rsidP="00F00115">
      <w:pPr>
        <w:pStyle w:val="Definition"/>
      </w:pPr>
      <w:r w:rsidRPr="0027789B">
        <w:t>“</w:t>
      </w:r>
      <w:r w:rsidRPr="00FF157D">
        <w:rPr>
          <w:u w:val="single"/>
        </w:rPr>
        <w:t>Dispatch Notice</w:t>
      </w:r>
      <w:r w:rsidRPr="0027789B">
        <w:t>” means the operating instruction, and any subsequent updates, given by SCE to Seller, directing the applicable Storage Unit to discharge at a specified megawatt output or a dispatch given by the CAISO</w:t>
      </w:r>
      <w:r w:rsidR="001D4101">
        <w:t xml:space="preserve">. </w:t>
      </w:r>
      <w:r w:rsidRPr="0027789B">
        <w:t>Dispatch Notices may be communicated electronically (i.e. through A</w:t>
      </w:r>
      <w:r w:rsidR="000F3889">
        <w:t xml:space="preserve">utomated </w:t>
      </w:r>
      <w:r w:rsidRPr="0027789B">
        <w:t>D</w:t>
      </w:r>
      <w:r w:rsidR="000F3889">
        <w:t xml:space="preserve">ispatch </w:t>
      </w:r>
      <w:r w:rsidRPr="0027789B">
        <w:t>S</w:t>
      </w:r>
      <w:r w:rsidR="000F3889">
        <w:t>ystem</w:t>
      </w:r>
      <w:r w:rsidR="002358DC">
        <w:t>, as defined by the CAISO Tariff,</w:t>
      </w:r>
      <w:r w:rsidRPr="0027789B">
        <w:t xml:space="preserve"> or e-mail), via facsimile, telephonically or other verbal means</w:t>
      </w:r>
      <w:r w:rsidR="001D4101">
        <w:t xml:space="preserve">. </w:t>
      </w:r>
      <w:r w:rsidRPr="0027789B">
        <w:t>Telephonic or other verbal communications shall be documented (either recorded by tape, electronically or in writing) and such recordings shall be made available to both SCE and Seller upon request for settlement purposes</w:t>
      </w:r>
      <w:r w:rsidR="001D4101">
        <w:t xml:space="preserve">. </w:t>
      </w:r>
      <w:r w:rsidRPr="0027789B">
        <w:t xml:space="preserve">For the avoidance </w:t>
      </w:r>
      <w:r w:rsidRPr="0027789B">
        <w:lastRenderedPageBreak/>
        <w:t xml:space="preserve">of doubt, any Schedule, including self-schedules, submitted by SCE or awarded by the CAISO in order to effectuate a Seller Initiated Test shall not be considered a Dispatch Notice for the period that is the greater of </w:t>
      </w:r>
    </w:p>
    <w:p w14:paraId="5A7B5492" w14:textId="24E1D399" w:rsidR="0051228E" w:rsidRDefault="008E65AA" w:rsidP="00DB7FE0">
      <w:pPr>
        <w:pStyle w:val="Heading3"/>
        <w:numPr>
          <w:ilvl w:val="2"/>
          <w:numId w:val="118"/>
        </w:numPr>
      </w:pPr>
      <w:bookmarkStart w:id="620" w:name="_Toc497309449"/>
      <w:r w:rsidRPr="0027789B">
        <w:t xml:space="preserve">the number of hours required to complete the test, or </w:t>
      </w:r>
      <w:bookmarkEnd w:id="620"/>
    </w:p>
    <w:p w14:paraId="10D6A161" w14:textId="6C85F35B" w:rsidR="00A01DF3" w:rsidRPr="0027789B" w:rsidRDefault="008E65AA" w:rsidP="00DB7FE0">
      <w:pPr>
        <w:pStyle w:val="Heading3"/>
      </w:pPr>
      <w:bookmarkStart w:id="621" w:name="_Toc497309450"/>
      <w:r w:rsidRPr="0027789B">
        <w:t>the Storage Unit(s)’ Minimum Run Time</w:t>
      </w:r>
      <w:r w:rsidR="0051228E">
        <w:t>, as defined</w:t>
      </w:r>
      <w:r w:rsidR="0051228E" w:rsidRPr="0027789B">
        <w:t xml:space="preserve"> in the CAISO Tariff</w:t>
      </w:r>
      <w:r w:rsidR="0051228E">
        <w:t xml:space="preserve">. </w:t>
      </w:r>
      <w:r w:rsidR="0051228E" w:rsidRPr="0027789B">
        <w:t>To the extent this CAISO Tariff definition refers to or is applicable to a generation resource, such definition shall apply to the Storage Unit(s) as if the Storage Unit(s) are generation resources; provided, it shall only apply to the Storage Unit(s)’ ability to discharge energy and for instances where the Storage Unit(s) are discharging energy</w:t>
      </w:r>
      <w:r w:rsidRPr="0027789B">
        <w:t>.</w:t>
      </w:r>
      <w:bookmarkEnd w:id="621"/>
    </w:p>
    <w:p w14:paraId="14F9D01F" w14:textId="77777777" w:rsidR="00A01DF3" w:rsidRPr="0027789B" w:rsidRDefault="008E65AA" w:rsidP="00DB7FE0">
      <w:pPr>
        <w:pStyle w:val="Definition"/>
      </w:pPr>
      <w:r w:rsidRPr="0027789B">
        <w:t>“</w:t>
      </w:r>
      <w:r w:rsidRPr="00FF157D">
        <w:rPr>
          <w:u w:val="single"/>
        </w:rPr>
        <w:t>Dispute</w:t>
      </w:r>
      <w:r w:rsidRPr="0027789B">
        <w:t>” means any and all disputes, claims or controversies arising out of, relating to, concerning or pertaining to the terms of this Agreement, or to either Party’s performance or failure of performance under this Agreement.</w:t>
      </w:r>
    </w:p>
    <w:p w14:paraId="1ACA25DE" w14:textId="067F59AB" w:rsidR="00A01DF3" w:rsidRPr="0027789B" w:rsidRDefault="008E65AA" w:rsidP="00DB7FE0">
      <w:pPr>
        <w:pStyle w:val="Definition"/>
      </w:pPr>
      <w:r w:rsidRPr="0027789B">
        <w:t>“</w:t>
      </w:r>
      <w:r w:rsidRPr="00FF157D">
        <w:rPr>
          <w:u w:val="single"/>
        </w:rPr>
        <w:t>Distributed Control System</w:t>
      </w:r>
      <w:r w:rsidRPr="0027789B">
        <w:t>” or “</w:t>
      </w:r>
      <w:r w:rsidRPr="00FF157D">
        <w:rPr>
          <w:u w:val="single"/>
        </w:rPr>
        <w:t>DCS</w:t>
      </w:r>
      <w:r w:rsidRPr="0027789B">
        <w:t>” means the integrated automation system for monitoring and controlling the critical operation functions of a facility that perform tasks essential to the charge, discharge and storage of electricity</w:t>
      </w:r>
      <w:r w:rsidR="001D4101">
        <w:t xml:space="preserve">. </w:t>
      </w:r>
    </w:p>
    <w:p w14:paraId="581B80CD" w14:textId="77777777" w:rsidR="004E1EE3" w:rsidRPr="0001148F" w:rsidRDefault="004E1EE3" w:rsidP="00DB7FE0">
      <w:pPr>
        <w:pStyle w:val="Definition"/>
      </w:pPr>
      <w:r w:rsidRPr="0001148F">
        <w:t>“</w:t>
      </w:r>
      <w:r w:rsidRPr="004E1EE3">
        <w:rPr>
          <w:u w:val="single"/>
        </w:rPr>
        <w:t>Distributed Energy Resources</w:t>
      </w:r>
      <w:r w:rsidRPr="0001148F">
        <w:t>” or “</w:t>
      </w:r>
      <w:r w:rsidRPr="004E1EE3">
        <w:rPr>
          <w:u w:val="single"/>
        </w:rPr>
        <w:t>DER</w:t>
      </w:r>
      <w:r w:rsidR="00EF5156">
        <w:rPr>
          <w:u w:val="single"/>
        </w:rPr>
        <w:t>s</w:t>
      </w:r>
      <w:r w:rsidRPr="0001148F">
        <w:t xml:space="preserve">” means </w:t>
      </w:r>
      <w:r w:rsidR="005B2625">
        <w:t>electrical</w:t>
      </w:r>
      <w:r w:rsidRPr="0001148F">
        <w:t xml:space="preserve"> power </w:t>
      </w:r>
      <w:r w:rsidR="005B2625">
        <w:t xml:space="preserve">or capacity </w:t>
      </w:r>
      <w:r w:rsidRPr="0001148F">
        <w:t xml:space="preserve">resources, such as distributed renewable generation, energy efficiency, energy storage and demand response technologies, </w:t>
      </w:r>
      <w:r w:rsidR="005B2625">
        <w:t xml:space="preserve">interconnecting directly to a distribution-level grid or sited at or within a load center connecting to a distribution grid. DERs may be stand-alone resources or may </w:t>
      </w:r>
      <w:r w:rsidRPr="0001148F">
        <w:t xml:space="preserve">be aggregated to provide power </w:t>
      </w:r>
      <w:r w:rsidR="005B2625">
        <w:t xml:space="preserve">to the grid </w:t>
      </w:r>
      <w:r w:rsidRPr="0001148F">
        <w:t>or load reduction to meet the local customer’s electric need.</w:t>
      </w:r>
    </w:p>
    <w:p w14:paraId="3229196E" w14:textId="18A4A603" w:rsidR="008630E0" w:rsidRPr="0027789B" w:rsidRDefault="008630E0" w:rsidP="00561154">
      <w:pPr>
        <w:pStyle w:val="Definition"/>
      </w:pPr>
      <w:r w:rsidRPr="0027789B">
        <w:t>“</w:t>
      </w:r>
      <w:r w:rsidRPr="00FF157D">
        <w:rPr>
          <w:u w:val="single"/>
        </w:rPr>
        <w:t>Diverse Business Enterprise</w:t>
      </w:r>
      <w:r w:rsidRPr="0027789B">
        <w:t xml:space="preserve">” </w:t>
      </w:r>
      <w:r w:rsidR="00EB62CC">
        <w:t>has the meaning set forth in Section 4.</w:t>
      </w:r>
      <w:r w:rsidR="00D07E46">
        <w:t>04</w:t>
      </w:r>
      <w:r w:rsidR="00EB62CC">
        <w:t>(d)</w:t>
      </w:r>
      <w:r w:rsidRPr="0027789B">
        <w:t>.</w:t>
      </w:r>
    </w:p>
    <w:p w14:paraId="6DC16C72" w14:textId="219C6E4D" w:rsidR="00A01DF3" w:rsidRPr="00362F4D" w:rsidRDefault="008E65AA" w:rsidP="00561154">
      <w:pPr>
        <w:pStyle w:val="Definition"/>
      </w:pPr>
      <w:r w:rsidRPr="00362F4D">
        <w:t>“</w:t>
      </w:r>
      <w:r w:rsidRPr="00362F4D">
        <w:rPr>
          <w:u w:val="single"/>
        </w:rPr>
        <w:t>Early Termination Date</w:t>
      </w:r>
      <w:r w:rsidRPr="00362F4D">
        <w:t xml:space="preserve">” has the meaning set forth </w:t>
      </w:r>
      <w:r w:rsidRPr="00541852">
        <w:t>in Section</w:t>
      </w:r>
      <w:r w:rsidR="00541852" w:rsidRPr="00541852">
        <w:t xml:space="preserve"> </w:t>
      </w:r>
      <w:r w:rsidR="009B2ACF">
        <w:t>10</w:t>
      </w:r>
      <w:r w:rsidRPr="00541852">
        <w:t>.0</w:t>
      </w:r>
      <w:r w:rsidR="00A75F75" w:rsidRPr="00541852">
        <w:t>2</w:t>
      </w:r>
      <w:r w:rsidRPr="00541852">
        <w:t>.</w:t>
      </w:r>
    </w:p>
    <w:p w14:paraId="53C2A842" w14:textId="31DB4D67" w:rsidR="00C8421F" w:rsidRDefault="00C8421F" w:rsidP="00561154">
      <w:pPr>
        <w:pStyle w:val="Definition"/>
      </w:pPr>
      <w:r w:rsidRPr="00266CB8">
        <w:t>“</w:t>
      </w:r>
      <w:r>
        <w:rPr>
          <w:u w:val="single"/>
        </w:rPr>
        <w:t>Economic Benefit</w:t>
      </w:r>
      <w:r w:rsidRPr="00266CB8">
        <w:t xml:space="preserve">” </w:t>
      </w:r>
      <w:r>
        <w:t>has</w:t>
      </w:r>
      <w:r w:rsidRPr="00266CB8">
        <w:t xml:space="preserve"> the meaning</w:t>
      </w:r>
      <w:r w:rsidRPr="0001148F">
        <w:t xml:space="preserve"> set </w:t>
      </w:r>
      <w:r w:rsidRPr="00E3489C">
        <w:t xml:space="preserve">forth in Section </w:t>
      </w:r>
      <w:r>
        <w:t>3</w:t>
      </w:r>
      <w:r w:rsidRPr="00E3489C">
        <w:t>.0</w:t>
      </w:r>
      <w:r>
        <w:t>5(d)(i)</w:t>
      </w:r>
      <w:r w:rsidRPr="00E3489C">
        <w:t>.</w:t>
      </w:r>
    </w:p>
    <w:p w14:paraId="5C36B64B" w14:textId="1E19691F" w:rsidR="007E26C8" w:rsidRDefault="007E26C8" w:rsidP="00561154">
      <w:pPr>
        <w:pStyle w:val="Definition"/>
      </w:pPr>
      <w:r>
        <w:t>“</w:t>
      </w:r>
      <w:r>
        <w:rPr>
          <w:u w:val="single"/>
        </w:rPr>
        <w:t>Economic Bid</w:t>
      </w:r>
      <w:r w:rsidR="00DE20E4">
        <w:rPr>
          <w:u w:val="single"/>
        </w:rPr>
        <w:t>s</w:t>
      </w:r>
      <w:r>
        <w:t>” has the meaning set forth in the CAISO Tariff.</w:t>
      </w:r>
    </w:p>
    <w:p w14:paraId="306A494D" w14:textId="549A65A3" w:rsidR="00A01DF3" w:rsidRPr="00362F4D" w:rsidRDefault="008E65AA" w:rsidP="00561154">
      <w:pPr>
        <w:pStyle w:val="Definition"/>
      </w:pPr>
      <w:r w:rsidRPr="00362F4D">
        <w:t>“</w:t>
      </w:r>
      <w:r w:rsidRPr="00362F4D">
        <w:rPr>
          <w:u w:val="single"/>
        </w:rPr>
        <w:t>Effective Date</w:t>
      </w:r>
      <w:r w:rsidRPr="00362F4D">
        <w:t>” has the meaning set forth in the preamble.</w:t>
      </w:r>
    </w:p>
    <w:p w14:paraId="788ADA6C" w14:textId="77777777" w:rsidR="00A01DF3" w:rsidRPr="0027789B" w:rsidRDefault="008E65AA" w:rsidP="00DB7FE0">
      <w:pPr>
        <w:pStyle w:val="Definition"/>
      </w:pPr>
      <w:r w:rsidRPr="00362F4D">
        <w:t>“</w:t>
      </w:r>
      <w:r w:rsidRPr="00362F4D">
        <w:rPr>
          <w:u w:val="single"/>
        </w:rPr>
        <w:t>Emission Reduction Credits</w:t>
      </w:r>
      <w:r w:rsidRPr="00362F4D">
        <w:t>” or “</w:t>
      </w:r>
      <w:r w:rsidRPr="00362F4D">
        <w:rPr>
          <w:u w:val="single"/>
        </w:rPr>
        <w:t>ERC</w:t>
      </w:r>
      <w:r w:rsidRPr="00362F4D">
        <w:t xml:space="preserve">” means emission reductions that have been authorized by a local air pollution control district pursuant to California Division 26 Air Resources; Health and Safety Code </w:t>
      </w:r>
      <w:r w:rsidRPr="002F5C7B">
        <w:t>Sections 40709</w:t>
      </w:r>
      <w:r w:rsidRPr="00362F4D">
        <w:t xml:space="preserve"> and 40709.5, whereby a district has established a system by which all reductions in the emission of air contaminants that are to be used to offset certain </w:t>
      </w:r>
      <w:r w:rsidRPr="00362F4D">
        <w:lastRenderedPageBreak/>
        <w:t>future increases in the emission of air contaminants shall</w:t>
      </w:r>
      <w:r w:rsidRPr="0027789B">
        <w:t xml:space="preserve"> be banked prior to use to offset future increases in emissions.</w:t>
      </w:r>
    </w:p>
    <w:p w14:paraId="01EA5E12" w14:textId="564E8A2C" w:rsidR="00A01DF3" w:rsidRPr="0027789B" w:rsidRDefault="008E65AA" w:rsidP="00DB7FE0">
      <w:pPr>
        <w:pStyle w:val="Definition"/>
      </w:pPr>
      <w:r w:rsidRPr="0027789B">
        <w:t>“</w:t>
      </w:r>
      <w:r w:rsidRPr="00FF157D">
        <w:rPr>
          <w:u w:val="single"/>
        </w:rPr>
        <w:t>Energy</w:t>
      </w:r>
      <w:r w:rsidRPr="0027789B">
        <w:t xml:space="preserve">” means all electrical energy </w:t>
      </w:r>
      <w:r w:rsidR="00A8147C" w:rsidRPr="0027789B">
        <w:t xml:space="preserve">produced, flowing or supplied by </w:t>
      </w:r>
      <w:r w:rsidRPr="0027789B">
        <w:t>discharged and stored by a Storage Unit</w:t>
      </w:r>
      <w:r w:rsidR="00A8147C" w:rsidRPr="0027789B">
        <w:t xml:space="preserve"> or the Project, as applicable, measured in kilowatt-hours or multiple</w:t>
      </w:r>
      <w:r w:rsidRPr="0027789B">
        <w:t xml:space="preserve"> units thereof</w:t>
      </w:r>
      <w:r w:rsidR="001D4101">
        <w:t xml:space="preserve">. </w:t>
      </w:r>
      <w:r w:rsidRPr="0027789B">
        <w:t>Energy shall include Associated Ancillary Services Energy, Supplemental Energy, and any other electrical energy products that may be developed or evolve from time to time during the Term.</w:t>
      </w:r>
    </w:p>
    <w:p w14:paraId="17277D55" w14:textId="4DFC191A" w:rsidR="00A01DF3" w:rsidRPr="00B022A3" w:rsidRDefault="008E65AA" w:rsidP="00561154">
      <w:pPr>
        <w:pStyle w:val="Definition"/>
      </w:pPr>
      <w:r w:rsidRPr="0027789B">
        <w:t>“</w:t>
      </w:r>
      <w:r w:rsidRPr="00FF157D">
        <w:rPr>
          <w:u w:val="single"/>
        </w:rPr>
        <w:t>Energy Adjustment Payment</w:t>
      </w:r>
      <w:r w:rsidRPr="0027789B">
        <w:t xml:space="preserve">” has the meaning </w:t>
      </w:r>
      <w:r w:rsidRPr="00362F4D">
        <w:t xml:space="preserve">set forth </w:t>
      </w:r>
      <w:r w:rsidRPr="00B022A3">
        <w:t xml:space="preserve">in Section </w:t>
      </w:r>
      <w:r w:rsidR="00B022A3" w:rsidRPr="00B022A3">
        <w:t>3</w:t>
      </w:r>
      <w:r w:rsidRPr="00B022A3">
        <w:t>.</w:t>
      </w:r>
      <w:r w:rsidR="00B022A3" w:rsidRPr="00B022A3">
        <w:t>10</w:t>
      </w:r>
      <w:r w:rsidR="0050248E" w:rsidRPr="00B022A3">
        <w:t>(e)</w:t>
      </w:r>
      <w:r w:rsidRPr="00B022A3">
        <w:t>.</w:t>
      </w:r>
    </w:p>
    <w:p w14:paraId="60FFE079" w14:textId="6A99212B" w:rsidR="00A01DF3" w:rsidRPr="0027789B" w:rsidRDefault="008E65AA" w:rsidP="00561154">
      <w:pPr>
        <w:pStyle w:val="Definition"/>
      </w:pPr>
      <w:r w:rsidRPr="00B022A3">
        <w:t>“</w:t>
      </w:r>
      <w:r w:rsidRPr="00B022A3">
        <w:rPr>
          <w:u w:val="single"/>
        </w:rPr>
        <w:t>Energy Adjustment Period</w:t>
      </w:r>
      <w:r w:rsidRPr="00B022A3">
        <w:t xml:space="preserve">” has the meaning set forth in Section </w:t>
      </w:r>
      <w:r w:rsidR="00B022A3" w:rsidRPr="00B022A3">
        <w:t>3</w:t>
      </w:r>
      <w:r w:rsidRPr="00B022A3">
        <w:t>.</w:t>
      </w:r>
      <w:r w:rsidR="00B022A3" w:rsidRPr="00B022A3">
        <w:t>10</w:t>
      </w:r>
      <w:r w:rsidRPr="00B022A3">
        <w:t>(a</w:t>
      </w:r>
      <w:r w:rsidRPr="00362F4D">
        <w:t>)(y).</w:t>
      </w:r>
    </w:p>
    <w:p w14:paraId="53537472" w14:textId="1E17A3DC" w:rsidR="00A01DF3" w:rsidRPr="0027789B" w:rsidRDefault="008E65AA" w:rsidP="00561154">
      <w:pPr>
        <w:pStyle w:val="Definition"/>
      </w:pPr>
      <w:r w:rsidRPr="0027789B">
        <w:t>“</w:t>
      </w:r>
      <w:r w:rsidRPr="00FF157D">
        <w:rPr>
          <w:u w:val="single"/>
        </w:rPr>
        <w:t>Energy Delivery Point</w:t>
      </w:r>
      <w:r w:rsidRPr="0027789B">
        <w:t xml:space="preserve">” </w:t>
      </w:r>
      <w:r w:rsidR="009E5B74" w:rsidRPr="0027789B">
        <w:t>means the point</w:t>
      </w:r>
      <w:r w:rsidRPr="0027789B">
        <w:t xml:space="preserve"> set </w:t>
      </w:r>
      <w:r w:rsidRPr="00B06EAD">
        <w:t>forth in Section 1.0</w:t>
      </w:r>
      <w:r w:rsidR="00B06EAD" w:rsidRPr="00B06EAD">
        <w:t>2(</w:t>
      </w:r>
      <w:r w:rsidR="00976FB2">
        <w:t>c</w:t>
      </w:r>
      <w:r w:rsidR="00B06EAD" w:rsidRPr="00B06EAD">
        <w:t>)</w:t>
      </w:r>
      <w:r w:rsidRPr="00B06EAD">
        <w:t>.</w:t>
      </w:r>
    </w:p>
    <w:p w14:paraId="43A7283C" w14:textId="4E5F0546" w:rsidR="00A01DF3" w:rsidRPr="00362F4D" w:rsidRDefault="008E65AA" w:rsidP="00561154">
      <w:pPr>
        <w:pStyle w:val="Definition"/>
      </w:pPr>
      <w:r w:rsidRPr="0027789B">
        <w:t>“</w:t>
      </w:r>
      <w:r w:rsidRPr="00FF157D">
        <w:rPr>
          <w:u w:val="single"/>
        </w:rPr>
        <w:t xml:space="preserve">Energy Efficiency Capacity </w:t>
      </w:r>
      <w:r w:rsidR="00374886" w:rsidRPr="00FF157D">
        <w:rPr>
          <w:u w:val="single"/>
        </w:rPr>
        <w:t xml:space="preserve">Payment </w:t>
      </w:r>
      <w:r w:rsidRPr="00FF157D">
        <w:rPr>
          <w:u w:val="single"/>
        </w:rPr>
        <w:t>Reduction</w:t>
      </w:r>
      <w:r w:rsidRPr="0027789B">
        <w:t>” has the meaning se</w:t>
      </w:r>
      <w:r w:rsidRPr="00362F4D">
        <w:t xml:space="preserve">t forth in </w:t>
      </w:r>
      <w:r w:rsidRPr="004726AE">
        <w:t xml:space="preserve">Section </w:t>
      </w:r>
      <w:r w:rsidR="004726AE" w:rsidRPr="004726AE">
        <w:t>3</w:t>
      </w:r>
      <w:r w:rsidRPr="004726AE">
        <w:t>.</w:t>
      </w:r>
      <w:r w:rsidR="004726AE">
        <w:t>1</w:t>
      </w:r>
      <w:r w:rsidRPr="00362F4D">
        <w:t>2.</w:t>
      </w:r>
    </w:p>
    <w:p w14:paraId="7EBF5212" w14:textId="66A79A11" w:rsidR="00A01DF3" w:rsidRPr="00362F4D" w:rsidRDefault="008E65AA" w:rsidP="00561154">
      <w:pPr>
        <w:pStyle w:val="Definition"/>
      </w:pPr>
      <w:r w:rsidRPr="00362F4D">
        <w:t>“</w:t>
      </w:r>
      <w:r w:rsidRPr="00362F4D">
        <w:rPr>
          <w:u w:val="single"/>
        </w:rPr>
        <w:t>Energy Efficiency Tolerance Band</w:t>
      </w:r>
      <w:r w:rsidRPr="00362F4D">
        <w:t xml:space="preserve">” has the meaning set forth in </w:t>
      </w:r>
      <w:r w:rsidRPr="000678FD">
        <w:t>Section</w:t>
      </w:r>
      <w:r w:rsidR="00B022A3" w:rsidRPr="000678FD">
        <w:t xml:space="preserve"> 3</w:t>
      </w:r>
      <w:r w:rsidRPr="000678FD">
        <w:t>.</w:t>
      </w:r>
      <w:r w:rsidR="00B022A3" w:rsidRPr="000678FD">
        <w:t>10</w:t>
      </w:r>
      <w:r w:rsidRPr="000678FD">
        <w:t>(d).</w:t>
      </w:r>
    </w:p>
    <w:p w14:paraId="0CBC794C" w14:textId="77777777" w:rsidR="00A01DF3" w:rsidRPr="0027789B" w:rsidRDefault="008E65AA" w:rsidP="00561154">
      <w:pPr>
        <w:pStyle w:val="Definition"/>
      </w:pPr>
      <w:r w:rsidRPr="00362F4D">
        <w:t>“</w:t>
      </w:r>
      <w:r w:rsidRPr="00362F4D">
        <w:rPr>
          <w:u w:val="single"/>
        </w:rPr>
        <w:t>Energy Put Option</w:t>
      </w:r>
      <w:r w:rsidRPr="00362F4D">
        <w:t xml:space="preserve">” has the meaning set forth in </w:t>
      </w:r>
      <w:r w:rsidRPr="00B06EAD">
        <w:t>Section 1.01.</w:t>
      </w:r>
      <w:r w:rsidRPr="0027789B">
        <w:t xml:space="preserve"> </w:t>
      </w:r>
    </w:p>
    <w:p w14:paraId="18B76841" w14:textId="77777777" w:rsidR="00DE20E4" w:rsidRPr="0001148F" w:rsidRDefault="00DE20E4" w:rsidP="00DE20E4">
      <w:pPr>
        <w:pStyle w:val="Definition"/>
        <w:widowControl w:val="0"/>
      </w:pPr>
      <w:r>
        <w:t>“</w:t>
      </w:r>
      <w:r w:rsidRPr="000A3430">
        <w:rPr>
          <w:u w:val="single"/>
        </w:rPr>
        <w:t>Energy Supply Bid</w:t>
      </w:r>
      <w:r>
        <w:rPr>
          <w:u w:val="single"/>
        </w:rPr>
        <w:t>” has the meaning set forth in the CAISO Tariff.</w:t>
      </w:r>
    </w:p>
    <w:p w14:paraId="35861CB8" w14:textId="26DBB127" w:rsidR="00A01DF3" w:rsidRPr="0027789B" w:rsidRDefault="008E65AA" w:rsidP="00DB7FE0">
      <w:pPr>
        <w:pStyle w:val="Definition"/>
      </w:pPr>
      <w:r w:rsidRPr="0027789B">
        <w:t>“</w:t>
      </w:r>
      <w:r w:rsidRPr="00FF157D">
        <w:rPr>
          <w:u w:val="single"/>
        </w:rPr>
        <w:t>Environmental Costs</w:t>
      </w:r>
      <w:r w:rsidRPr="0027789B">
        <w:t>”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14:paraId="75089CF3" w14:textId="77777777" w:rsidR="00A01DF3" w:rsidRPr="0027789B" w:rsidRDefault="008E65AA" w:rsidP="00DB7FE0">
      <w:pPr>
        <w:pStyle w:val="Definition"/>
      </w:pPr>
      <w:r w:rsidRPr="0027789B">
        <w:t>“</w:t>
      </w:r>
      <w:r w:rsidRPr="00FF157D">
        <w:rPr>
          <w:u w:val="single"/>
        </w:rPr>
        <w:t>EPC Contract</w:t>
      </w:r>
      <w:r w:rsidRPr="0027789B">
        <w:t>” means Seller’s engineering, procurement and construction contract with the EPC Contractor.</w:t>
      </w:r>
    </w:p>
    <w:p w14:paraId="667A1BDF" w14:textId="77777777" w:rsidR="00A01DF3" w:rsidRPr="0027789B" w:rsidRDefault="008E65AA" w:rsidP="00DB7FE0">
      <w:pPr>
        <w:pStyle w:val="Definition"/>
      </w:pPr>
      <w:r w:rsidRPr="0027789B">
        <w:t>“</w:t>
      </w:r>
      <w:r w:rsidRPr="00FF157D">
        <w:rPr>
          <w:u w:val="single"/>
        </w:rPr>
        <w:t>EPC Contractor</w:t>
      </w:r>
      <w:r w:rsidRPr="0027789B">
        <w:t>” means the entity chosen by Seller to perform the engineering, procurement and construction activities for the Project.</w:t>
      </w:r>
    </w:p>
    <w:p w14:paraId="758C351E" w14:textId="77777777" w:rsidR="00A01DF3" w:rsidRPr="0027789B" w:rsidRDefault="008E65AA" w:rsidP="00DB7FE0">
      <w:pPr>
        <w:pStyle w:val="Definition"/>
      </w:pPr>
      <w:r w:rsidRPr="0027789B">
        <w:t>“</w:t>
      </w:r>
      <w:r w:rsidR="00A8147C" w:rsidRPr="00FF157D">
        <w:rPr>
          <w:u w:val="single"/>
        </w:rPr>
        <w:t>Equitable Defense</w:t>
      </w:r>
      <w:r w:rsidRPr="0027789B">
        <w:t>” means any bankruptcy,</w:t>
      </w:r>
      <w:r w:rsidR="00A8147C" w:rsidRPr="0027789B">
        <w:t xml:space="preserve"> insolvency, reorganization or </w:t>
      </w:r>
      <w:r w:rsidRPr="0027789B">
        <w:t xml:space="preserve">other laws affecting creditors’ rights generally, and with regard to equitable remedies, the discretion of the court before </w:t>
      </w:r>
      <w:r w:rsidR="00A8147C" w:rsidRPr="0027789B">
        <w:t>which proceedings to obtain equitable remedies</w:t>
      </w:r>
      <w:r w:rsidRPr="0027789B">
        <w:t xml:space="preserve"> may be pending.</w:t>
      </w:r>
    </w:p>
    <w:p w14:paraId="1EDEAA73" w14:textId="32AE064F" w:rsidR="00A01DF3" w:rsidRPr="00362F4D" w:rsidRDefault="008E65AA" w:rsidP="00561154">
      <w:pPr>
        <w:pStyle w:val="Definition"/>
      </w:pPr>
      <w:r w:rsidRPr="0027789B">
        <w:lastRenderedPageBreak/>
        <w:t>“</w:t>
      </w:r>
      <w:r w:rsidRPr="00FF157D">
        <w:rPr>
          <w:u w:val="single"/>
        </w:rPr>
        <w:t>Event of Default</w:t>
      </w:r>
      <w:r w:rsidRPr="0027789B">
        <w:t xml:space="preserve">” has the meaning set </w:t>
      </w:r>
      <w:r w:rsidRPr="00541852">
        <w:t>forth in Section</w:t>
      </w:r>
      <w:r w:rsidR="00541852" w:rsidRPr="00541852">
        <w:t xml:space="preserve"> </w:t>
      </w:r>
      <w:r w:rsidR="009B2ACF">
        <w:t>10</w:t>
      </w:r>
      <w:r w:rsidRPr="00541852">
        <w:t>.01.</w:t>
      </w:r>
    </w:p>
    <w:p w14:paraId="5F3DBCA4" w14:textId="654F1B6D" w:rsidR="00A01DF3" w:rsidRPr="0027789B" w:rsidRDefault="008E65AA" w:rsidP="00561154">
      <w:pPr>
        <w:pStyle w:val="Definition"/>
      </w:pPr>
      <w:r w:rsidRPr="00362F4D">
        <w:t>“</w:t>
      </w:r>
      <w:r w:rsidRPr="00362F4D">
        <w:rPr>
          <w:u w:val="single"/>
        </w:rPr>
        <w:t>Excess Network Upgrade Costs</w:t>
      </w:r>
      <w:r w:rsidRPr="00362F4D">
        <w:t xml:space="preserve">” has the meaning set forth </w:t>
      </w:r>
      <w:r w:rsidRPr="00504642">
        <w:t xml:space="preserve">in Section </w:t>
      </w:r>
      <w:r w:rsidR="00504642" w:rsidRPr="00504642">
        <w:t>5</w:t>
      </w:r>
      <w:r w:rsidRPr="00504642">
        <w:t>.0</w:t>
      </w:r>
      <w:r w:rsidR="00504642" w:rsidRPr="00504642">
        <w:t>1(</w:t>
      </w:r>
      <w:r w:rsidR="00504642">
        <w:t>b)</w:t>
      </w:r>
      <w:r w:rsidR="001D4632">
        <w:t>(ii)(A)</w:t>
      </w:r>
      <w:r w:rsidRPr="0027789B">
        <w:t>.</w:t>
      </w:r>
    </w:p>
    <w:p w14:paraId="5E7AC8A0" w14:textId="77777777" w:rsidR="00A01DF3" w:rsidRPr="0027789B" w:rsidRDefault="008E65AA" w:rsidP="00561154">
      <w:pPr>
        <w:pStyle w:val="Definition"/>
      </w:pPr>
      <w:r w:rsidRPr="0027789B">
        <w:t>“</w:t>
      </w:r>
      <w:r w:rsidRPr="00FF157D">
        <w:rPr>
          <w:u w:val="single"/>
        </w:rPr>
        <w:t>Existing Zone</w:t>
      </w:r>
      <w:r w:rsidRPr="0027789B">
        <w:t xml:space="preserve">” has the meaning set forth in the </w:t>
      </w:r>
      <w:r w:rsidR="00C43FB9" w:rsidRPr="0027789B">
        <w:t>CAISO Tariff</w:t>
      </w:r>
      <w:r w:rsidRPr="0027789B">
        <w:t>.</w:t>
      </w:r>
    </w:p>
    <w:p w14:paraId="276F954B" w14:textId="77777777" w:rsidR="00A01DF3" w:rsidRPr="0027789B" w:rsidRDefault="008E65AA" w:rsidP="00561154">
      <w:pPr>
        <w:pStyle w:val="Definition"/>
      </w:pPr>
      <w:r w:rsidRPr="0027789B">
        <w:t>“</w:t>
      </w:r>
      <w:r w:rsidRPr="00FF157D">
        <w:rPr>
          <w:u w:val="single"/>
        </w:rPr>
        <w:t>Existing Zone Generation Trading Hub</w:t>
      </w:r>
      <w:r w:rsidRPr="0027789B">
        <w:t xml:space="preserve">” has the meaning set forth in the </w:t>
      </w:r>
      <w:r w:rsidR="000A4EE4" w:rsidRPr="0027789B">
        <w:t>CAISO Tariff</w:t>
      </w:r>
      <w:r w:rsidRPr="0027789B">
        <w:t>.</w:t>
      </w:r>
    </w:p>
    <w:p w14:paraId="7EBF18B0" w14:textId="09AF2B18" w:rsidR="00A01DF3" w:rsidRPr="00484686" w:rsidRDefault="008E65AA" w:rsidP="00DB7FE0">
      <w:pPr>
        <w:pStyle w:val="Definition"/>
      </w:pPr>
      <w:r w:rsidRPr="0027789B">
        <w:t>“</w:t>
      </w:r>
      <w:r w:rsidRPr="00FF157D">
        <w:rPr>
          <w:u w:val="single"/>
        </w:rPr>
        <w:t>Expected Contract Capacity</w:t>
      </w:r>
      <w:r w:rsidRPr="0027789B">
        <w:t xml:space="preserve">” means the expected capability of each Storage Unit to discharge energy as measured in megawatts at </w:t>
      </w:r>
      <w:r w:rsidRPr="00C600E0">
        <w:t xml:space="preserve">the Energy Delivery Point available for daily planning and operation purposes during the summer conditions at the Site based on historical weather data for the last </w:t>
      </w:r>
      <w:r w:rsidRPr="00484686">
        <w:t xml:space="preserve">30 years, and as set forth </w:t>
      </w:r>
      <w:r w:rsidRPr="00482B73">
        <w:t xml:space="preserve">in </w:t>
      </w:r>
      <w:r w:rsidR="00CF10CD">
        <w:rPr>
          <w:u w:val="single"/>
        </w:rPr>
        <w:t>Exhibit D</w:t>
      </w:r>
      <w:r w:rsidRPr="00482B73">
        <w:t>.</w:t>
      </w:r>
      <w:r w:rsidRPr="00484686">
        <w:t xml:space="preserve"> </w:t>
      </w:r>
    </w:p>
    <w:p w14:paraId="04230BDB" w14:textId="0BF5FBA7" w:rsidR="00A01DF3" w:rsidRPr="0027789B" w:rsidRDefault="008E65AA" w:rsidP="00DB7FE0">
      <w:pPr>
        <w:pStyle w:val="Definition"/>
      </w:pPr>
      <w:r w:rsidRPr="00484686">
        <w:t>“</w:t>
      </w:r>
      <w:r w:rsidRPr="00484686">
        <w:rPr>
          <w:u w:val="single"/>
        </w:rPr>
        <w:t>Expected Contract Quantity</w:t>
      </w:r>
      <w:r w:rsidRPr="00484686">
        <w:t>” means, with respect to any particular day of any Showing Month of a</w:t>
      </w:r>
      <w:r w:rsidR="004A2082">
        <w:t>n</w:t>
      </w:r>
      <w:r w:rsidRPr="00484686">
        <w:t xml:space="preserve"> RA Period, the Product (in MWs) for such day of such Showing Month, less any </w:t>
      </w:r>
      <w:r w:rsidRPr="000678FD">
        <w:t xml:space="preserve">reductions to the amount of Product (in MWs) that must be provided for such day as specified in Section </w:t>
      </w:r>
      <w:r w:rsidR="00C40E6C">
        <w:t>6</w:t>
      </w:r>
      <w:r w:rsidRPr="000678FD">
        <w:t>.0</w:t>
      </w:r>
      <w:r w:rsidR="00484686" w:rsidRPr="000678FD">
        <w:t>3</w:t>
      </w:r>
      <w:r w:rsidRPr="000678FD">
        <w:t>.</w:t>
      </w:r>
      <w:r w:rsidRPr="0027789B">
        <w:t xml:space="preserve"> </w:t>
      </w:r>
    </w:p>
    <w:p w14:paraId="4F8A8409" w14:textId="77777777" w:rsidR="00A01DF3" w:rsidRPr="0027789B" w:rsidRDefault="008E65AA" w:rsidP="00561154">
      <w:pPr>
        <w:pStyle w:val="Definition"/>
      </w:pPr>
      <w:r w:rsidRPr="0027789B">
        <w:t>“</w:t>
      </w:r>
      <w:r w:rsidRPr="00FF157D">
        <w:rPr>
          <w:u w:val="single"/>
        </w:rPr>
        <w:t>Expected Initial Delivery Date</w:t>
      </w:r>
      <w:r w:rsidRPr="0027789B">
        <w:t xml:space="preserve">” is the date set </w:t>
      </w:r>
      <w:r w:rsidRPr="00B06EAD">
        <w:t>forth in Section 2.03.</w:t>
      </w:r>
    </w:p>
    <w:p w14:paraId="0EF4832F" w14:textId="25C48792" w:rsidR="00C8421F" w:rsidRPr="0027789B" w:rsidRDefault="00C8421F" w:rsidP="00DB7FE0">
      <w:pPr>
        <w:pStyle w:val="Definition"/>
      </w:pPr>
      <w:r w:rsidRPr="0027789B">
        <w:t>“</w:t>
      </w:r>
      <w:r w:rsidRPr="00FF157D">
        <w:rPr>
          <w:u w:val="single"/>
        </w:rPr>
        <w:t>Federal Tax Credit Legislation</w:t>
      </w:r>
      <w:r w:rsidRPr="0027789B">
        <w:t>” means validly enacted federal legislation that provides federal income tax credits for owners of facilities that utilize equipment which receives, stores, and delivers electric energy using batteries</w:t>
      </w:r>
      <w:r w:rsidR="00773707">
        <w:t xml:space="preserve"> or other energy storage technologies</w:t>
      </w:r>
      <w:r w:rsidRPr="0027789B">
        <w:t>.</w:t>
      </w:r>
    </w:p>
    <w:p w14:paraId="5A73D7C6" w14:textId="77777777" w:rsidR="00A01DF3" w:rsidRPr="0027789B" w:rsidRDefault="008E65AA" w:rsidP="00DB7FE0">
      <w:pPr>
        <w:pStyle w:val="Definition"/>
      </w:pPr>
      <w:r w:rsidRPr="0027789B">
        <w:t>“</w:t>
      </w:r>
      <w:r w:rsidRPr="00FF157D">
        <w:rPr>
          <w:u w:val="single"/>
        </w:rPr>
        <w:t>FERC</w:t>
      </w:r>
      <w:r w:rsidRPr="0027789B">
        <w:t>” means the Federal Energy Regulatory Commission.</w:t>
      </w:r>
    </w:p>
    <w:p w14:paraId="2929B90C" w14:textId="5C560CC5" w:rsidR="00A01DF3" w:rsidRPr="0027789B" w:rsidRDefault="008E65AA" w:rsidP="00DB7FE0">
      <w:pPr>
        <w:pStyle w:val="Definition"/>
      </w:pPr>
      <w:r w:rsidRPr="0027789B">
        <w:t>“</w:t>
      </w:r>
      <w:r w:rsidRPr="00FF157D">
        <w:rPr>
          <w:u w:val="single"/>
        </w:rPr>
        <w:t>Financial Consolidation Requirement</w:t>
      </w:r>
      <w:r w:rsidRPr="0027789B">
        <w:t xml:space="preserve">” has the meaning set </w:t>
      </w:r>
      <w:r w:rsidRPr="00362F4D">
        <w:t xml:space="preserve">forth in </w:t>
      </w:r>
      <w:r w:rsidRPr="008923FE">
        <w:t xml:space="preserve">Section </w:t>
      </w:r>
      <w:r w:rsidR="001B1A90">
        <w:t>14.08</w:t>
      </w:r>
      <w:r w:rsidRPr="00362F4D">
        <w:t>(</w:t>
      </w:r>
      <w:r w:rsidRPr="0027789B">
        <w:t xml:space="preserve">a). </w:t>
      </w:r>
    </w:p>
    <w:p w14:paraId="404E3D20" w14:textId="01762BE1" w:rsidR="00A01DF3" w:rsidRPr="0027789B" w:rsidRDefault="004F3C4D" w:rsidP="00561154">
      <w:pPr>
        <w:pStyle w:val="Definition"/>
      </w:pPr>
      <w:r w:rsidRPr="0027789B" w:rsidDel="004F3C4D">
        <w:t xml:space="preserve"> </w:t>
      </w:r>
      <w:r w:rsidR="008E65AA" w:rsidRPr="0027789B">
        <w:t>“</w:t>
      </w:r>
      <w:r w:rsidR="008E65AA" w:rsidRPr="00FF157D">
        <w:rPr>
          <w:u w:val="single"/>
        </w:rPr>
        <w:t>Flexible Capacity</w:t>
      </w:r>
      <w:r w:rsidR="008E65AA" w:rsidRPr="0027789B">
        <w:t>” means, with respect to any particular Showing Month, the number of MWs of Product which are eligible to satisfy Flexible RAR.</w:t>
      </w:r>
    </w:p>
    <w:p w14:paraId="148BC926" w14:textId="578B78AA" w:rsidR="00A01DF3" w:rsidRPr="0027789B" w:rsidRDefault="008E65AA" w:rsidP="00DB7FE0">
      <w:pPr>
        <w:pStyle w:val="Definition"/>
      </w:pPr>
      <w:r w:rsidRPr="0027789B">
        <w:t>“</w:t>
      </w:r>
      <w:r w:rsidRPr="00FF157D">
        <w:rPr>
          <w:u w:val="single"/>
        </w:rPr>
        <w:t>Flexible RAR</w:t>
      </w:r>
      <w:r w:rsidRPr="0027789B">
        <w:t xml:space="preserve">” means the flexible capacity requirements established for load-serving entities by </w:t>
      </w:r>
      <w:r w:rsidR="00AC247E" w:rsidRPr="0027789B">
        <w:t xml:space="preserve">the CAISO pursuant to the CAISO Tariff, </w:t>
      </w:r>
      <w:r w:rsidRPr="0027789B">
        <w:t>the CPUC pursuant to the Resource Adequacy Rulings, or by any other Governmental Authority.</w:t>
      </w:r>
    </w:p>
    <w:p w14:paraId="51B06615" w14:textId="77777777" w:rsidR="00202F4B" w:rsidRPr="0027789B" w:rsidRDefault="008E65AA" w:rsidP="00561154">
      <w:pPr>
        <w:pStyle w:val="Definition"/>
      </w:pPr>
      <w:r w:rsidRPr="0027789B">
        <w:t>“</w:t>
      </w:r>
      <w:r w:rsidRPr="00FF157D">
        <w:rPr>
          <w:u w:val="single"/>
        </w:rPr>
        <w:t>Force Majeure</w:t>
      </w:r>
      <w:r w:rsidRPr="0027789B">
        <w:t>”</w:t>
      </w:r>
      <w:r w:rsidR="00202F4B" w:rsidRPr="0027789B">
        <w:t xml:space="preserve"> means any occurrence that was not anticipated as of the Effective Date that:</w:t>
      </w:r>
    </w:p>
    <w:p w14:paraId="77492511" w14:textId="77777777" w:rsidR="00202F4B" w:rsidRPr="0027789B" w:rsidRDefault="00202F4B" w:rsidP="004C2780">
      <w:pPr>
        <w:pStyle w:val="Heading3"/>
        <w:numPr>
          <w:ilvl w:val="2"/>
          <w:numId w:val="112"/>
        </w:numPr>
      </w:pPr>
      <w:r w:rsidRPr="0027789B">
        <w:t>In whole or in part:</w:t>
      </w:r>
    </w:p>
    <w:p w14:paraId="4C1FFD87" w14:textId="77777777" w:rsidR="00202F4B" w:rsidRPr="0027789B" w:rsidRDefault="00202F4B" w:rsidP="004C2780">
      <w:pPr>
        <w:pStyle w:val="Heading4"/>
      </w:pPr>
      <w:r w:rsidRPr="0027789B">
        <w:t>Delays a Party’s performance under this Agreement;</w:t>
      </w:r>
    </w:p>
    <w:p w14:paraId="024E03BB" w14:textId="77777777" w:rsidR="00202F4B" w:rsidRPr="0027789B" w:rsidRDefault="00202F4B" w:rsidP="004C2780">
      <w:pPr>
        <w:pStyle w:val="Heading4"/>
      </w:pPr>
      <w:r w:rsidRPr="0027789B">
        <w:t>Causes a Party to be unable to perform its obligations; or</w:t>
      </w:r>
    </w:p>
    <w:p w14:paraId="05F1CEB1" w14:textId="77777777" w:rsidR="00202F4B" w:rsidRPr="0027789B" w:rsidRDefault="00202F4B" w:rsidP="004C2780">
      <w:pPr>
        <w:pStyle w:val="Heading4"/>
      </w:pPr>
      <w:r w:rsidRPr="0027789B">
        <w:lastRenderedPageBreak/>
        <w:t>Prevents a Party from complying with or satisfying the conditions of this Agreement;</w:t>
      </w:r>
    </w:p>
    <w:p w14:paraId="289300CC" w14:textId="77777777" w:rsidR="00202F4B" w:rsidRPr="0027789B" w:rsidRDefault="00202F4B" w:rsidP="004C2780">
      <w:pPr>
        <w:pStyle w:val="Heading3"/>
      </w:pPr>
      <w:bookmarkStart w:id="622" w:name="_Ref264363310"/>
      <w:r w:rsidRPr="0027789B">
        <w:t>Is not within the reasonable control or the result of negligence of that Party; and</w:t>
      </w:r>
      <w:bookmarkEnd w:id="622"/>
    </w:p>
    <w:p w14:paraId="2A9247D3" w14:textId="77777777" w:rsidR="00202F4B" w:rsidRPr="0027789B" w:rsidRDefault="00202F4B" w:rsidP="004C2780">
      <w:pPr>
        <w:pStyle w:val="Heading3"/>
      </w:pPr>
      <w:r w:rsidRPr="0027789B">
        <w:t xml:space="preserve">The Party has been unable to overcome by the exercise of due diligence, including an act of God, flood, drought, earthquake, storm, fire, pestilence, lightning and other natural catastrophes, epidemic, war, riot, civil disturbance or disobedience, terrorism, sabotage, </w:t>
      </w:r>
      <w:r w:rsidR="005C7874" w:rsidRPr="0027789B">
        <w:t xml:space="preserve">or </w:t>
      </w:r>
      <w:r w:rsidRPr="0027789B">
        <w:t>strike or labo</w:t>
      </w:r>
      <w:r w:rsidR="005C7874" w:rsidRPr="0027789B">
        <w:t>r dispute</w:t>
      </w:r>
      <w:r w:rsidRPr="0027789B">
        <w:t>.</w:t>
      </w:r>
    </w:p>
    <w:p w14:paraId="48DA3D4F" w14:textId="77777777" w:rsidR="00202F4B" w:rsidRPr="0027789B" w:rsidRDefault="00202F4B" w:rsidP="00561154">
      <w:pPr>
        <w:pStyle w:val="Definition"/>
      </w:pPr>
      <w:r w:rsidRPr="0027789B">
        <w:t>Force Majeure does not include:</w:t>
      </w:r>
    </w:p>
    <w:p w14:paraId="776EE51D" w14:textId="77777777" w:rsidR="00202F4B" w:rsidRPr="0027789B" w:rsidRDefault="00202F4B" w:rsidP="004C2780">
      <w:pPr>
        <w:pStyle w:val="Heading3"/>
      </w:pPr>
      <w:r w:rsidRPr="0027789B">
        <w:t>Reductions in</w:t>
      </w:r>
      <w:r w:rsidR="00EC2CC2" w:rsidRPr="0027789B">
        <w:t xml:space="preserve"> the ability of the Storage Unit(s) to store, charge or discharge energy </w:t>
      </w:r>
      <w:r w:rsidRPr="0027789B">
        <w:t>resulting from ordinary wear a</w:t>
      </w:r>
      <w:r w:rsidR="00EC2CC2" w:rsidRPr="0027789B">
        <w:t>nd tear, deferred maintenance, o</w:t>
      </w:r>
      <w:r w:rsidRPr="0027789B">
        <w:t>perator error, or the failure of equipment or parts</w:t>
      </w:r>
      <w:r w:rsidR="00EC2CC2" w:rsidRPr="0027789B">
        <w:t xml:space="preserve"> except to the extent such failure is otherwise the result of a Force Majeure;</w:t>
      </w:r>
    </w:p>
    <w:p w14:paraId="745870C9" w14:textId="77777777" w:rsidR="00202F4B" w:rsidRPr="0027789B" w:rsidRDefault="00202F4B" w:rsidP="004C2780">
      <w:pPr>
        <w:pStyle w:val="Heading3"/>
      </w:pPr>
      <w:bookmarkStart w:id="623" w:name="_Ref110480066"/>
      <w:r w:rsidRPr="0027789B">
        <w:t>Curtailment or reduction in deliveries at the direction of a Transmission Provider or the CAISO when the basis of the curtailment or reduction in deliveries ordered by a Transmission Provider or the CAISO is congestion arising in the ordinary course of operations of the Transmission Provider’s system or the CAISO</w:t>
      </w:r>
      <w:r w:rsidR="003C7352" w:rsidRPr="0027789B">
        <w:t xml:space="preserve"> </w:t>
      </w:r>
      <w:r w:rsidRPr="0027789B">
        <w:t>Controlled Grid, including congestion caused by outages or capacity reductions for maintenance, construction or repair;</w:t>
      </w:r>
    </w:p>
    <w:p w14:paraId="7FEBB48B" w14:textId="77777777" w:rsidR="00202F4B" w:rsidRPr="0027789B" w:rsidRDefault="00202F4B" w:rsidP="004C2780">
      <w:pPr>
        <w:pStyle w:val="Heading3"/>
      </w:pPr>
      <w:r w:rsidRPr="0027789B">
        <w:t xml:space="preserve">Any delay in providing, or cancellation of, any Permit by the issuing Governmental Authority, except to the extent such delay or cancellation is </w:t>
      </w:r>
      <w:r w:rsidR="00EC2CC2" w:rsidRPr="0027789B">
        <w:t xml:space="preserve">otherwise </w:t>
      </w:r>
      <w:r w:rsidRPr="0027789B">
        <w:t xml:space="preserve">the result of a </w:t>
      </w:r>
      <w:r w:rsidR="004D5E6A" w:rsidRPr="0027789B">
        <w:t>Force Majeure</w:t>
      </w:r>
      <w:r w:rsidRPr="0027789B">
        <w:t>;</w:t>
      </w:r>
    </w:p>
    <w:p w14:paraId="107A3D7F" w14:textId="77777777" w:rsidR="00A01DF3" w:rsidRPr="0027789B" w:rsidRDefault="00202F4B" w:rsidP="004C2780">
      <w:pPr>
        <w:pStyle w:val="Heading3"/>
      </w:pPr>
      <w:r w:rsidRPr="0027789B">
        <w:t xml:space="preserve">Any delay in providing, or cancellation of, interconnection service by a Transmission Provider, except to the extent such delay or cancellation is </w:t>
      </w:r>
      <w:r w:rsidR="00EC2CC2" w:rsidRPr="0027789B">
        <w:t xml:space="preserve">otherwise </w:t>
      </w:r>
      <w:r w:rsidRPr="0027789B">
        <w:t xml:space="preserve">the result of a </w:t>
      </w:r>
      <w:r w:rsidR="004D5E6A" w:rsidRPr="0027789B">
        <w:t>Force Majeure</w:t>
      </w:r>
      <w:bookmarkEnd w:id="623"/>
      <w:r w:rsidR="005C7874" w:rsidRPr="0027789B">
        <w:t>;</w:t>
      </w:r>
      <w:r w:rsidR="00AF38AF" w:rsidRPr="0027789B">
        <w:t xml:space="preserve"> or</w:t>
      </w:r>
    </w:p>
    <w:p w14:paraId="3C95F47F" w14:textId="77777777" w:rsidR="005C7874" w:rsidRPr="0027789B" w:rsidRDefault="005C7874" w:rsidP="004C2780">
      <w:pPr>
        <w:pStyle w:val="Heading3"/>
      </w:pPr>
      <w:r w:rsidRPr="0027789B">
        <w:t>A failure of performance of any other entity, except to the extent that such failure was caused by an event that would otherwise q</w:t>
      </w:r>
      <w:r w:rsidR="00EC2CC2" w:rsidRPr="0027789B">
        <w:t>ualify as a Force Majeure</w:t>
      </w:r>
      <w:r w:rsidR="00AF38AF" w:rsidRPr="0027789B">
        <w:t>.</w:t>
      </w:r>
    </w:p>
    <w:p w14:paraId="5FD1914A" w14:textId="77777777" w:rsidR="00A01DF3" w:rsidRPr="0027789B" w:rsidRDefault="008E65AA" w:rsidP="00561154">
      <w:pPr>
        <w:pStyle w:val="Definition"/>
      </w:pPr>
      <w:r w:rsidRPr="0027789B">
        <w:t>“</w:t>
      </w:r>
      <w:r w:rsidRPr="00FF157D">
        <w:rPr>
          <w:u w:val="single"/>
        </w:rPr>
        <w:t>Forced Outage</w:t>
      </w:r>
      <w:r w:rsidRPr="0027789B">
        <w:t xml:space="preserve">” has the meaning set forth in the </w:t>
      </w:r>
      <w:r w:rsidR="000A4EE4" w:rsidRPr="0027789B">
        <w:t>CAISO Tariff</w:t>
      </w:r>
      <w:r w:rsidRPr="0027789B">
        <w:t>.</w:t>
      </w:r>
    </w:p>
    <w:p w14:paraId="05BFA5F8" w14:textId="3596ED60" w:rsidR="00A01DF3" w:rsidRPr="0027789B" w:rsidRDefault="008E65AA" w:rsidP="00DB7FE0">
      <w:pPr>
        <w:pStyle w:val="Definition"/>
      </w:pPr>
      <w:r w:rsidRPr="0027789B">
        <w:t>“</w:t>
      </w:r>
      <w:r w:rsidRPr="00FF157D">
        <w:rPr>
          <w:u w:val="single"/>
        </w:rPr>
        <w:t>Forward Settlement Amount</w:t>
      </w:r>
      <w:r w:rsidRPr="0027789B">
        <w:t xml:space="preserve">” means the Non-Defaulting Party’s </w:t>
      </w:r>
      <w:r w:rsidR="00BB2EA9">
        <w:t>c</w:t>
      </w:r>
      <w:r w:rsidRPr="0027789B">
        <w:t xml:space="preserve">osts and </w:t>
      </w:r>
      <w:r w:rsidR="00BB2EA9">
        <w:t>l</w:t>
      </w:r>
      <w:r w:rsidR="00BB2EA9" w:rsidRPr="0027789B">
        <w:t>osses</w:t>
      </w:r>
      <w:r w:rsidRPr="0027789B">
        <w:t xml:space="preserve">, on the one hand, netted </w:t>
      </w:r>
      <w:r w:rsidR="00AF38AF" w:rsidRPr="0027789B">
        <w:t xml:space="preserve">against its </w:t>
      </w:r>
      <w:r w:rsidR="00BB2EA9">
        <w:t>g</w:t>
      </w:r>
      <w:r w:rsidR="00BB2EA9" w:rsidRPr="0027789B">
        <w:t>ains</w:t>
      </w:r>
      <w:r w:rsidR="00AF38AF" w:rsidRPr="0027789B">
        <w:t>, on the other</w:t>
      </w:r>
      <w:r w:rsidR="001D4101">
        <w:t xml:space="preserve">. </w:t>
      </w:r>
      <w:r w:rsidRPr="0027789B">
        <w:t xml:space="preserve">If the Non-Defaulting Party’s </w:t>
      </w:r>
      <w:r w:rsidR="00BB2EA9">
        <w:t>c</w:t>
      </w:r>
      <w:r w:rsidR="00BB2EA9" w:rsidRPr="0027789B">
        <w:t xml:space="preserve">osts </w:t>
      </w:r>
      <w:r w:rsidRPr="0027789B">
        <w:t xml:space="preserve">and </w:t>
      </w:r>
      <w:r w:rsidR="00BB2EA9">
        <w:t>l</w:t>
      </w:r>
      <w:r w:rsidR="00BB2EA9" w:rsidRPr="0027789B">
        <w:t xml:space="preserve">osses </w:t>
      </w:r>
      <w:r w:rsidRPr="0027789B">
        <w:t xml:space="preserve">exceed its </w:t>
      </w:r>
      <w:r w:rsidR="00BB2EA9">
        <w:t>g</w:t>
      </w:r>
      <w:r w:rsidR="00BB2EA9" w:rsidRPr="0027789B">
        <w:t>ains</w:t>
      </w:r>
      <w:r w:rsidRPr="0027789B">
        <w:t xml:space="preserve">, then the Forward Settlement Amount shall be an amount owing to the Non-Defaulting </w:t>
      </w:r>
      <w:r w:rsidRPr="0027789B">
        <w:lastRenderedPageBreak/>
        <w:t>Party</w:t>
      </w:r>
      <w:r w:rsidR="001D4101">
        <w:t xml:space="preserve">. </w:t>
      </w:r>
      <w:r w:rsidRPr="0027789B">
        <w:t xml:space="preserve">If the Non-Defaulting Party’s </w:t>
      </w:r>
      <w:r w:rsidR="00BB2EA9">
        <w:t>g</w:t>
      </w:r>
      <w:r w:rsidR="00BB2EA9" w:rsidRPr="0027789B">
        <w:t xml:space="preserve">ains </w:t>
      </w:r>
      <w:r w:rsidRPr="0027789B">
        <w:t xml:space="preserve">exceed its </w:t>
      </w:r>
      <w:r w:rsidR="00BB2EA9">
        <w:t>c</w:t>
      </w:r>
      <w:r w:rsidR="00BB2EA9" w:rsidRPr="0027789B">
        <w:t xml:space="preserve">osts </w:t>
      </w:r>
      <w:r w:rsidRPr="0027789B">
        <w:t xml:space="preserve">and </w:t>
      </w:r>
      <w:r w:rsidR="00BB2EA9">
        <w:t>l</w:t>
      </w:r>
      <w:r w:rsidR="00BB2EA9" w:rsidRPr="0027789B">
        <w:t>osses</w:t>
      </w:r>
      <w:r w:rsidRPr="0027789B">
        <w:t xml:space="preserve">, then the Forward Settlement Amount shall be </w:t>
      </w:r>
      <w:r w:rsidR="0073153D">
        <w:t>z</w:t>
      </w:r>
      <w:r w:rsidR="0073153D" w:rsidRPr="0027789B">
        <w:t xml:space="preserve">ero </w:t>
      </w:r>
      <w:r w:rsidRPr="0027789B">
        <w:t>dollars ($0)</w:t>
      </w:r>
      <w:r w:rsidR="001D4101">
        <w:t xml:space="preserve">. </w:t>
      </w:r>
      <w:r w:rsidRPr="0027789B">
        <w:t>The Forward Settlement Amount does not include consequential, incidental, punitive, exemplary or indirect or business interruption damages.</w:t>
      </w:r>
    </w:p>
    <w:p w14:paraId="651A83B7" w14:textId="7954BEB8" w:rsidR="00BB2EA9" w:rsidRPr="00E95856" w:rsidRDefault="00BB2EA9" w:rsidP="00DB7FE0">
      <w:pPr>
        <w:pStyle w:val="Heading3"/>
        <w:numPr>
          <w:ilvl w:val="2"/>
          <w:numId w:val="122"/>
        </w:numPr>
        <w:rPr>
          <w:bCs/>
        </w:rPr>
      </w:pPr>
      <w:r>
        <w:t>When used in this definition, costs mean, with respect to the Non-Defaulting Party, brokerage fees, commissions, legal expenses and other similar third-party transaction costs and expenses reasonably incurred by the Non-Defaulting Party in entering into any new arrangement which replaces this Agreement, including, if SCE is the Non-Defaulting Party, with respect to credit towards SCE’s procurement requirements under CPUC Decision 13-10-040. With respect to SCE, costs shall be based on replacing the Product with product from Storage Unit(s) with similar attributes to the Project that is connected to a</w:t>
      </w:r>
      <w:r w:rsidRPr="00E95856">
        <w:rPr>
          <w:spacing w:val="-1"/>
        </w:rPr>
        <w:t xml:space="preserve"> </w:t>
      </w:r>
      <w:r>
        <w:t>circuit</w:t>
      </w:r>
      <w:r w:rsidRPr="00E95856">
        <w:rPr>
          <w:spacing w:val="-1"/>
        </w:rPr>
        <w:t xml:space="preserve"> </w:t>
      </w:r>
      <w:r>
        <w:t>or</w:t>
      </w:r>
      <w:r w:rsidRPr="00E95856">
        <w:rPr>
          <w:spacing w:val="-1"/>
        </w:rPr>
        <w:t xml:space="preserve"> lower </w:t>
      </w:r>
      <w:r>
        <w:t>voltage</w:t>
      </w:r>
      <w:r w:rsidRPr="00E95856">
        <w:rPr>
          <w:spacing w:val="-1"/>
        </w:rPr>
        <w:t xml:space="preserve"> </w:t>
      </w:r>
      <w:r>
        <w:t>substation</w:t>
      </w:r>
      <w:r w:rsidRPr="00E95856">
        <w:rPr>
          <w:spacing w:val="-1"/>
        </w:rPr>
        <w:t xml:space="preserve"> </w:t>
      </w:r>
      <w:r>
        <w:t>in</w:t>
      </w:r>
      <w:r w:rsidRPr="00E95856">
        <w:rPr>
          <w:spacing w:val="-1"/>
        </w:rPr>
        <w:t xml:space="preserve"> </w:t>
      </w:r>
      <w:r>
        <w:t>SCE’s</w:t>
      </w:r>
      <w:r w:rsidRPr="00E95856">
        <w:rPr>
          <w:spacing w:val="22"/>
        </w:rPr>
        <w:t xml:space="preserve"> </w:t>
      </w:r>
      <w:r>
        <w:t>distribution</w:t>
      </w:r>
      <w:r w:rsidRPr="00E95856">
        <w:rPr>
          <w:spacing w:val="-3"/>
        </w:rPr>
        <w:t xml:space="preserve"> </w:t>
      </w:r>
      <w:r>
        <w:t>system</w:t>
      </w:r>
      <w:r w:rsidRPr="00E95856">
        <w:rPr>
          <w:spacing w:val="-1"/>
        </w:rPr>
        <w:t xml:space="preserve"> </w:t>
      </w:r>
      <w:r>
        <w:t>that</w:t>
      </w:r>
      <w:r w:rsidRPr="00E95856">
        <w:rPr>
          <w:spacing w:val="-1"/>
        </w:rPr>
        <w:t xml:space="preserve"> electrically</w:t>
      </w:r>
      <w:r w:rsidRPr="00E95856">
        <w:rPr>
          <w:spacing w:val="-3"/>
        </w:rPr>
        <w:t xml:space="preserve"> </w:t>
      </w:r>
      <w:r>
        <w:t>connects</w:t>
      </w:r>
      <w:r w:rsidRPr="00E95856">
        <w:rPr>
          <w:spacing w:val="-1"/>
        </w:rPr>
        <w:t xml:space="preserve"> directly </w:t>
      </w:r>
      <w:r>
        <w:t>to the Interconnection Point set forth in Section 1.02(c)</w:t>
      </w:r>
      <w:r w:rsidR="003F6377" w:rsidRPr="003F6377">
        <w:rPr>
          <w:i/>
          <w:color w:val="00B050"/>
        </w:rPr>
        <w:t xml:space="preserve"> </w:t>
      </w:r>
      <w:r w:rsidR="003F6377" w:rsidRPr="00A864BA">
        <w:rPr>
          <w:i/>
          <w:color w:val="00B050"/>
        </w:rPr>
        <w:t xml:space="preserve">[and </w:t>
      </w:r>
      <w:r w:rsidR="003F6377">
        <w:rPr>
          <w:i/>
          <w:color w:val="00B050"/>
        </w:rPr>
        <w:t xml:space="preserve">SCE may take into consideration that this Agreement </w:t>
      </w:r>
      <w:r w:rsidR="003F6377" w:rsidRPr="00A864BA">
        <w:rPr>
          <w:i/>
          <w:color w:val="00B050"/>
        </w:rPr>
        <w:t>contains non-standard covenants related to performance during an N-2 Event]</w:t>
      </w:r>
      <w:r w:rsidRPr="00B06EAD">
        <w:t>.</w:t>
      </w:r>
      <w:r w:rsidR="003F6377">
        <w:t xml:space="preserve"> </w:t>
      </w:r>
    </w:p>
    <w:p w14:paraId="376FEB0F" w14:textId="68C50D96" w:rsidR="00BB2EA9" w:rsidRPr="0024612D" w:rsidRDefault="00BB2EA9" w:rsidP="00DB7FE0">
      <w:pPr>
        <w:pStyle w:val="Heading3"/>
      </w:pPr>
      <w:r>
        <w:t xml:space="preserve">When used in this definition, gains or losses mean, </w:t>
      </w:r>
      <w:r w:rsidRPr="0024612D">
        <w:t xml:space="preserve">with respect to </w:t>
      </w:r>
      <w:r>
        <w:t>any</w:t>
      </w:r>
      <w:r w:rsidRPr="0024612D">
        <w:t xml:space="preserve"> Party, an amount equal to the present value of the economic </w:t>
      </w:r>
      <w:r>
        <w:t xml:space="preserve">benefit or </w:t>
      </w:r>
      <w:r w:rsidRPr="0024612D">
        <w:t xml:space="preserve">loss to </w:t>
      </w:r>
      <w:r>
        <w:t>such Party</w:t>
      </w:r>
      <w:r w:rsidRPr="0024612D">
        <w:t xml:space="preserve">, if any (exclusive of </w:t>
      </w:r>
      <w:r>
        <w:t>c</w:t>
      </w:r>
      <w:r w:rsidRPr="0024612D">
        <w:t xml:space="preserve">osts), resulting from the termination of this Agreement for the remaining Term of this Agreement, determined in a commercially reasonable manner. For purposes of determining </w:t>
      </w:r>
      <w:r>
        <w:t>l</w:t>
      </w:r>
      <w:r w:rsidRPr="0024612D">
        <w:t>osses</w:t>
      </w:r>
      <w:r>
        <w:t xml:space="preserve"> only</w:t>
      </w:r>
      <w:r w:rsidRPr="0024612D">
        <w:t>, Seller shall be deemed to have exercised its Energy Put Option for each and every remaining Contract Year of the Term.</w:t>
      </w:r>
    </w:p>
    <w:p w14:paraId="5B996242" w14:textId="697E5770" w:rsidR="00BB2EA9" w:rsidRPr="0027789B" w:rsidRDefault="00BB2EA9" w:rsidP="00DB7FE0">
      <w:pPr>
        <w:pStyle w:val="Heading3Text"/>
      </w:pPr>
      <w:r w:rsidRPr="0024612D">
        <w:t xml:space="preserve">Factors used in determining economic </w:t>
      </w:r>
      <w:r w:rsidR="00567C7F">
        <w:t xml:space="preserve">gain and </w:t>
      </w:r>
      <w:r w:rsidRPr="0024612D">
        <w:t xml:space="preserve">loss to a Party may include reference to information supplied by one or more third parties, which shall exclude Affiliates of the Non-Defaulting Party, including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shall be based on replacing the Product with product from new energy storage capacity with similar attributes, including, if SCE is the Non-Defaulting Party, with respect to credit towards SCE’s procurement requirements under the CPUC Decision 13-10-040. For purposes of determining </w:t>
      </w:r>
      <w:r w:rsidR="00567C7F">
        <w:t>gains or l</w:t>
      </w:r>
      <w:r w:rsidRPr="0024612D">
        <w:t xml:space="preserve">osses, SCE may also take into consideration that the Agreement is intended to provide the Product at </w:t>
      </w:r>
      <w:r w:rsidRPr="00DB7FE0">
        <w:rPr>
          <w:color w:val="0000FF"/>
        </w:rPr>
        <w:t xml:space="preserve">[SCE note: insert applicable </w:t>
      </w:r>
      <w:r w:rsidRPr="00DB7FE0">
        <w:rPr>
          <w:bCs/>
          <w:color w:val="0000FF"/>
        </w:rPr>
        <w:t>circuit</w:t>
      </w:r>
      <w:r w:rsidRPr="00DB7FE0">
        <w:rPr>
          <w:color w:val="0000FF"/>
        </w:rPr>
        <w:t>]</w:t>
      </w:r>
      <w:r w:rsidR="003F6377" w:rsidRPr="003F6377">
        <w:rPr>
          <w:i/>
          <w:color w:val="00B050"/>
        </w:rPr>
        <w:t xml:space="preserve"> </w:t>
      </w:r>
      <w:r w:rsidR="003F6377" w:rsidRPr="00A96F9E">
        <w:rPr>
          <w:i/>
          <w:color w:val="00B050"/>
        </w:rPr>
        <w:t>[and contains non-standard covenants related to performance during an N-2 Event</w:t>
      </w:r>
      <w:r w:rsidR="003F6377">
        <w:rPr>
          <w:i/>
          <w:color w:val="00B050"/>
        </w:rPr>
        <w:t>]</w:t>
      </w:r>
      <w:r w:rsidRPr="0024612D">
        <w:t>.</w:t>
      </w:r>
    </w:p>
    <w:p w14:paraId="265B6694" w14:textId="53E7CC95" w:rsidR="00BB2EA9" w:rsidRPr="0027789B" w:rsidRDefault="00BB2EA9" w:rsidP="00DB7FE0">
      <w:pPr>
        <w:pStyle w:val="Heading3Text"/>
      </w:pPr>
      <w:r w:rsidRPr="0027789B">
        <w:lastRenderedPageBreak/>
        <w:t xml:space="preserve">Only if the Non-Defaulting Party is unable, after using commercially reasonable efforts, to obtain third party information to determine its </w:t>
      </w:r>
      <w:r w:rsidR="00567C7F">
        <w:t>gains or l</w:t>
      </w:r>
      <w:r w:rsidRPr="0027789B">
        <w:t>osses, then the Non-Defaulting Party may use information available to it internally suitable for these purposes in accordance with prudent industry practices.</w:t>
      </w:r>
    </w:p>
    <w:p w14:paraId="244EC5A8" w14:textId="77777777" w:rsidR="00A01DF3" w:rsidRPr="0027789B" w:rsidRDefault="008E65AA" w:rsidP="00DB7FE0">
      <w:pPr>
        <w:pStyle w:val="Definition"/>
      </w:pPr>
      <w:r w:rsidRPr="0027789B">
        <w:t>“</w:t>
      </w:r>
      <w:r w:rsidRPr="00FF157D">
        <w:rPr>
          <w:u w:val="single"/>
        </w:rPr>
        <w:t>GAAP</w:t>
      </w:r>
      <w:r w:rsidRPr="0027789B">
        <w:t>” means United States generally accepted accounting principles as in effect from time to time, consistently applied.</w:t>
      </w:r>
    </w:p>
    <w:p w14:paraId="0ABA598D" w14:textId="06C62547" w:rsidR="00CE6835" w:rsidRDefault="00CE6835" w:rsidP="00DB7FE0">
      <w:pPr>
        <w:pStyle w:val="Definition"/>
      </w:pPr>
      <w:r w:rsidRPr="0001148F">
        <w:t>“</w:t>
      </w:r>
      <w:r w:rsidRPr="004E1EE3">
        <w:rPr>
          <w:u w:val="single"/>
        </w:rPr>
        <w:t>GDERMS</w:t>
      </w:r>
      <w:r w:rsidRPr="0001148F">
        <w:t>”</w:t>
      </w:r>
      <w:r>
        <w:t xml:space="preserve"> or </w:t>
      </w:r>
      <w:r w:rsidRPr="0001148F">
        <w:t>“</w:t>
      </w:r>
      <w:r w:rsidRPr="004E1EE3">
        <w:rPr>
          <w:u w:val="single"/>
        </w:rPr>
        <w:t>Grid and Distributed Energy Resource Management Systems</w:t>
      </w:r>
      <w:r w:rsidR="00D700F7" w:rsidRPr="0001148F">
        <w:t>” means</w:t>
      </w:r>
      <w:r w:rsidRPr="0001148F">
        <w:t xml:space="preserve"> a software-based solution that allows for an operator’s real-time visibility into its underlying distributed asset capabilities</w:t>
      </w:r>
      <w:r>
        <w:t xml:space="preserve">. </w:t>
      </w:r>
      <w:r w:rsidRPr="0001148F">
        <w:t>Such software shall allow SCE to exercise a heightened level of control and flexibility in the management of a Distributed Energy Resource</w:t>
      </w:r>
      <w:r>
        <w:t xml:space="preserve">. </w:t>
      </w:r>
      <w:r w:rsidRPr="0001148F">
        <w:t>GDERMS as used in this Agreement is separate, distinct, and incremental to any software-based solution that allows for an operator’s real-time visibility into its underlying distributed asset capabilities required by the CAISO, Seller’s interconnection agreement, or by SCE in its capacity as Transmission Provider.</w:t>
      </w:r>
    </w:p>
    <w:p w14:paraId="304954BA" w14:textId="1D1EC983" w:rsidR="00A01DF3" w:rsidRPr="0027789B" w:rsidRDefault="008E65AA" w:rsidP="00561154">
      <w:pPr>
        <w:pStyle w:val="Definition"/>
      </w:pPr>
      <w:r w:rsidRPr="0027789B">
        <w:t>“</w:t>
      </w:r>
      <w:r w:rsidRPr="00477BAF">
        <w:rPr>
          <w:u w:val="single"/>
        </w:rPr>
        <w:t>Generation Management System</w:t>
      </w:r>
      <w:r w:rsidRPr="0027789B">
        <w:t xml:space="preserve">” </w:t>
      </w:r>
      <w:r w:rsidR="00595CE9">
        <w:t>has the meaning set forth in Section 5.02(a)</w:t>
      </w:r>
      <w:r w:rsidRPr="0027789B">
        <w:t>.</w:t>
      </w:r>
    </w:p>
    <w:p w14:paraId="08442416" w14:textId="6B8C661B" w:rsidR="00A01DF3" w:rsidRPr="0027789B" w:rsidRDefault="008E65AA" w:rsidP="00561154">
      <w:pPr>
        <w:pStyle w:val="Definition"/>
      </w:pPr>
      <w:r w:rsidRPr="0027789B">
        <w:t>“</w:t>
      </w:r>
      <w:r w:rsidRPr="00477BAF">
        <w:rPr>
          <w:u w:val="single"/>
        </w:rPr>
        <w:t>Generation Operations Center</w:t>
      </w:r>
      <w:r w:rsidRPr="0027789B">
        <w:t>” means the location of SCE’s real time operations personnel.</w:t>
      </w:r>
    </w:p>
    <w:p w14:paraId="39292287" w14:textId="77777777" w:rsidR="00A2187B" w:rsidRPr="0027789B" w:rsidRDefault="00A2187B" w:rsidP="00561154">
      <w:pPr>
        <w:pStyle w:val="Definition"/>
      </w:pPr>
      <w:r w:rsidRPr="0027789B">
        <w:t>“</w:t>
      </w:r>
      <w:r w:rsidRPr="00477BAF">
        <w:rPr>
          <w:u w:val="single"/>
        </w:rPr>
        <w:t>Generator</w:t>
      </w:r>
      <w:r w:rsidRPr="0027789B">
        <w:t xml:space="preserve">” has the meaning set forth in the </w:t>
      </w:r>
      <w:r w:rsidR="000A4EE4" w:rsidRPr="0027789B">
        <w:t>CAISO Tariff</w:t>
      </w:r>
      <w:r w:rsidRPr="0027789B">
        <w:t>.</w:t>
      </w:r>
    </w:p>
    <w:p w14:paraId="7A1E7A45" w14:textId="77777777" w:rsidR="00A01DF3" w:rsidRPr="0027789B" w:rsidRDefault="008E65AA" w:rsidP="00DB7FE0">
      <w:pPr>
        <w:pStyle w:val="Definition"/>
      </w:pPr>
      <w:r w:rsidRPr="0027789B">
        <w:t>“</w:t>
      </w:r>
      <w:r w:rsidRPr="00477BAF">
        <w:rPr>
          <w:u w:val="single"/>
        </w:rPr>
        <w:t>Generator Operator</w:t>
      </w:r>
      <w:r w:rsidRPr="0027789B">
        <w:t xml:space="preserve">” means the entity that operates </w:t>
      </w:r>
      <w:r w:rsidR="005B089B" w:rsidRPr="0027789B">
        <w:t>generating u</w:t>
      </w:r>
      <w:r w:rsidRPr="0027789B">
        <w:t xml:space="preserve">nit(s) and performs the functions of supplying energy and interconnected operations services and the other functions of a generator operator as described in NERC’s Statement of Compliance Registry Criteria located on the NERC website. </w:t>
      </w:r>
    </w:p>
    <w:p w14:paraId="7E45921D" w14:textId="77777777" w:rsidR="00A01DF3" w:rsidRPr="0027789B" w:rsidRDefault="008E65AA" w:rsidP="00DB7FE0">
      <w:pPr>
        <w:pStyle w:val="Definition"/>
      </w:pPr>
      <w:r w:rsidRPr="0027789B">
        <w:t>“</w:t>
      </w:r>
      <w:r w:rsidRPr="00477BAF">
        <w:rPr>
          <w:u w:val="single"/>
        </w:rPr>
        <w:t>Generator Owner</w:t>
      </w:r>
      <w:r w:rsidRPr="0027789B">
        <w:t xml:space="preserve">” means an entity that owns the Project and has registered with NERC as the entity responsible for complying with those NERC Reliability Standards applicable to owners of </w:t>
      </w:r>
      <w:r w:rsidR="005B089B" w:rsidRPr="0027789B">
        <w:t>generating</w:t>
      </w:r>
      <w:r w:rsidRPr="0027789B">
        <w:t xml:space="preserve"> units as set forth in the NERC Reliability Standards.</w:t>
      </w:r>
    </w:p>
    <w:p w14:paraId="710154A6" w14:textId="79C439D7" w:rsidR="00A01DF3" w:rsidRPr="0027789B" w:rsidRDefault="008E65AA" w:rsidP="00DB7FE0">
      <w:pPr>
        <w:pStyle w:val="Definition"/>
      </w:pPr>
      <w:r w:rsidRPr="0027789B">
        <w:t>“</w:t>
      </w:r>
      <w:r w:rsidRPr="00477BAF">
        <w:rPr>
          <w:u w:val="single"/>
        </w:rPr>
        <w:t>GHG Regulations</w:t>
      </w:r>
      <w:r w:rsidRPr="0027789B">
        <w:t xml:space="preserve">” means </w:t>
      </w:r>
      <w:r w:rsidR="00863621">
        <w:t>Title 17, Division 3 (Air Resources), Chapter 1 (Air Resources Board), Subchapter 10 (Climate Change), Article 5 (Emissions Cap), Sections 95800 to 96023 of the California Code of Regulations, as amended or supplemented from time to time</w:t>
      </w:r>
      <w:r w:rsidRPr="0027789B">
        <w:t>.</w:t>
      </w:r>
    </w:p>
    <w:p w14:paraId="5B1956F2" w14:textId="77777777" w:rsidR="00202F4B" w:rsidRPr="0027789B" w:rsidRDefault="008E65AA" w:rsidP="00561154">
      <w:pPr>
        <w:pStyle w:val="Definition"/>
      </w:pPr>
      <w:r w:rsidRPr="0027789B">
        <w:t>“</w:t>
      </w:r>
      <w:r w:rsidRPr="00CA37E4">
        <w:rPr>
          <w:u w:val="single"/>
        </w:rPr>
        <w:t>Governmental Authority</w:t>
      </w:r>
      <w:r w:rsidRPr="0027789B">
        <w:t>” means</w:t>
      </w:r>
      <w:r w:rsidR="00202F4B" w:rsidRPr="0027789B">
        <w:t>:</w:t>
      </w:r>
    </w:p>
    <w:p w14:paraId="76295874" w14:textId="77777777" w:rsidR="00202F4B" w:rsidRPr="0027789B" w:rsidRDefault="00202F4B" w:rsidP="00DB7FE0">
      <w:pPr>
        <w:pStyle w:val="Heading3"/>
        <w:numPr>
          <w:ilvl w:val="2"/>
          <w:numId w:val="123"/>
        </w:numPr>
      </w:pPr>
      <w:r w:rsidRPr="0027789B">
        <w:t>Any federal, state, local, municipal or other government;</w:t>
      </w:r>
    </w:p>
    <w:p w14:paraId="2B33527A" w14:textId="77777777" w:rsidR="00202F4B" w:rsidRPr="0027789B" w:rsidRDefault="00202F4B" w:rsidP="00DB7FE0">
      <w:pPr>
        <w:pStyle w:val="Heading3"/>
      </w:pPr>
      <w:r w:rsidRPr="0027789B">
        <w:lastRenderedPageBreak/>
        <w:t>Any governmental, regulatory or administrative agency, commission, or other authority lawfully exercising or entitled to exercise any administrative, executive, judicial, legislative, police, regulatory or taxing authority or power; or</w:t>
      </w:r>
    </w:p>
    <w:p w14:paraId="6AEFE15E" w14:textId="77777777" w:rsidR="00A01DF3" w:rsidRPr="0027789B" w:rsidRDefault="00202F4B" w:rsidP="00DB7FE0">
      <w:pPr>
        <w:pStyle w:val="Heading3"/>
      </w:pPr>
      <w:r w:rsidRPr="0027789B">
        <w:t>Any court or governmental tribunal</w:t>
      </w:r>
      <w:r w:rsidR="008E65AA" w:rsidRPr="0027789B">
        <w:t>.</w:t>
      </w:r>
    </w:p>
    <w:p w14:paraId="0FA5C531" w14:textId="01891622" w:rsidR="00A01DF3" w:rsidRPr="0027789B" w:rsidRDefault="008E65AA" w:rsidP="00561154">
      <w:pPr>
        <w:pStyle w:val="Definition"/>
      </w:pPr>
      <w:r w:rsidRPr="00362F4D">
        <w:t>“</w:t>
      </w:r>
      <w:r w:rsidRPr="00362F4D">
        <w:rPr>
          <w:u w:val="single"/>
        </w:rPr>
        <w:t>Governmental Charges</w:t>
      </w:r>
      <w:r w:rsidRPr="00362F4D">
        <w:t xml:space="preserve">” has the meaning set forth in </w:t>
      </w:r>
      <w:r w:rsidRPr="008923FE">
        <w:t xml:space="preserve">Section </w:t>
      </w:r>
      <w:r w:rsidR="002E2123">
        <w:t>13.06</w:t>
      </w:r>
      <w:r w:rsidRPr="008923FE">
        <w:t>.</w:t>
      </w:r>
    </w:p>
    <w:p w14:paraId="658AADF5" w14:textId="77777777" w:rsidR="00A01DF3" w:rsidRPr="0027789B" w:rsidRDefault="008E65AA" w:rsidP="00561154">
      <w:pPr>
        <w:pStyle w:val="Definition"/>
      </w:pPr>
      <w:r w:rsidRPr="0027789B">
        <w:t>“</w:t>
      </w:r>
      <w:r w:rsidRPr="00FF157D">
        <w:rPr>
          <w:u w:val="single"/>
        </w:rPr>
        <w:t>Greenhouse Gas</w:t>
      </w:r>
      <w:r w:rsidRPr="0027789B">
        <w:t xml:space="preserve">” </w:t>
      </w:r>
      <w:r w:rsidR="00AF38AF" w:rsidRPr="0027789B">
        <w:t>or “</w:t>
      </w:r>
      <w:r w:rsidR="00AF38AF" w:rsidRPr="00FF157D">
        <w:rPr>
          <w:u w:val="single"/>
        </w:rPr>
        <w:t>GHG</w:t>
      </w:r>
      <w:r w:rsidR="00AF38AF" w:rsidRPr="0027789B">
        <w:t xml:space="preserve">” </w:t>
      </w:r>
      <w:r w:rsidRPr="0027789B">
        <w:t>has the meaning set forth in the GHG Regulations</w:t>
      </w:r>
      <w:r w:rsidR="00073DF0" w:rsidRPr="0027789B">
        <w:t xml:space="preserve"> or in any other Applicable Laws</w:t>
      </w:r>
      <w:r w:rsidRPr="0027789B">
        <w:t>.</w:t>
      </w:r>
    </w:p>
    <w:p w14:paraId="48D8B0D7" w14:textId="31046122" w:rsidR="00A01DF3" w:rsidRPr="00B022A3" w:rsidRDefault="008E65AA" w:rsidP="00561154">
      <w:pPr>
        <w:pStyle w:val="Definition"/>
      </w:pPr>
      <w:r w:rsidRPr="0027789B">
        <w:t>“</w:t>
      </w:r>
      <w:r w:rsidRPr="00E335BC">
        <w:rPr>
          <w:u w:val="single"/>
        </w:rPr>
        <w:t>Guaranteed Efficiency Factor Max</w:t>
      </w:r>
      <w:r w:rsidRPr="00E335BC">
        <w:t xml:space="preserve">” has the meaning set forth </w:t>
      </w:r>
      <w:r w:rsidRPr="00B022A3">
        <w:t xml:space="preserve">in Section </w:t>
      </w:r>
      <w:r w:rsidR="00B022A3" w:rsidRPr="00B022A3">
        <w:t>3</w:t>
      </w:r>
      <w:r w:rsidRPr="00B022A3">
        <w:t>.</w:t>
      </w:r>
      <w:r w:rsidR="00B022A3" w:rsidRPr="00B022A3">
        <w:t>10</w:t>
      </w:r>
      <w:r w:rsidRPr="00B022A3">
        <w:t xml:space="preserve">(c) and </w:t>
      </w:r>
      <w:r w:rsidR="00CF10CD">
        <w:rPr>
          <w:u w:val="single"/>
        </w:rPr>
        <w:t>Exhibit D</w:t>
      </w:r>
      <w:r w:rsidRPr="00B022A3">
        <w:t>.</w:t>
      </w:r>
    </w:p>
    <w:p w14:paraId="3C0500BF" w14:textId="31C03A68" w:rsidR="00A01DF3" w:rsidRPr="0027789B" w:rsidRDefault="008E65AA" w:rsidP="00561154">
      <w:pPr>
        <w:pStyle w:val="Definition"/>
      </w:pPr>
      <w:r w:rsidRPr="00B022A3">
        <w:t>“</w:t>
      </w:r>
      <w:r w:rsidRPr="00B022A3">
        <w:rPr>
          <w:u w:val="single"/>
        </w:rPr>
        <w:t>Guaranteed Efficiency Factor Min</w:t>
      </w:r>
      <w:r w:rsidRPr="00B022A3">
        <w:t>” has the meaning set forth in Section</w:t>
      </w:r>
      <w:r w:rsidR="00B022A3" w:rsidRPr="00B022A3">
        <w:t xml:space="preserve"> 3.10</w:t>
      </w:r>
      <w:r w:rsidRPr="00E335BC">
        <w:t xml:space="preserve">(b) and </w:t>
      </w:r>
      <w:r w:rsidR="00CF10CD">
        <w:rPr>
          <w:u w:val="single"/>
        </w:rPr>
        <w:t>Exhibit D</w:t>
      </w:r>
      <w:r w:rsidRPr="00482B73">
        <w:t>.</w:t>
      </w:r>
    </w:p>
    <w:p w14:paraId="26FA74A8" w14:textId="77777777" w:rsidR="00A01DF3" w:rsidRPr="0027789B" w:rsidRDefault="008E65AA" w:rsidP="00DB7FE0">
      <w:pPr>
        <w:pStyle w:val="Definition"/>
      </w:pPr>
      <w:r w:rsidRPr="0027789B">
        <w:t>“</w:t>
      </w:r>
      <w:r w:rsidRPr="00FF157D">
        <w:rPr>
          <w:u w:val="single"/>
        </w:rPr>
        <w:t>HASP</w:t>
      </w:r>
      <w:r w:rsidRPr="0027789B">
        <w:t xml:space="preserve">” has the meaning set forth in the </w:t>
      </w:r>
      <w:r w:rsidR="000A4EE4" w:rsidRPr="0027789B">
        <w:t>CAISO Tariff</w:t>
      </w:r>
      <w:r w:rsidRPr="0027789B">
        <w:t xml:space="preserve"> or any other successor process that replaces HASP.</w:t>
      </w:r>
    </w:p>
    <w:p w14:paraId="715A1FA1" w14:textId="77777777" w:rsidR="00A01DF3" w:rsidRPr="0027789B" w:rsidRDefault="008E65AA" w:rsidP="00DB7FE0">
      <w:pPr>
        <w:pStyle w:val="Definition"/>
      </w:pPr>
      <w:r w:rsidRPr="0027789B">
        <w:t>“</w:t>
      </w:r>
      <w:r w:rsidRPr="00FF157D">
        <w:rPr>
          <w:u w:val="single"/>
        </w:rPr>
        <w:t>Hazardous Material</w:t>
      </w:r>
      <w:r w:rsidRPr="0027789B">
        <w:t>” means any substance, waste, or material which has been designated as hazardous or toxic by the United States Environmental Protection Agency, the federal Occupational Safety and Health Administration (“OSHA”),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14:paraId="297C5216" w14:textId="7FFD054E" w:rsidR="00A01DF3" w:rsidRPr="0027789B" w:rsidRDefault="008E65AA" w:rsidP="00561154">
      <w:pPr>
        <w:pStyle w:val="Definition"/>
      </w:pPr>
      <w:r w:rsidRPr="0027789B">
        <w:t>“</w:t>
      </w:r>
      <w:r w:rsidRPr="00FF157D">
        <w:rPr>
          <w:u w:val="single"/>
        </w:rPr>
        <w:t>IFM</w:t>
      </w:r>
      <w:r w:rsidRPr="0027789B">
        <w:t xml:space="preserve">” has the meaning set forth in </w:t>
      </w:r>
      <w:r w:rsidR="005A37EB">
        <w:t>Section 6.05(d)</w:t>
      </w:r>
      <w:r w:rsidRPr="0027789B">
        <w:t>.</w:t>
      </w:r>
    </w:p>
    <w:p w14:paraId="2165CD5E" w14:textId="77777777" w:rsidR="00093ABB" w:rsidRPr="0027789B" w:rsidRDefault="008E65AA" w:rsidP="00DB7FE0">
      <w:pPr>
        <w:pStyle w:val="Definition"/>
      </w:pPr>
      <w:r w:rsidRPr="0027789B">
        <w:t>“</w:t>
      </w:r>
      <w:r w:rsidRPr="00FF157D">
        <w:rPr>
          <w:u w:val="single"/>
        </w:rPr>
        <w:t>Imbalance Energy</w:t>
      </w:r>
      <w:r w:rsidRPr="0027789B">
        <w:t xml:space="preserve">” has the meaning set forth in the </w:t>
      </w:r>
      <w:r w:rsidR="000A4EE4" w:rsidRPr="0027789B">
        <w:t>CAISO Tariff</w:t>
      </w:r>
      <w:r w:rsidR="001D4101">
        <w:t xml:space="preserve">. </w:t>
      </w:r>
      <w:r w:rsidRPr="0027789B">
        <w:t xml:space="preserve">To the extent this </w:t>
      </w:r>
      <w:r w:rsidR="000A4EE4" w:rsidRPr="0027789B">
        <w:t>CAISO Tariff</w:t>
      </w:r>
      <w:r w:rsidRPr="0027789B">
        <w:t xml:space="preserve"> definition refers to or is applicable to a generation resource, such definition shall apply to the Storage Unit(s) as if the Storage Unit(s) are generation resources.</w:t>
      </w:r>
    </w:p>
    <w:p w14:paraId="59844B8A" w14:textId="77777777" w:rsidR="00093ABB" w:rsidRPr="0027789B" w:rsidRDefault="00093ABB" w:rsidP="00DB7FE0">
      <w:pPr>
        <w:pStyle w:val="Definition"/>
        <w:rPr>
          <w:szCs w:val="20"/>
        </w:rPr>
      </w:pPr>
      <w:r w:rsidRPr="0027789B">
        <w:rPr>
          <w:szCs w:val="20"/>
        </w:rPr>
        <w:t>“</w:t>
      </w:r>
      <w:r w:rsidRPr="00FF157D">
        <w:rPr>
          <w:u w:val="single"/>
        </w:rPr>
        <w:t>IFRS</w:t>
      </w:r>
      <w:r w:rsidRPr="0027789B">
        <w:rPr>
          <w:szCs w:val="20"/>
        </w:rPr>
        <w:t>” means the International Financial Reporting Standards as in effect from time to time, consistently applied.</w:t>
      </w:r>
    </w:p>
    <w:p w14:paraId="4352D668" w14:textId="66F64CE0" w:rsidR="00A01DF3" w:rsidRPr="008923FE" w:rsidRDefault="008E65AA" w:rsidP="00561154">
      <w:pPr>
        <w:pStyle w:val="Definition"/>
      </w:pPr>
      <w:r w:rsidRPr="00362F4D">
        <w:t>“</w:t>
      </w:r>
      <w:r w:rsidRPr="00362F4D">
        <w:rPr>
          <w:u w:val="single"/>
        </w:rPr>
        <w:t>Indemnified Party</w:t>
      </w:r>
      <w:r w:rsidRPr="00362F4D">
        <w:t xml:space="preserve">” has the meaning set forth in </w:t>
      </w:r>
      <w:r w:rsidRPr="008923FE">
        <w:t xml:space="preserve">Section </w:t>
      </w:r>
      <w:r w:rsidR="002E2123">
        <w:t>13</w:t>
      </w:r>
      <w:r w:rsidRPr="008923FE">
        <w:t>.03.</w:t>
      </w:r>
    </w:p>
    <w:p w14:paraId="5BF8357D" w14:textId="1F958078" w:rsidR="00A01DF3" w:rsidRPr="0027789B" w:rsidRDefault="008E65AA" w:rsidP="00561154">
      <w:pPr>
        <w:pStyle w:val="Definition"/>
      </w:pPr>
      <w:r w:rsidRPr="008923FE">
        <w:t>“</w:t>
      </w:r>
      <w:r w:rsidRPr="008923FE">
        <w:rPr>
          <w:u w:val="single"/>
        </w:rPr>
        <w:t>Indemnitor</w:t>
      </w:r>
      <w:r w:rsidRPr="008923FE">
        <w:t xml:space="preserve">” has the meaning set forth in Section </w:t>
      </w:r>
      <w:r w:rsidR="002E2123">
        <w:t>13</w:t>
      </w:r>
      <w:r w:rsidRPr="008923FE">
        <w:t>.03.</w:t>
      </w:r>
    </w:p>
    <w:p w14:paraId="5C28D0DA" w14:textId="5EF4C666" w:rsidR="00A01DF3" w:rsidRPr="00B022A3" w:rsidRDefault="008E65AA" w:rsidP="00561154">
      <w:pPr>
        <w:pStyle w:val="Definition"/>
      </w:pPr>
      <w:r w:rsidRPr="0027789B">
        <w:t>“</w:t>
      </w:r>
      <w:r w:rsidRPr="00FF157D">
        <w:rPr>
          <w:u w:val="single"/>
        </w:rPr>
        <w:t>Independent Engineer</w:t>
      </w:r>
      <w:r w:rsidRPr="0027789B">
        <w:t>” or “</w:t>
      </w:r>
      <w:r w:rsidRPr="00FF157D">
        <w:rPr>
          <w:u w:val="single"/>
        </w:rPr>
        <w:t>IE</w:t>
      </w:r>
      <w:r w:rsidRPr="0027789B">
        <w:t xml:space="preserve">” has the meaning </w:t>
      </w:r>
      <w:r w:rsidRPr="00362F4D">
        <w:t xml:space="preserve">set </w:t>
      </w:r>
      <w:r w:rsidRPr="00B022A3">
        <w:t xml:space="preserve">forth in Section </w:t>
      </w:r>
      <w:r w:rsidR="00B022A3" w:rsidRPr="00B022A3">
        <w:t>6</w:t>
      </w:r>
      <w:r w:rsidRPr="00B022A3">
        <w:t>.02(d).</w:t>
      </w:r>
    </w:p>
    <w:p w14:paraId="24E1303C" w14:textId="208B145D" w:rsidR="00A01DF3" w:rsidRPr="00B022A3" w:rsidRDefault="008E65AA" w:rsidP="00561154">
      <w:pPr>
        <w:pStyle w:val="Definition"/>
      </w:pPr>
      <w:r w:rsidRPr="00B022A3">
        <w:t>“</w:t>
      </w:r>
      <w:r w:rsidRPr="00B022A3">
        <w:rPr>
          <w:u w:val="single"/>
        </w:rPr>
        <w:t>Independent Evaluator</w:t>
      </w:r>
      <w:r w:rsidRPr="00B022A3">
        <w:t xml:space="preserve">” has the meaning set forth in </w:t>
      </w:r>
      <w:r w:rsidR="005A37EB">
        <w:t>Section 14.05(b)(i)</w:t>
      </w:r>
      <w:r w:rsidRPr="00B022A3">
        <w:t>.</w:t>
      </w:r>
    </w:p>
    <w:p w14:paraId="6E043CFE" w14:textId="7E8DF0FA" w:rsidR="00A01DF3" w:rsidRPr="0027789B" w:rsidRDefault="008E65AA" w:rsidP="00F06C20">
      <w:pPr>
        <w:pStyle w:val="Definition"/>
      </w:pPr>
      <w:r w:rsidRPr="00B022A3">
        <w:lastRenderedPageBreak/>
        <w:t>“</w:t>
      </w:r>
      <w:r w:rsidRPr="00B022A3">
        <w:rPr>
          <w:u w:val="single"/>
        </w:rPr>
        <w:t>Industry Standards</w:t>
      </w:r>
      <w:r w:rsidRPr="00B022A3">
        <w:t xml:space="preserve">” </w:t>
      </w:r>
      <w:r w:rsidR="000C4B07">
        <w:t xml:space="preserve">mean </w:t>
      </w:r>
      <w:r w:rsidR="000C4B07" w:rsidRPr="009676F1">
        <w:t xml:space="preserve">applicable California utility industry standards, including </w:t>
      </w:r>
      <w:r w:rsidR="000C4B07" w:rsidRPr="009676F1">
        <w:rPr>
          <w:color w:val="000000"/>
        </w:rPr>
        <w:t xml:space="preserve">the standards established by the California Electricity Generation Facilities Standards Committee pursuant to Public Utilities </w:t>
      </w:r>
      <w:r w:rsidR="000C4B07" w:rsidRPr="001001A8">
        <w:rPr>
          <w:color w:val="000000"/>
        </w:rPr>
        <w:t>Code Section 761</w:t>
      </w:r>
      <w:r w:rsidR="000C4B07" w:rsidRPr="009676F1">
        <w:rPr>
          <w:color w:val="000000"/>
        </w:rPr>
        <w:t>.3 and enforced by the CPUC, and CAISO mandated standards</w:t>
      </w:r>
      <w:r w:rsidRPr="00B022A3">
        <w:t>.</w:t>
      </w:r>
    </w:p>
    <w:p w14:paraId="33A4DC41" w14:textId="77777777" w:rsidR="00A01DF3" w:rsidRPr="0027789B" w:rsidRDefault="008E65AA" w:rsidP="00F00115">
      <w:pPr>
        <w:pStyle w:val="Definition"/>
      </w:pPr>
      <w:r w:rsidRPr="0027789B">
        <w:t>“</w:t>
      </w:r>
      <w:r w:rsidRPr="00FF157D">
        <w:rPr>
          <w:u w:val="single"/>
        </w:rPr>
        <w:t>Inflexible Capacity</w:t>
      </w:r>
      <w:r w:rsidRPr="0027789B">
        <w:t xml:space="preserve">” means, with respect to any particular Showing Month of the Delivery Period, </w:t>
      </w:r>
      <w:r w:rsidR="00DD499A" w:rsidRPr="0027789B">
        <w:t>the MWs of the Product which are not eligible to satisfy Flexible RAR and which are associated MWs of the Project that are not part of or outside of the Unit EFC</w:t>
      </w:r>
      <w:r w:rsidR="001D4101">
        <w:t xml:space="preserve">. </w:t>
      </w:r>
      <w:r w:rsidR="00DD499A" w:rsidRPr="0027789B">
        <w:t>Inflexible Capacity is also known as “generic capacity”</w:t>
      </w:r>
      <w:r w:rsidR="001D4101">
        <w:t xml:space="preserve">. </w:t>
      </w:r>
    </w:p>
    <w:p w14:paraId="56A26661" w14:textId="697F72CD" w:rsidR="007415FA" w:rsidRPr="0027789B" w:rsidRDefault="008E65AA" w:rsidP="00561154">
      <w:pPr>
        <w:pStyle w:val="Definition"/>
      </w:pPr>
      <w:r w:rsidRPr="0027789B">
        <w:t>“</w:t>
      </w:r>
      <w:r w:rsidRPr="00FF157D">
        <w:rPr>
          <w:u w:val="single"/>
        </w:rPr>
        <w:t xml:space="preserve">Initial </w:t>
      </w:r>
      <w:r w:rsidRPr="00C600E0">
        <w:rPr>
          <w:u w:val="single"/>
        </w:rPr>
        <w:t>Commercial Operation Test</w:t>
      </w:r>
      <w:r w:rsidRPr="00C600E0">
        <w:t xml:space="preserve">” means, the testing procedures, requirements, and protocols set forth in </w:t>
      </w:r>
      <w:r w:rsidR="00CF10CD">
        <w:rPr>
          <w:u w:val="single"/>
        </w:rPr>
        <w:t>Exhibit C</w:t>
      </w:r>
      <w:r w:rsidRPr="00D01883">
        <w:t>.</w:t>
      </w:r>
    </w:p>
    <w:p w14:paraId="2F3E7CFE" w14:textId="77777777" w:rsidR="007415FA" w:rsidRPr="00B06EAD" w:rsidRDefault="007415FA" w:rsidP="00561154">
      <w:pPr>
        <w:pStyle w:val="Definition"/>
      </w:pPr>
      <w:r w:rsidRPr="00362F4D">
        <w:t>“</w:t>
      </w:r>
      <w:r w:rsidRPr="00362F4D">
        <w:rPr>
          <w:u w:val="single"/>
        </w:rPr>
        <w:t>Initial Delivery</w:t>
      </w:r>
      <w:r w:rsidRPr="00362F4D">
        <w:t xml:space="preserve">” has the meaning set </w:t>
      </w:r>
      <w:r w:rsidRPr="00B06EAD">
        <w:t>forth in Section 2.04.</w:t>
      </w:r>
    </w:p>
    <w:p w14:paraId="0B4DE961" w14:textId="77777777" w:rsidR="00A01DF3" w:rsidRPr="00B06EAD" w:rsidRDefault="008E65AA" w:rsidP="00561154">
      <w:pPr>
        <w:pStyle w:val="Definition"/>
      </w:pPr>
      <w:r w:rsidRPr="00B06EAD">
        <w:t>“</w:t>
      </w:r>
      <w:r w:rsidRPr="00B06EAD">
        <w:rPr>
          <w:u w:val="single"/>
        </w:rPr>
        <w:t>Initial Delivery Date</w:t>
      </w:r>
      <w:r w:rsidRPr="00B06EAD">
        <w:t>” has the meaning set forth in Section 2.04.</w:t>
      </w:r>
    </w:p>
    <w:p w14:paraId="46FEDE31" w14:textId="26629A70" w:rsidR="00CF7546" w:rsidRPr="0027789B" w:rsidRDefault="00CF7546" w:rsidP="00561154">
      <w:pPr>
        <w:pStyle w:val="Definition"/>
      </w:pPr>
      <w:r w:rsidRPr="00B06EAD">
        <w:t>“</w:t>
      </w:r>
      <w:r w:rsidRPr="00B06EAD">
        <w:rPr>
          <w:u w:val="single"/>
        </w:rPr>
        <w:t>Initial Delivery Deadline</w:t>
      </w:r>
      <w:r w:rsidRPr="00B06EAD">
        <w:t>” has the meaning set forth in Section 2.0</w:t>
      </w:r>
      <w:r w:rsidR="00633AAC">
        <w:t>5</w:t>
      </w:r>
      <w:r w:rsidRPr="00B06EAD">
        <w:t>.</w:t>
      </w:r>
    </w:p>
    <w:p w14:paraId="3A9EE13B" w14:textId="77777777" w:rsidR="00A01DF3" w:rsidRPr="0027789B" w:rsidRDefault="008E65AA" w:rsidP="00F06C20">
      <w:pPr>
        <w:pStyle w:val="Definition"/>
      </w:pPr>
      <w:r w:rsidRPr="0027789B">
        <w:t>“</w:t>
      </w:r>
      <w:r w:rsidRPr="00FF157D">
        <w:rPr>
          <w:u w:val="single"/>
        </w:rPr>
        <w:t>Interconnection Facilities</w:t>
      </w:r>
      <w:r w:rsidRPr="0027789B">
        <w:t xml:space="preserve">” means all apparatus installed between a Storage Unit and the </w:t>
      </w:r>
      <w:r w:rsidR="00DD499A" w:rsidRPr="0027789B">
        <w:t>Interconnection Point</w:t>
      </w:r>
      <w:r w:rsidRPr="0027789B">
        <w:t xml:space="preserve"> on the </w:t>
      </w:r>
      <w:r w:rsidR="000A4EE4" w:rsidRPr="0027789B">
        <w:t>Transmission Provider</w:t>
      </w:r>
      <w:r w:rsidRPr="0027789B">
        <w:t>’s</w:t>
      </w:r>
      <w:r w:rsidR="00FA6A88" w:rsidRPr="0027789B">
        <w:t xml:space="preserve"> electrical</w:t>
      </w:r>
      <w:r w:rsidRPr="0027789B">
        <w:t xml:space="preserve"> system, other participating transmission owner’s system, or the </w:t>
      </w:r>
      <w:r w:rsidR="00B767F2" w:rsidRPr="0027789B">
        <w:t>CAISO Controlled Grid</w:t>
      </w:r>
      <w:r w:rsidRPr="0027789B">
        <w:t>, to interconnect the Project to make the Product available to SCE and to charge and discharge the Storage Unit(s), includin</w:t>
      </w:r>
      <w:r w:rsidR="00945DFD" w:rsidRPr="0027789B">
        <w:t>g connection, tie-l</w:t>
      </w:r>
      <w:r w:rsidRPr="0027789B">
        <w:t xml:space="preserve">ine, transformation, switching, metering, communications, control, and safety equipment, such as equipment required to protect (a) the </w:t>
      </w:r>
      <w:r w:rsidR="000A4EE4" w:rsidRPr="0027789B">
        <w:t>Transmission Provider</w:t>
      </w:r>
      <w:r w:rsidRPr="0027789B">
        <w:t xml:space="preserve">’s electric system (or other participating transmission owner’s system to which the </w:t>
      </w:r>
      <w:r w:rsidR="000A4EE4" w:rsidRPr="0027789B">
        <w:t>Transmission Provider</w:t>
      </w:r>
      <w:r w:rsidRPr="0027789B">
        <w:t xml:space="preserve">’s electric system is connected, including the </w:t>
      </w:r>
      <w:r w:rsidR="00B767F2" w:rsidRPr="0027789B">
        <w:t>CAISO Controlled Grid</w:t>
      </w:r>
      <w:r w:rsidRPr="0027789B">
        <w:t xml:space="preserve">) and SCE’s customers from faults occurring at the Storage Unit(s), and (b) the Storage Unit(s) from faults occurring on the </w:t>
      </w:r>
      <w:r w:rsidR="000A4EE4" w:rsidRPr="0027789B">
        <w:t>Transmission Provider</w:t>
      </w:r>
      <w:r w:rsidRPr="0027789B">
        <w:t xml:space="preserve">’s electric system or on other participating transmission owner’s system to which the </w:t>
      </w:r>
      <w:r w:rsidR="000A4EE4" w:rsidRPr="0027789B">
        <w:t>Transmission Provider</w:t>
      </w:r>
      <w:r w:rsidRPr="0027789B">
        <w:t>’s electric system is connected.</w:t>
      </w:r>
    </w:p>
    <w:p w14:paraId="7C336FB1" w14:textId="2FCB78A8" w:rsidR="00DD499A" w:rsidRPr="00B06EAD" w:rsidRDefault="00DD499A" w:rsidP="00561154">
      <w:pPr>
        <w:pStyle w:val="Definition"/>
      </w:pPr>
      <w:r w:rsidRPr="0027789B">
        <w:t>“</w:t>
      </w:r>
      <w:r w:rsidRPr="00FF157D">
        <w:rPr>
          <w:u w:val="single"/>
        </w:rPr>
        <w:t>Interconnection Point</w:t>
      </w:r>
      <w:r w:rsidRPr="0027789B">
        <w:t xml:space="preserve">” has the meaning </w:t>
      </w:r>
      <w:r w:rsidRPr="00B06EAD">
        <w:t>set forth in Section 1.0</w:t>
      </w:r>
      <w:r w:rsidR="00B06EAD" w:rsidRPr="00B06EAD">
        <w:t>2</w:t>
      </w:r>
      <w:r w:rsidRPr="00B06EAD">
        <w:t>(</w:t>
      </w:r>
      <w:r w:rsidR="00976FB2">
        <w:t>d</w:t>
      </w:r>
      <w:r w:rsidRPr="00B06EAD">
        <w:t>).</w:t>
      </w:r>
    </w:p>
    <w:p w14:paraId="5C50E2A5" w14:textId="2BE080D3" w:rsidR="00A01DF3" w:rsidRPr="0027789B" w:rsidRDefault="008E65AA" w:rsidP="00F06C20">
      <w:pPr>
        <w:pStyle w:val="Definition"/>
      </w:pPr>
      <w:r w:rsidRPr="00B06EAD">
        <w:t>“</w:t>
      </w:r>
      <w:r w:rsidRPr="00B06EAD">
        <w:rPr>
          <w:u w:val="single"/>
        </w:rPr>
        <w:t>Interconnection Queue Position</w:t>
      </w:r>
      <w:r w:rsidRPr="00B06EAD">
        <w:t>” is the order of Seller’s valid request for interconnection relative to all other valid interconnection requests, as specified in Section 1.0</w:t>
      </w:r>
      <w:r w:rsidR="00B06EAD" w:rsidRPr="00B06EAD">
        <w:t>2</w:t>
      </w:r>
      <w:r w:rsidRPr="00B06EAD">
        <w:t>(</w:t>
      </w:r>
      <w:r w:rsidR="00976FB2">
        <w:t>e</w:t>
      </w:r>
      <w:r w:rsidRPr="00B06EAD">
        <w:t>).</w:t>
      </w:r>
    </w:p>
    <w:p w14:paraId="2613ABD6" w14:textId="3FD29BC9" w:rsidR="00236268" w:rsidRDefault="008E65AA" w:rsidP="00F00115">
      <w:pPr>
        <w:pStyle w:val="Definition"/>
      </w:pPr>
      <w:r w:rsidRPr="0027789B">
        <w:t>“</w:t>
      </w:r>
      <w:r w:rsidRPr="00FF157D">
        <w:rPr>
          <w:u w:val="single"/>
        </w:rPr>
        <w:t>Interconnection Study</w:t>
      </w:r>
      <w:r w:rsidRPr="0027789B">
        <w:t>”</w:t>
      </w:r>
      <w:r w:rsidR="00DD499A" w:rsidRPr="0027789B">
        <w:t xml:space="preserve"> means any of the studies defined in the CAISO Tariff or any Transmission Provider’s tariff that reflect methodology and costs to interconnect the Project to the Transmission Provider’s electric grid</w:t>
      </w:r>
      <w:r w:rsidRPr="0027789B">
        <w:t>.</w:t>
      </w:r>
    </w:p>
    <w:p w14:paraId="6C14EE7C" w14:textId="77777777" w:rsidR="009A3478" w:rsidRDefault="009A3478" w:rsidP="00F00115">
      <w:pPr>
        <w:pStyle w:val="Definition"/>
      </w:pPr>
      <w:r>
        <w:t>“Interest Payment” means a payment amount that results from the product of the following three factors:</w:t>
      </w:r>
    </w:p>
    <w:p w14:paraId="26D96BFD" w14:textId="3F1A27D8" w:rsidR="009A3478" w:rsidRDefault="009A3478" w:rsidP="008B3C43">
      <w:pPr>
        <w:pStyle w:val="Definition"/>
        <w:numPr>
          <w:ilvl w:val="0"/>
          <w:numId w:val="135"/>
        </w:numPr>
        <w:ind w:left="1350" w:hanging="540"/>
      </w:pPr>
      <w:r>
        <w:lastRenderedPageBreak/>
        <w:t>the dollar amount on which an interest payment is based;</w:t>
      </w:r>
    </w:p>
    <w:p w14:paraId="2050E674" w14:textId="282725BD" w:rsidR="009A3478" w:rsidRDefault="009A3478" w:rsidP="008B3C43">
      <w:pPr>
        <w:pStyle w:val="Definition"/>
        <w:numPr>
          <w:ilvl w:val="0"/>
          <w:numId w:val="135"/>
        </w:numPr>
        <w:ind w:left="1350" w:hanging="540"/>
      </w:pPr>
      <w:r>
        <w:t>for any given month in which the payment is made, the average of the annual inter</w:t>
      </w:r>
      <w:r w:rsidR="008A471A">
        <w:t>e</w:t>
      </w:r>
      <w:r>
        <w:t>st rates reported for all weekdays in such month opposite the caption “Federal funds (effective)” as set forth in the H.15 release, or any successor publication, published by the Board of Governors of the Federal Reserve System; and</w:t>
      </w:r>
    </w:p>
    <w:p w14:paraId="65A3B277" w14:textId="51805E44" w:rsidR="009A3478" w:rsidRDefault="009A3478" w:rsidP="008B3C43">
      <w:pPr>
        <w:pStyle w:val="Definition"/>
        <w:numPr>
          <w:ilvl w:val="0"/>
          <w:numId w:val="135"/>
        </w:numPr>
        <w:ind w:left="1350" w:hanging="540"/>
      </w:pPr>
      <w:r>
        <w:t>the number of days in the calculation period divided by 360.</w:t>
      </w:r>
    </w:p>
    <w:p w14:paraId="1FA5E5C0" w14:textId="5C3DEAF3" w:rsidR="00A01DF3" w:rsidRPr="0027789B" w:rsidRDefault="008E65AA" w:rsidP="00561154">
      <w:pPr>
        <w:pStyle w:val="Definition"/>
      </w:pPr>
      <w:r w:rsidRPr="00362F4D">
        <w:t>“</w:t>
      </w:r>
      <w:r w:rsidRPr="00362F4D">
        <w:rPr>
          <w:u w:val="single"/>
        </w:rPr>
        <w:t>JAMS</w:t>
      </w:r>
      <w:r w:rsidRPr="00362F4D">
        <w:t>”</w:t>
      </w:r>
      <w:r w:rsidR="00D00EC3" w:rsidRPr="00362F4D">
        <w:t xml:space="preserve"> has the meaning set forth in </w:t>
      </w:r>
      <w:r w:rsidR="00D00EC3" w:rsidRPr="002F5C7B">
        <w:t xml:space="preserve">Section </w:t>
      </w:r>
      <w:r w:rsidR="002E2123">
        <w:t>12</w:t>
      </w:r>
      <w:r w:rsidR="00D00EC3" w:rsidRPr="002F5C7B">
        <w:t>.02.</w:t>
      </w:r>
    </w:p>
    <w:p w14:paraId="3A6BBB3C" w14:textId="77777777" w:rsidR="00A01DF3" w:rsidRPr="0027789B" w:rsidRDefault="008E65AA" w:rsidP="00561154">
      <w:pPr>
        <w:pStyle w:val="Definition"/>
      </w:pPr>
      <w:r w:rsidRPr="0027789B">
        <w:t>“</w:t>
      </w:r>
      <w:r w:rsidRPr="00FF157D">
        <w:rPr>
          <w:u w:val="single"/>
        </w:rPr>
        <w:t>kW</w:t>
      </w:r>
      <w:r w:rsidRPr="0027789B">
        <w:t>” means</w:t>
      </w:r>
      <w:r w:rsidR="00D00EC3" w:rsidRPr="0027789B">
        <w:t xml:space="preserve"> a kilowatt of alternating current electric energy generating capacity</w:t>
      </w:r>
      <w:r w:rsidRPr="0027789B">
        <w:t>.</w:t>
      </w:r>
    </w:p>
    <w:p w14:paraId="51FAC762" w14:textId="77777777" w:rsidR="00A01DF3" w:rsidRPr="0027789B" w:rsidRDefault="008E65AA" w:rsidP="00561154">
      <w:pPr>
        <w:pStyle w:val="Definition"/>
      </w:pPr>
      <w:r w:rsidRPr="0027789B">
        <w:t>“</w:t>
      </w:r>
      <w:r w:rsidRPr="00FF157D">
        <w:rPr>
          <w:u w:val="single"/>
        </w:rPr>
        <w:t>kWh</w:t>
      </w:r>
      <w:r w:rsidRPr="0027789B">
        <w:t xml:space="preserve">” </w:t>
      </w:r>
      <w:bookmarkStart w:id="624" w:name="_DV_C1007"/>
      <w:r w:rsidR="00D00EC3" w:rsidRPr="0027789B">
        <w:t>means a kilowatt-hour of alternating current electric energy.</w:t>
      </w:r>
    </w:p>
    <w:bookmarkEnd w:id="624"/>
    <w:p w14:paraId="09BDFCC4" w14:textId="77777777" w:rsidR="00A01DF3" w:rsidRPr="0027789B" w:rsidRDefault="008E65AA" w:rsidP="00F06C20">
      <w:pPr>
        <w:pStyle w:val="Definition"/>
      </w:pPr>
      <w:r w:rsidRPr="0027789B">
        <w:t>“</w:t>
      </w:r>
      <w:r w:rsidRPr="00FF157D">
        <w:rPr>
          <w:u w:val="single"/>
        </w:rPr>
        <w:t>Lender</w:t>
      </w:r>
      <w:r w:rsidRPr="0027789B">
        <w:t xml:space="preserve">” </w:t>
      </w:r>
      <w:r w:rsidR="00D00EC3" w:rsidRPr="0027789B">
        <w:t xml:space="preserve">means any financial institutions that provide(s) development, bridge, construction, permanent debt or </w:t>
      </w:r>
      <w:r w:rsidR="006A299F" w:rsidRPr="0027789B">
        <w:t>Tax Equity Financing</w:t>
      </w:r>
      <w:r w:rsidR="00D00EC3" w:rsidRPr="0027789B">
        <w:t xml:space="preserve"> or refinancing for the Project to Seller.</w:t>
      </w:r>
    </w:p>
    <w:p w14:paraId="589696CF" w14:textId="201D8834" w:rsidR="00A01DF3" w:rsidRPr="0027789B" w:rsidRDefault="008E65AA" w:rsidP="00F00115">
      <w:pPr>
        <w:pStyle w:val="Definition"/>
      </w:pPr>
      <w:r w:rsidRPr="0027789B">
        <w:t>“</w:t>
      </w:r>
      <w:r w:rsidRPr="00FF157D">
        <w:rPr>
          <w:u w:val="single"/>
        </w:rPr>
        <w:t>Letter of Credit</w:t>
      </w:r>
      <w:r w:rsidRPr="0027789B">
        <w:t>” means an irrevocable, nontransf</w:t>
      </w:r>
      <w:r w:rsidR="00D700F7">
        <w:t>erable standby letter of credit</w:t>
      </w:r>
      <w:r w:rsidR="009D43DC" w:rsidRPr="00183138">
        <w:t xml:space="preserve">, substantially in the </w:t>
      </w:r>
      <w:r w:rsidR="009D43DC" w:rsidRPr="00C600E0">
        <w:t xml:space="preserve">form of </w:t>
      </w:r>
      <w:r w:rsidR="009D43DC" w:rsidRPr="00D01883">
        <w:rPr>
          <w:u w:val="single"/>
        </w:rPr>
        <w:t xml:space="preserve">Exhibit </w:t>
      </w:r>
      <w:r w:rsidR="00367C93">
        <w:rPr>
          <w:u w:val="single"/>
        </w:rPr>
        <w:t>S</w:t>
      </w:r>
      <w:r w:rsidR="009D43DC" w:rsidRPr="00D01883">
        <w:t xml:space="preserve"> and</w:t>
      </w:r>
      <w:r w:rsidR="009D43DC" w:rsidRPr="00C600E0">
        <w:t xml:space="preserve"> acceptable</w:t>
      </w:r>
      <w:r w:rsidR="009D43DC" w:rsidRPr="00183138">
        <w:t xml:space="preserve"> to SCE, provided by Seller from an issuer acceptable to SCE that is a U.S. </w:t>
      </w:r>
      <w:r w:rsidR="004251C1">
        <w:t>branch of</w:t>
      </w:r>
      <w:r w:rsidR="009D43DC" w:rsidRPr="00183138">
        <w:t xml:space="preserve"> a commercial bank with </w:t>
      </w:r>
      <w:r w:rsidR="004251C1">
        <w:t>total assets of at least ten billion U.S. dollars (US$10,000,000</w:t>
      </w:r>
      <w:r w:rsidR="003F6377">
        <w:t>,000</w:t>
      </w:r>
      <w:r w:rsidR="004251C1">
        <w:t>) and</w:t>
      </w:r>
      <w:r w:rsidR="009D43DC" w:rsidRPr="00183138">
        <w:t xml:space="preserve"> a Credit Rating of at least “A-” </w:t>
      </w:r>
      <w:r w:rsidR="009D43DC">
        <w:t>from</w:t>
      </w:r>
      <w:r w:rsidR="009D43DC" w:rsidRPr="00183138">
        <w:t xml:space="preserve"> S&amp;P </w:t>
      </w:r>
      <w:r w:rsidR="009D43DC">
        <w:t>or</w:t>
      </w:r>
      <w:r w:rsidR="009D43DC" w:rsidRPr="00183138">
        <w:t xml:space="preserve"> “A3” </w:t>
      </w:r>
      <w:r w:rsidR="009D43DC">
        <w:t>from</w:t>
      </w:r>
      <w:r w:rsidR="009D43DC" w:rsidRPr="00183138">
        <w:t xml:space="preserve"> Moody’s.</w:t>
      </w:r>
      <w:r w:rsidR="009D43DC">
        <w:t xml:space="preserve"> </w:t>
      </w:r>
      <w:r w:rsidR="00C81C1E">
        <w:t>If such bank is rated by more than one Ratings Agency and the ratings are at different levels</w:t>
      </w:r>
      <w:r w:rsidR="009D43DC">
        <w:t>, the lowest rating shall be the Credit Rating for this purpose</w:t>
      </w:r>
      <w:r w:rsidRPr="0027789B">
        <w:t>.</w:t>
      </w:r>
    </w:p>
    <w:p w14:paraId="24247877" w14:textId="77777777" w:rsidR="009D43DC" w:rsidRDefault="008E65AA">
      <w:pPr>
        <w:pStyle w:val="Definition"/>
      </w:pPr>
      <w:r w:rsidRPr="0027789B">
        <w:t>“</w:t>
      </w:r>
      <w:r w:rsidRPr="00FF157D">
        <w:rPr>
          <w:u w:val="single"/>
        </w:rPr>
        <w:t>Letter of Credit Default</w:t>
      </w:r>
      <w:r w:rsidRPr="0027789B">
        <w:t xml:space="preserve">” means with respect to a Letter of Credit, the occurrence of any of the following events: </w:t>
      </w:r>
    </w:p>
    <w:p w14:paraId="262E2AF9" w14:textId="5D9E5309" w:rsidR="009D43DC" w:rsidRPr="00DB7FE0" w:rsidRDefault="009D43DC" w:rsidP="00DB7FE0">
      <w:pPr>
        <w:pStyle w:val="Heading3"/>
        <w:numPr>
          <w:ilvl w:val="2"/>
          <w:numId w:val="124"/>
        </w:numPr>
        <w:rPr>
          <w:rFonts w:eastAsia="Times New Roman"/>
        </w:rPr>
      </w:pPr>
      <w:r w:rsidRPr="00DB7FE0">
        <w:rPr>
          <w:rFonts w:eastAsia="Times New Roman"/>
        </w:rPr>
        <w:t xml:space="preserve">the issuer of such Letter of Credit fails to maintain a Credit Rating of at least “A-” from S&amp;P or “A3” from Moody’s, as required in the definition of “Letter of Credit”; </w:t>
      </w:r>
    </w:p>
    <w:p w14:paraId="54335FB5" w14:textId="77777777" w:rsidR="009D43DC" w:rsidRPr="00417938" w:rsidRDefault="009D43DC" w:rsidP="00DB7FE0">
      <w:pPr>
        <w:pStyle w:val="Heading3"/>
        <w:rPr>
          <w:rFonts w:eastAsia="Times New Roman"/>
        </w:rPr>
      </w:pPr>
      <w:r w:rsidRPr="00417938">
        <w:rPr>
          <w:rFonts w:eastAsia="Times New Roman"/>
        </w:rPr>
        <w:t xml:space="preserve">the issuer of the Letter of Credit fails to comply with or perform its obligations under such Letter of Credit; </w:t>
      </w:r>
    </w:p>
    <w:p w14:paraId="51EB8702" w14:textId="77777777" w:rsidR="009D43DC" w:rsidRPr="00417938" w:rsidRDefault="009D43DC" w:rsidP="00DB7FE0">
      <w:pPr>
        <w:pStyle w:val="Heading3"/>
        <w:rPr>
          <w:rFonts w:eastAsia="Times New Roman"/>
        </w:rPr>
      </w:pPr>
      <w:r w:rsidRPr="00417938">
        <w:rPr>
          <w:rFonts w:eastAsia="Times New Roman"/>
        </w:rPr>
        <w:t xml:space="preserve">the issuer of such Letter of Credit disaffirms, disclaims, repudiates or rejects, in whole or in part, or challenges the validity of, such Letter of Credit; </w:t>
      </w:r>
    </w:p>
    <w:p w14:paraId="53A732EA" w14:textId="77777777" w:rsidR="009D43DC" w:rsidRDefault="009D43DC" w:rsidP="00DB7FE0">
      <w:pPr>
        <w:pStyle w:val="Heading3"/>
        <w:rPr>
          <w:rFonts w:eastAsia="Times New Roman"/>
        </w:rPr>
      </w:pPr>
      <w:r w:rsidRPr="00417938">
        <w:rPr>
          <w:rFonts w:eastAsia="Times New Roman"/>
        </w:rPr>
        <w:t xml:space="preserve">such Letter of Credit expires or terminates, or fails or ceases to be in full force and effect at any time during the Term of the Agreement, in any such case without replacement; </w:t>
      </w:r>
    </w:p>
    <w:p w14:paraId="50591705" w14:textId="77777777" w:rsidR="009D43DC" w:rsidRPr="00417938" w:rsidRDefault="009D43DC" w:rsidP="00DB7FE0">
      <w:pPr>
        <w:pStyle w:val="Heading3"/>
        <w:rPr>
          <w:rFonts w:eastAsia="Times New Roman"/>
        </w:rPr>
      </w:pPr>
      <w:r>
        <w:rPr>
          <w:rFonts w:eastAsia="Times New Roman"/>
        </w:rPr>
        <w:lastRenderedPageBreak/>
        <w:t xml:space="preserve">Seller fails to provide an extended or replacement Letter of Credit prior to twenty (20) Business Days before the Letter of Credit expires or terminates; </w:t>
      </w:r>
      <w:r w:rsidRPr="00417938">
        <w:rPr>
          <w:rFonts w:eastAsia="Times New Roman"/>
        </w:rPr>
        <w:t xml:space="preserve">or </w:t>
      </w:r>
    </w:p>
    <w:p w14:paraId="04D4F6C2" w14:textId="77777777" w:rsidR="009D43DC" w:rsidRPr="00C91C62" w:rsidRDefault="009D43DC" w:rsidP="00DB7FE0">
      <w:pPr>
        <w:pStyle w:val="Heading3"/>
      </w:pPr>
      <w:r w:rsidRPr="00417938">
        <w:rPr>
          <w:rFonts w:eastAsia="Times New Roman"/>
        </w:rPr>
        <w:t xml:space="preserve">the issuer of such Letter of Credit becomes Bankrupt; </w:t>
      </w:r>
    </w:p>
    <w:p w14:paraId="790B1F14" w14:textId="77777777" w:rsidR="00A01DF3" w:rsidRPr="0027789B" w:rsidRDefault="008E65AA" w:rsidP="00DB7FE0">
      <w:pPr>
        <w:pStyle w:val="Definition"/>
      </w:pPr>
      <w:r w:rsidRPr="0027789B">
        <w:t>provided, no Letter of Credit Default shall occur or be continuing in any event with respect to a Letter of Credit after the time such Letter of Credit is required to be canceled or returned to a Party in accordance with the terms of this Agreement.</w:t>
      </w:r>
    </w:p>
    <w:p w14:paraId="304A08A3" w14:textId="21E631FC" w:rsidR="00A01DF3" w:rsidRPr="0027789B" w:rsidRDefault="008E65AA" w:rsidP="00561154">
      <w:pPr>
        <w:pStyle w:val="Definition"/>
      </w:pPr>
      <w:r w:rsidRPr="0027789B">
        <w:t>“</w:t>
      </w:r>
      <w:r w:rsidRPr="00FF157D">
        <w:rPr>
          <w:u w:val="single"/>
        </w:rPr>
        <w:t>Local Capacity Area</w:t>
      </w:r>
      <w:r w:rsidRPr="0027789B">
        <w:t xml:space="preserve">” has the meaning set forth in the </w:t>
      </w:r>
      <w:r w:rsidR="000A4EE4" w:rsidRPr="0027789B">
        <w:t>CAISO Tariff</w:t>
      </w:r>
      <w:r w:rsidR="001D4101">
        <w:t xml:space="preserve">. </w:t>
      </w:r>
    </w:p>
    <w:p w14:paraId="233A120F" w14:textId="5F43093C" w:rsidR="00A01DF3" w:rsidRPr="0027789B" w:rsidRDefault="008E65AA" w:rsidP="00DB7FE0">
      <w:pPr>
        <w:pStyle w:val="Definition"/>
      </w:pPr>
      <w:r w:rsidRPr="0027789B">
        <w:t>“</w:t>
      </w:r>
      <w:r w:rsidRPr="00FF157D">
        <w:rPr>
          <w:u w:val="single"/>
        </w:rPr>
        <w:t>Local RAR</w:t>
      </w:r>
      <w:r w:rsidRPr="0027789B">
        <w:t xml:space="preserve">” </w:t>
      </w:r>
      <w:r w:rsidR="0027364C" w:rsidRPr="0027789B">
        <w:t xml:space="preserve">means the local Resource Adequacy Requirements established for load-serving entities by </w:t>
      </w:r>
      <w:r w:rsidR="00AC247E" w:rsidRPr="0027789B">
        <w:t xml:space="preserve">the CAISO pursuant to the CAISO Tariff, </w:t>
      </w:r>
      <w:r w:rsidR="0027364C" w:rsidRPr="0027789B">
        <w:t>the CPUC pursuant to the Resource Adequacy Rulings, or by any other Governmental Authority</w:t>
      </w:r>
      <w:r w:rsidR="001D4101">
        <w:t xml:space="preserve">. </w:t>
      </w:r>
      <w:r w:rsidR="0027364C" w:rsidRPr="0027789B">
        <w:t>“Local RAR” may also be known as local area reliability, local resource adequacy, local resource adequacy procurement requirements, or local capacity requirement in other regulatory proceedings or legislative actions.</w:t>
      </w:r>
    </w:p>
    <w:p w14:paraId="05D38FD0" w14:textId="421D3CDC" w:rsidR="003C73B4" w:rsidRPr="0024612D" w:rsidRDefault="003C73B4" w:rsidP="00561154">
      <w:pPr>
        <w:pStyle w:val="Definition"/>
      </w:pPr>
      <w:r w:rsidRPr="0024612D">
        <w:t>“</w:t>
      </w:r>
      <w:r w:rsidRPr="0024612D">
        <w:rPr>
          <w:u w:val="single"/>
        </w:rPr>
        <w:t>Local Resource Constrained Day</w:t>
      </w:r>
      <w:r w:rsidRPr="0024612D">
        <w:t xml:space="preserve">” has the meaning set forth in Section </w:t>
      </w:r>
      <w:r w:rsidR="0024612D" w:rsidRPr="0024612D">
        <w:t>6</w:t>
      </w:r>
      <w:r w:rsidRPr="0024612D">
        <w:t>.0</w:t>
      </w:r>
      <w:r w:rsidR="0024612D" w:rsidRPr="0024612D">
        <w:t>4</w:t>
      </w:r>
      <w:r w:rsidRPr="0024612D">
        <w:t>(a).</w:t>
      </w:r>
    </w:p>
    <w:p w14:paraId="6CA484E9" w14:textId="52E16BE7" w:rsidR="00A01DF3" w:rsidRPr="002F5C7B" w:rsidRDefault="008E65AA" w:rsidP="00561154">
      <w:pPr>
        <w:pStyle w:val="Definition"/>
      </w:pPr>
      <w:r w:rsidRPr="002F5C7B">
        <w:t>“</w:t>
      </w:r>
      <w:r w:rsidRPr="002F5C7B">
        <w:rPr>
          <w:u w:val="single"/>
        </w:rPr>
        <w:t>Market-Based Rate Authority</w:t>
      </w:r>
      <w:r w:rsidRPr="002F5C7B">
        <w:t xml:space="preserve">” </w:t>
      </w:r>
      <w:r w:rsidR="000D31AC">
        <w:t>has the meaning set forth in Section 2.04(c)</w:t>
      </w:r>
      <w:r w:rsidRPr="002F5C7B">
        <w:t>.</w:t>
      </w:r>
    </w:p>
    <w:p w14:paraId="550B3282" w14:textId="320F429E" w:rsidR="00A01DF3" w:rsidRPr="00C600E0" w:rsidRDefault="008E65AA" w:rsidP="00DB7FE0">
      <w:pPr>
        <w:pStyle w:val="Definition"/>
      </w:pPr>
      <w:r w:rsidRPr="002F5C7B">
        <w:t>“</w:t>
      </w:r>
      <w:r w:rsidRPr="002F5C7B">
        <w:rPr>
          <w:u w:val="single"/>
        </w:rPr>
        <w:t>Marketable Emission Trading Credits</w:t>
      </w:r>
      <w:r w:rsidRPr="002F5C7B">
        <w:t>” means emissions trading credits or units pursuant to the requirements of California Division 26 Air Resources; Health &amp; Safety Code Section 39616 and Section 40440.2 for market based</w:t>
      </w:r>
      <w:r w:rsidRPr="00C600E0">
        <w:t xml:space="preserve"> incentive programs such as the South Coast Air Quality Management District’s Regional Clean Air Incentives Market, also known as RECLAIM, and allowances of sulfur dioxide trading credits as required under Title IV of the Federal Clean Air Act (42 U.S.C. § 7651b</w:t>
      </w:r>
      <w:r w:rsidR="000B1F54" w:rsidRPr="00C600E0">
        <w:t xml:space="preserve"> </w:t>
      </w:r>
      <w:r w:rsidRPr="00C600E0">
        <w:t>(a) to (f)).</w:t>
      </w:r>
      <w:bookmarkStart w:id="625" w:name="_DV_C129"/>
    </w:p>
    <w:p w14:paraId="299D928C" w14:textId="32B82E3C" w:rsidR="00A01DF3" w:rsidRPr="00C600E0" w:rsidRDefault="008E65AA" w:rsidP="00561154">
      <w:pPr>
        <w:pStyle w:val="Definition"/>
      </w:pPr>
      <w:r w:rsidRPr="00C600E0">
        <w:t>“</w:t>
      </w:r>
      <w:r w:rsidRPr="00C600E0">
        <w:rPr>
          <w:u w:val="single"/>
        </w:rPr>
        <w:t>Master File</w:t>
      </w:r>
      <w:r w:rsidRPr="00C600E0">
        <w:t xml:space="preserve">” has the meaning set forth </w:t>
      </w:r>
      <w:r w:rsidR="000005CF">
        <w:t>Section 6.05(a)</w:t>
      </w:r>
      <w:r w:rsidRPr="00C600E0">
        <w:t>.</w:t>
      </w:r>
      <w:bookmarkEnd w:id="625"/>
    </w:p>
    <w:p w14:paraId="1D0BDF3A" w14:textId="31819CA9" w:rsidR="00A01DF3" w:rsidRPr="00482B73" w:rsidRDefault="008E65AA" w:rsidP="00561154">
      <w:pPr>
        <w:pStyle w:val="Definition"/>
      </w:pPr>
      <w:r w:rsidRPr="00C600E0">
        <w:t>“</w:t>
      </w:r>
      <w:r w:rsidRPr="00C600E0">
        <w:rPr>
          <w:u w:val="single"/>
        </w:rPr>
        <w:t>Maximum Charge</w:t>
      </w:r>
      <w:r w:rsidRPr="00C600E0">
        <w:t>” has the mea</w:t>
      </w:r>
      <w:r w:rsidRPr="00482B73">
        <w:t xml:space="preserve">ning set forth in </w:t>
      </w:r>
      <w:r w:rsidR="00CF10CD">
        <w:rPr>
          <w:u w:val="single"/>
        </w:rPr>
        <w:t>Exhibit D</w:t>
      </w:r>
      <w:r w:rsidR="001D4101" w:rsidRPr="00482B73">
        <w:t xml:space="preserve">. </w:t>
      </w:r>
    </w:p>
    <w:p w14:paraId="6B7F69CB" w14:textId="168E9917" w:rsidR="001C093A" w:rsidRDefault="008E65AA" w:rsidP="00FF157D">
      <w:pPr>
        <w:pStyle w:val="Definition"/>
      </w:pPr>
      <w:r w:rsidRPr="00482B73">
        <w:t>“</w:t>
      </w:r>
      <w:r w:rsidRPr="00482B73">
        <w:rPr>
          <w:u w:val="single"/>
        </w:rPr>
        <w:t>Maximum Discharge</w:t>
      </w:r>
      <w:r w:rsidRPr="00482B73">
        <w:t xml:space="preserve">” has the meaning set forth in </w:t>
      </w:r>
      <w:r w:rsidR="00CF10CD">
        <w:rPr>
          <w:u w:val="single"/>
        </w:rPr>
        <w:t>Exhibit D</w:t>
      </w:r>
      <w:r w:rsidR="001D4101" w:rsidRPr="00482B73">
        <w:t xml:space="preserve">. </w:t>
      </w:r>
      <w:r w:rsidR="001C093A" w:rsidRPr="00482B73">
        <w:t xml:space="preserve"> </w:t>
      </w:r>
    </w:p>
    <w:p w14:paraId="1856AFA0" w14:textId="77777777" w:rsidR="0096098E" w:rsidRPr="00561154" w:rsidRDefault="0096098E" w:rsidP="0096098E">
      <w:pPr>
        <w:pStyle w:val="Definition"/>
        <w:rPr>
          <w:i/>
          <w:color w:val="00B050"/>
        </w:rPr>
      </w:pPr>
      <w:r w:rsidRPr="00561154">
        <w:rPr>
          <w:i/>
          <w:color w:val="00B050"/>
        </w:rPr>
        <w:t>[“</w:t>
      </w:r>
      <w:r w:rsidRPr="00561154">
        <w:rPr>
          <w:i/>
          <w:color w:val="00B050"/>
          <w:u w:val="single"/>
        </w:rPr>
        <w:t>Maximum Efforts</w:t>
      </w:r>
      <w:r w:rsidRPr="00561154">
        <w:rPr>
          <w:i/>
          <w:color w:val="00B050"/>
        </w:rPr>
        <w:t>” means, with respect to performance during an N-2 Event, using all possible efforts and taking all possible actions, consistent with industry accepted safety practices, to make the Project’s capacity available to the Transmission Provider or CAISO as expeditiously and completely as possible by, among other things:</w:t>
      </w:r>
    </w:p>
    <w:p w14:paraId="509C4C10" w14:textId="77777777" w:rsidR="0096098E" w:rsidRPr="00561154" w:rsidRDefault="0096098E" w:rsidP="0096098E">
      <w:pPr>
        <w:pStyle w:val="Definition"/>
        <w:ind w:left="1440" w:hanging="720"/>
        <w:rPr>
          <w:i/>
          <w:color w:val="00B050"/>
        </w:rPr>
      </w:pPr>
      <w:r w:rsidRPr="00561154">
        <w:rPr>
          <w:i/>
          <w:color w:val="00B050"/>
        </w:rPr>
        <w:t>(</w:t>
      </w:r>
      <w:r>
        <w:rPr>
          <w:i/>
          <w:color w:val="00B050"/>
        </w:rPr>
        <w:t>a</w:t>
      </w:r>
      <w:r w:rsidRPr="00561154">
        <w:rPr>
          <w:i/>
          <w:color w:val="00B050"/>
        </w:rPr>
        <w:t xml:space="preserve">) </w:t>
      </w:r>
      <w:r w:rsidRPr="00561154">
        <w:rPr>
          <w:i/>
          <w:color w:val="00B050"/>
        </w:rPr>
        <w:tab/>
        <w:t>giving prompt notice to SCE of each outage affecting the Project, the reason for the outage, and its expected duration;</w:t>
      </w:r>
    </w:p>
    <w:p w14:paraId="171EF1D5" w14:textId="77777777" w:rsidR="0096098E" w:rsidRPr="00561154" w:rsidRDefault="0096098E" w:rsidP="0096098E">
      <w:pPr>
        <w:pStyle w:val="Definition"/>
        <w:ind w:left="1440" w:hanging="720"/>
        <w:rPr>
          <w:i/>
          <w:color w:val="00B050"/>
        </w:rPr>
      </w:pPr>
      <w:r w:rsidRPr="00561154">
        <w:rPr>
          <w:i/>
          <w:color w:val="00B050"/>
        </w:rPr>
        <w:lastRenderedPageBreak/>
        <w:t>(</w:t>
      </w:r>
      <w:r>
        <w:rPr>
          <w:i/>
          <w:color w:val="00B050"/>
        </w:rPr>
        <w:t>b</w:t>
      </w:r>
      <w:r w:rsidRPr="00561154">
        <w:rPr>
          <w:i/>
          <w:color w:val="00B050"/>
        </w:rPr>
        <w:t xml:space="preserve">) </w:t>
      </w:r>
      <w:r w:rsidRPr="00561154">
        <w:rPr>
          <w:i/>
          <w:color w:val="00B050"/>
        </w:rPr>
        <w:tab/>
        <w:t>accelerating any and all work required to return the Project to service during the N-2 Event, including paying for alternative arrangements for quicker transportation of necessary equipment and additional staffing at the Project;</w:t>
      </w:r>
    </w:p>
    <w:p w14:paraId="19304110" w14:textId="77777777" w:rsidR="0096098E" w:rsidRPr="00561154" w:rsidRDefault="0096098E" w:rsidP="0096098E">
      <w:pPr>
        <w:pStyle w:val="Definition"/>
        <w:ind w:left="1440" w:hanging="720"/>
        <w:rPr>
          <w:i/>
          <w:color w:val="00B050"/>
        </w:rPr>
      </w:pPr>
      <w:r w:rsidRPr="00561154">
        <w:rPr>
          <w:i/>
          <w:color w:val="00B050"/>
        </w:rPr>
        <w:t>(</w:t>
      </w:r>
      <w:r>
        <w:rPr>
          <w:i/>
          <w:color w:val="00B050"/>
        </w:rPr>
        <w:t>c</w:t>
      </w:r>
      <w:r w:rsidRPr="00561154">
        <w:rPr>
          <w:i/>
          <w:color w:val="00B050"/>
        </w:rPr>
        <w:t xml:space="preserve">) </w:t>
      </w:r>
      <w:r w:rsidRPr="00561154">
        <w:rPr>
          <w:i/>
          <w:color w:val="00B050"/>
        </w:rPr>
        <w:tab/>
        <w:t xml:space="preserve">taking any action needed to ensure maximum generation output from the Project even if such action is detrimental to the long-term use of the Project; </w:t>
      </w:r>
    </w:p>
    <w:p w14:paraId="6B3CBDA1" w14:textId="77777777" w:rsidR="0096098E" w:rsidRPr="00561154" w:rsidRDefault="0096098E" w:rsidP="0096098E">
      <w:pPr>
        <w:pStyle w:val="Definition"/>
        <w:ind w:left="1440" w:hanging="720"/>
        <w:rPr>
          <w:i/>
          <w:color w:val="00B050"/>
        </w:rPr>
      </w:pPr>
      <w:r w:rsidRPr="00561154">
        <w:rPr>
          <w:i/>
          <w:color w:val="00B050"/>
        </w:rPr>
        <w:t>(</w:t>
      </w:r>
      <w:r>
        <w:rPr>
          <w:i/>
          <w:color w:val="00B050"/>
        </w:rPr>
        <w:t>d</w:t>
      </w:r>
      <w:r w:rsidRPr="00561154">
        <w:rPr>
          <w:i/>
          <w:color w:val="00B050"/>
        </w:rPr>
        <w:t xml:space="preserve">) </w:t>
      </w:r>
      <w:r w:rsidRPr="00561154">
        <w:rPr>
          <w:i/>
          <w:color w:val="00B050"/>
        </w:rPr>
        <w:tab/>
        <w:t>taking all necessary actions to charge the Storage Units and operate the Project as directed by Transmission Provider or CAISO, regardless of related market clearing prices or other CAISO or market costs;</w:t>
      </w:r>
    </w:p>
    <w:p w14:paraId="1443B9E2" w14:textId="77777777" w:rsidR="0096098E" w:rsidRPr="00561154" w:rsidRDefault="0096098E" w:rsidP="0096098E">
      <w:pPr>
        <w:pStyle w:val="Definition"/>
        <w:ind w:left="1440" w:hanging="720"/>
        <w:rPr>
          <w:i/>
          <w:color w:val="00B050"/>
        </w:rPr>
      </w:pPr>
      <w:r w:rsidRPr="00561154">
        <w:rPr>
          <w:i/>
          <w:color w:val="00B050"/>
        </w:rPr>
        <w:t>(</w:t>
      </w:r>
      <w:r>
        <w:rPr>
          <w:i/>
          <w:color w:val="00B050"/>
        </w:rPr>
        <w:t>e</w:t>
      </w:r>
      <w:r w:rsidRPr="00561154">
        <w:rPr>
          <w:i/>
          <w:color w:val="00B050"/>
        </w:rPr>
        <w:t xml:space="preserve">) </w:t>
      </w:r>
      <w:r w:rsidRPr="00561154">
        <w:rPr>
          <w:i/>
          <w:color w:val="00B050"/>
        </w:rPr>
        <w:tab/>
        <w:t>not engaging in any activity, such as submitting and maintaining Bids or Schedules, that would result in the discharge of the Storage Units outside any discharge order from the Transmission Provider, or CAISO pursuant to a declared Emergency or other operational order that would take precedence over this Agreement; and</w:t>
      </w:r>
    </w:p>
    <w:p w14:paraId="053ED844" w14:textId="77777777" w:rsidR="0096098E" w:rsidRPr="00561154" w:rsidRDefault="0096098E" w:rsidP="0096098E">
      <w:pPr>
        <w:pStyle w:val="Definition"/>
        <w:ind w:left="1440" w:hanging="720"/>
        <w:rPr>
          <w:color w:val="00B050"/>
        </w:rPr>
      </w:pPr>
      <w:r w:rsidRPr="00561154">
        <w:rPr>
          <w:i/>
          <w:color w:val="00B050"/>
        </w:rPr>
        <w:t>(</w:t>
      </w:r>
      <w:r>
        <w:rPr>
          <w:i/>
          <w:color w:val="00B050"/>
        </w:rPr>
        <w:t>f</w:t>
      </w:r>
      <w:r w:rsidRPr="00561154">
        <w:rPr>
          <w:i/>
          <w:color w:val="00B050"/>
        </w:rPr>
        <w:t xml:space="preserve">) </w:t>
      </w:r>
      <w:r w:rsidRPr="00561154">
        <w:rPr>
          <w:i/>
          <w:color w:val="00B050"/>
        </w:rPr>
        <w:tab/>
        <w:t>incurring extraordinary expenses, if necessary, to accomplish the foregoing.]</w:t>
      </w:r>
    </w:p>
    <w:p w14:paraId="120A73A8" w14:textId="7F5423C8" w:rsidR="00A01DF3" w:rsidRPr="0027789B" w:rsidRDefault="008E65AA" w:rsidP="00561154">
      <w:pPr>
        <w:pStyle w:val="Definition"/>
      </w:pPr>
      <w:r w:rsidRPr="00482B73">
        <w:t>“</w:t>
      </w:r>
      <w:r w:rsidRPr="00482B73">
        <w:rPr>
          <w:u w:val="single"/>
        </w:rPr>
        <w:t>Maximum Storage Level</w:t>
      </w:r>
      <w:r w:rsidRPr="00482B73">
        <w:t>” means the MWh amount under “</w:t>
      </w:r>
      <w:r w:rsidR="00283257" w:rsidRPr="00482B73">
        <w:t xml:space="preserve">Maximum </w:t>
      </w:r>
      <w:r w:rsidRPr="00482B73">
        <w:t>Stor</w:t>
      </w:r>
      <w:r w:rsidR="00283257" w:rsidRPr="00482B73">
        <w:t>age Level</w:t>
      </w:r>
      <w:r w:rsidRPr="00482B73">
        <w:t xml:space="preserve">” as set forth in </w:t>
      </w:r>
      <w:r w:rsidR="00CF10CD">
        <w:rPr>
          <w:u w:val="single"/>
        </w:rPr>
        <w:t>Exhibit D</w:t>
      </w:r>
      <w:r w:rsidRPr="00482B73">
        <w:t>.</w:t>
      </w:r>
    </w:p>
    <w:p w14:paraId="36039E84" w14:textId="129208A3" w:rsidR="00A01DF3" w:rsidRPr="0027789B" w:rsidRDefault="008E65AA" w:rsidP="00561154">
      <w:pPr>
        <w:pStyle w:val="Definition"/>
      </w:pPr>
      <w:r w:rsidRPr="0027789B">
        <w:t>“</w:t>
      </w:r>
      <w:r w:rsidRPr="00FF157D">
        <w:rPr>
          <w:u w:val="single"/>
        </w:rPr>
        <w:t>Mediator</w:t>
      </w:r>
      <w:r w:rsidRPr="0027789B">
        <w:t xml:space="preserve">” has the meaning set forth </w:t>
      </w:r>
      <w:r w:rsidRPr="00362F4D">
        <w:t xml:space="preserve">in </w:t>
      </w:r>
      <w:r w:rsidRPr="002F5C7B">
        <w:t xml:space="preserve">Section </w:t>
      </w:r>
      <w:r w:rsidR="002E2123">
        <w:t>12</w:t>
      </w:r>
      <w:r w:rsidRPr="002F5C7B">
        <w:t>.02.</w:t>
      </w:r>
    </w:p>
    <w:p w14:paraId="445A6911" w14:textId="5F09D527" w:rsidR="00A01DF3" w:rsidRPr="0027789B" w:rsidRDefault="008E65AA" w:rsidP="00DB7FE0">
      <w:pPr>
        <w:pStyle w:val="Definition"/>
      </w:pPr>
      <w:r w:rsidRPr="00C600E0">
        <w:t>“</w:t>
      </w:r>
      <w:r w:rsidRPr="00C600E0">
        <w:rPr>
          <w:u w:val="single"/>
        </w:rPr>
        <w:t>Milestone Schedule</w:t>
      </w:r>
      <w:r w:rsidRPr="00C600E0">
        <w:t>”</w:t>
      </w:r>
      <w:r w:rsidR="00B04ACE" w:rsidRPr="00C600E0">
        <w:t xml:space="preserve"> means Seller’s schedule to develop the Project as set forth in </w:t>
      </w:r>
      <w:r w:rsidR="003C07DC" w:rsidRPr="00482B73">
        <w:rPr>
          <w:u w:val="single"/>
        </w:rPr>
        <w:t>Exhibit</w:t>
      </w:r>
      <w:r w:rsidR="00B04ACE" w:rsidRPr="00482B73">
        <w:rPr>
          <w:u w:val="single"/>
        </w:rPr>
        <w:t xml:space="preserve"> </w:t>
      </w:r>
      <w:r w:rsidR="00367C93">
        <w:rPr>
          <w:u w:val="single"/>
        </w:rPr>
        <w:t>H</w:t>
      </w:r>
      <w:r w:rsidR="00B04ACE" w:rsidRPr="00482B73">
        <w:t>,</w:t>
      </w:r>
      <w:r w:rsidR="00B04ACE" w:rsidRPr="00C600E0">
        <w:t xml:space="preserve"> including any revisions thereto in accordance with this Agreement.</w:t>
      </w:r>
      <w:r w:rsidRPr="0027789B">
        <w:t xml:space="preserve"> </w:t>
      </w:r>
    </w:p>
    <w:p w14:paraId="5B7D78CE" w14:textId="77777777" w:rsidR="00A01DF3" w:rsidRPr="0027789B" w:rsidRDefault="008E65AA" w:rsidP="00F06C20">
      <w:pPr>
        <w:pStyle w:val="Definition"/>
      </w:pPr>
      <w:r w:rsidRPr="0027789B">
        <w:t>“</w:t>
      </w:r>
      <w:r w:rsidRPr="00FF157D">
        <w:rPr>
          <w:u w:val="single"/>
        </w:rPr>
        <w:t>Minimum Load</w:t>
      </w:r>
      <w:r w:rsidRPr="0027789B">
        <w:t xml:space="preserve">” has the meaning set forth in the </w:t>
      </w:r>
      <w:r w:rsidR="000A4EE4" w:rsidRPr="0027789B">
        <w:t>CAISO Tariff</w:t>
      </w:r>
      <w:r w:rsidR="001D4101">
        <w:t xml:space="preserve">. </w:t>
      </w:r>
      <w:r w:rsidRPr="0027789B">
        <w:t xml:space="preserve">To the extent this </w:t>
      </w:r>
      <w:r w:rsidR="000A4EE4" w:rsidRPr="0027789B">
        <w:t>CAISO Tariff</w:t>
      </w:r>
      <w:r w:rsidRPr="0027789B">
        <w:t xml:space="preserve"> definition refers to or is applicable to a generation resource, such definition shall apply to the Storage Unit(s) as if the Storage Unit(s) are generation resources; provided, it shall only apply to the Storage Unit(s)’ ability to discharge energy and for instances where the Storage Unit(s) are discharging energy</w:t>
      </w:r>
      <w:r w:rsidR="001D4101">
        <w:t xml:space="preserve">. </w:t>
      </w:r>
    </w:p>
    <w:p w14:paraId="7A2E2395" w14:textId="0564EC92" w:rsidR="008A41A4" w:rsidRDefault="008A41A4" w:rsidP="00561154">
      <w:pPr>
        <w:pStyle w:val="Definition"/>
      </w:pPr>
      <w:r>
        <w:t>“</w:t>
      </w:r>
      <w:r w:rsidRPr="00C600E0">
        <w:rPr>
          <w:u w:val="single"/>
        </w:rPr>
        <w:t>Minimum Storage Level</w:t>
      </w:r>
      <w:r w:rsidRPr="00C600E0">
        <w:t>” means the MWh amount under “</w:t>
      </w:r>
      <w:r w:rsidR="006E3D68" w:rsidRPr="00C600E0">
        <w:t>Minimum</w:t>
      </w:r>
      <w:r w:rsidRPr="00C600E0">
        <w:t xml:space="preserve"> Storage Level” as set forth in </w:t>
      </w:r>
      <w:r w:rsidR="00CF10CD">
        <w:rPr>
          <w:u w:val="single"/>
        </w:rPr>
        <w:t>Exhibit D</w:t>
      </w:r>
      <w:r w:rsidRPr="00482B73">
        <w:t>.</w:t>
      </w:r>
      <w:r>
        <w:t xml:space="preserve"> </w:t>
      </w:r>
    </w:p>
    <w:p w14:paraId="5717F18E" w14:textId="025914C7" w:rsidR="00A01DF3" w:rsidRPr="0027789B" w:rsidRDefault="008E65AA" w:rsidP="00561154">
      <w:pPr>
        <w:pStyle w:val="Definition"/>
      </w:pPr>
      <w:r w:rsidRPr="0027789B">
        <w:t>“</w:t>
      </w:r>
      <w:r w:rsidRPr="00FF157D">
        <w:rPr>
          <w:u w:val="single"/>
        </w:rPr>
        <w:t>Monthly Available A/S Capacity</w:t>
      </w:r>
      <w:r w:rsidRPr="0027789B">
        <w:t xml:space="preserve">” has the meaning set </w:t>
      </w:r>
      <w:r w:rsidRPr="00362F4D">
        <w:t xml:space="preserve">forth in </w:t>
      </w:r>
      <w:r w:rsidRPr="000678FD">
        <w:t xml:space="preserve">Section </w:t>
      </w:r>
      <w:r w:rsidR="004726AE" w:rsidRPr="000678FD">
        <w:t>3</w:t>
      </w:r>
      <w:r w:rsidRPr="000678FD">
        <w:t>.</w:t>
      </w:r>
      <w:r w:rsidR="004726AE" w:rsidRPr="000678FD">
        <w:t>1</w:t>
      </w:r>
      <w:r w:rsidRPr="000678FD">
        <w:t>1(</w:t>
      </w:r>
      <w:r w:rsidRPr="0027789B">
        <w:t>d)(i).</w:t>
      </w:r>
    </w:p>
    <w:p w14:paraId="4C9ABA1D" w14:textId="77777777" w:rsidR="00A01DF3" w:rsidRPr="0027789B" w:rsidRDefault="008E65AA" w:rsidP="00561154">
      <w:pPr>
        <w:pStyle w:val="Definition"/>
      </w:pPr>
      <w:r w:rsidRPr="0027789B">
        <w:t>“</w:t>
      </w:r>
      <w:r w:rsidRPr="00FF157D">
        <w:rPr>
          <w:u w:val="single"/>
        </w:rPr>
        <w:t>Monthly Capacity Payment</w:t>
      </w:r>
      <w:r w:rsidRPr="0027789B">
        <w:t>” means, as applicable, the Monthly RA Capacity Payment or the Monthly Energy Capacity Payment.</w:t>
      </w:r>
    </w:p>
    <w:p w14:paraId="66E2C918" w14:textId="77777777" w:rsidR="008A41A4" w:rsidRDefault="008A41A4" w:rsidP="00561154">
      <w:pPr>
        <w:pStyle w:val="Definition"/>
      </w:pPr>
      <w:r>
        <w:t>“</w:t>
      </w:r>
      <w:r w:rsidRPr="00FF157D">
        <w:rPr>
          <w:u w:val="single"/>
        </w:rPr>
        <w:t>Monthly Capacity Price</w:t>
      </w:r>
      <w:r w:rsidRPr="00F53CF4">
        <w:t>” means,</w:t>
      </w:r>
      <w:r>
        <w:t xml:space="preserve"> as applicable, Monthly RA Capacity Price or Monthly Energy Capacity Price.</w:t>
      </w:r>
    </w:p>
    <w:p w14:paraId="25498067" w14:textId="6F8A5E0F" w:rsidR="00A01DF3" w:rsidRPr="00B022A3" w:rsidRDefault="008E65AA" w:rsidP="00561154">
      <w:pPr>
        <w:pStyle w:val="Definition"/>
      </w:pPr>
      <w:r w:rsidRPr="0027789B">
        <w:rPr>
          <w:szCs w:val="20"/>
        </w:rPr>
        <w:lastRenderedPageBreak/>
        <w:t>“</w:t>
      </w:r>
      <w:r w:rsidRPr="00FF157D">
        <w:rPr>
          <w:u w:val="single"/>
        </w:rPr>
        <w:t>Monthly Energy Capacity Payment</w:t>
      </w:r>
      <w:r w:rsidRPr="0027789B">
        <w:rPr>
          <w:szCs w:val="20"/>
        </w:rPr>
        <w:t xml:space="preserve">” has the meaning set </w:t>
      </w:r>
      <w:r w:rsidRPr="00362F4D">
        <w:rPr>
          <w:szCs w:val="20"/>
        </w:rPr>
        <w:t xml:space="preserve">forth in </w:t>
      </w:r>
      <w:r w:rsidRPr="00B022A3">
        <w:rPr>
          <w:szCs w:val="20"/>
        </w:rPr>
        <w:t xml:space="preserve">Section </w:t>
      </w:r>
      <w:r w:rsidR="00B022A3" w:rsidRPr="00B022A3">
        <w:rPr>
          <w:szCs w:val="20"/>
        </w:rPr>
        <w:t>3</w:t>
      </w:r>
      <w:r w:rsidRPr="00B022A3">
        <w:rPr>
          <w:szCs w:val="20"/>
        </w:rPr>
        <w:t>.0</w:t>
      </w:r>
      <w:r w:rsidR="00B022A3" w:rsidRPr="00B022A3">
        <w:rPr>
          <w:szCs w:val="20"/>
        </w:rPr>
        <w:t>6</w:t>
      </w:r>
      <w:r w:rsidRPr="0027789B">
        <w:rPr>
          <w:szCs w:val="20"/>
        </w:rPr>
        <w:t>(b)</w:t>
      </w:r>
      <w:r w:rsidR="006A387D" w:rsidRPr="0027789B">
        <w:rPr>
          <w:szCs w:val="20"/>
        </w:rPr>
        <w:t xml:space="preserve">, as may be reduced </w:t>
      </w:r>
      <w:r w:rsidR="006A387D" w:rsidRPr="00484686">
        <w:rPr>
          <w:szCs w:val="20"/>
        </w:rPr>
        <w:t>unde</w:t>
      </w:r>
      <w:r w:rsidR="006A387D" w:rsidRPr="00B022A3">
        <w:rPr>
          <w:szCs w:val="20"/>
        </w:rPr>
        <w:t xml:space="preserve">r Section </w:t>
      </w:r>
      <w:r w:rsidR="00B022A3" w:rsidRPr="00B022A3">
        <w:rPr>
          <w:szCs w:val="20"/>
        </w:rPr>
        <w:t>3</w:t>
      </w:r>
      <w:r w:rsidR="006A387D" w:rsidRPr="00B022A3">
        <w:rPr>
          <w:szCs w:val="20"/>
        </w:rPr>
        <w:t>.0</w:t>
      </w:r>
      <w:r w:rsidR="00B022A3" w:rsidRPr="00B022A3">
        <w:rPr>
          <w:szCs w:val="20"/>
        </w:rPr>
        <w:t>5</w:t>
      </w:r>
      <w:r w:rsidR="006A387D" w:rsidRPr="00B022A3">
        <w:rPr>
          <w:szCs w:val="20"/>
        </w:rPr>
        <w:t>(d)</w:t>
      </w:r>
      <w:r w:rsidRPr="00B022A3">
        <w:rPr>
          <w:szCs w:val="20"/>
        </w:rPr>
        <w:t>.</w:t>
      </w:r>
      <w:r w:rsidRPr="00B022A3">
        <w:t xml:space="preserve"> </w:t>
      </w:r>
    </w:p>
    <w:p w14:paraId="0FCFAB5D" w14:textId="50875977" w:rsidR="00A01DF3" w:rsidRPr="00B022A3" w:rsidRDefault="008E65AA" w:rsidP="00561154">
      <w:pPr>
        <w:pStyle w:val="Definition"/>
        <w:rPr>
          <w:szCs w:val="20"/>
        </w:rPr>
      </w:pPr>
      <w:r w:rsidRPr="00B022A3">
        <w:t>“</w:t>
      </w:r>
      <w:r w:rsidRPr="00B022A3">
        <w:rPr>
          <w:u w:val="single"/>
        </w:rPr>
        <w:t>Monthly Energy Capacity Price</w:t>
      </w:r>
      <w:r w:rsidRPr="00B022A3">
        <w:t xml:space="preserve">” </w:t>
      </w:r>
      <w:r w:rsidR="00A17E65">
        <w:t>has the meaning set forth in Section 1.04(b)</w:t>
      </w:r>
      <w:r w:rsidRPr="00B022A3">
        <w:t>.</w:t>
      </w:r>
      <w:r w:rsidRPr="00B022A3">
        <w:rPr>
          <w:szCs w:val="20"/>
        </w:rPr>
        <w:t xml:space="preserve"> </w:t>
      </w:r>
    </w:p>
    <w:p w14:paraId="2CEDCE40" w14:textId="1E66906E" w:rsidR="00A01DF3" w:rsidRPr="00B022A3" w:rsidRDefault="008E65AA" w:rsidP="00561154">
      <w:pPr>
        <w:pStyle w:val="Definition"/>
      </w:pPr>
      <w:r w:rsidRPr="00B022A3">
        <w:rPr>
          <w:szCs w:val="20"/>
        </w:rPr>
        <w:t>“</w:t>
      </w:r>
      <w:r w:rsidRPr="00B022A3">
        <w:rPr>
          <w:u w:val="single"/>
        </w:rPr>
        <w:t>Monthly RA Capacity Payment</w:t>
      </w:r>
      <w:r w:rsidRPr="00B022A3">
        <w:rPr>
          <w:szCs w:val="20"/>
        </w:rPr>
        <w:t xml:space="preserve">” has the meaning set forth in Section </w:t>
      </w:r>
      <w:r w:rsidR="00B022A3" w:rsidRPr="00B022A3">
        <w:rPr>
          <w:szCs w:val="20"/>
        </w:rPr>
        <w:t>3</w:t>
      </w:r>
      <w:r w:rsidRPr="00B022A3">
        <w:rPr>
          <w:szCs w:val="20"/>
        </w:rPr>
        <w:t>.0</w:t>
      </w:r>
      <w:r w:rsidR="00B022A3" w:rsidRPr="00B022A3">
        <w:rPr>
          <w:szCs w:val="20"/>
        </w:rPr>
        <w:t>6</w:t>
      </w:r>
      <w:r w:rsidRPr="00B022A3">
        <w:rPr>
          <w:szCs w:val="20"/>
        </w:rPr>
        <w:t>(a).</w:t>
      </w:r>
      <w:r w:rsidRPr="00B022A3">
        <w:t xml:space="preserve"> </w:t>
      </w:r>
    </w:p>
    <w:p w14:paraId="3A0E4152" w14:textId="006738CD" w:rsidR="00A01DF3" w:rsidRDefault="008E65AA" w:rsidP="00561154">
      <w:pPr>
        <w:pStyle w:val="Definition"/>
      </w:pPr>
      <w:r w:rsidRPr="00B022A3">
        <w:t>“</w:t>
      </w:r>
      <w:r w:rsidRPr="00B022A3">
        <w:rPr>
          <w:u w:val="single"/>
        </w:rPr>
        <w:t>Monthly RA Capacity Price</w:t>
      </w:r>
      <w:r w:rsidRPr="00B022A3">
        <w:t xml:space="preserve">” </w:t>
      </w:r>
      <w:r w:rsidR="00A17E65">
        <w:t>has the meaning set forth in Section 1.04(a)</w:t>
      </w:r>
      <w:r w:rsidRPr="00B022A3">
        <w:t xml:space="preserve">. </w:t>
      </w:r>
    </w:p>
    <w:p w14:paraId="4D0D87CA" w14:textId="18717978" w:rsidR="005832DC" w:rsidRPr="0027789B" w:rsidRDefault="005832DC" w:rsidP="00561154">
      <w:pPr>
        <w:pStyle w:val="Definition"/>
      </w:pPr>
      <w:r>
        <w:t>“</w:t>
      </w:r>
      <w:r>
        <w:rPr>
          <w:u w:val="single"/>
        </w:rPr>
        <w:t>Monthly Supply Plan</w:t>
      </w:r>
      <w:r>
        <w:t>” has the meaning set forth in the CAISO Tariff.</w:t>
      </w:r>
    </w:p>
    <w:p w14:paraId="4FECB8FC" w14:textId="09430211" w:rsidR="00A01DF3" w:rsidRPr="0027789B" w:rsidRDefault="008E65AA" w:rsidP="00561154">
      <w:pPr>
        <w:pStyle w:val="Definition"/>
      </w:pPr>
      <w:r w:rsidRPr="0027789B">
        <w:t>“</w:t>
      </w:r>
      <w:r w:rsidRPr="00FF157D">
        <w:rPr>
          <w:u w:val="single"/>
        </w:rPr>
        <w:t>Moody’s</w:t>
      </w:r>
      <w:r w:rsidRPr="0027789B">
        <w:t>” means Moody’s Investor</w:t>
      </w:r>
      <w:r w:rsidR="00040211">
        <w:t>s</w:t>
      </w:r>
      <w:r w:rsidR="00B04ACE" w:rsidRPr="0027789B">
        <w:t xml:space="preserve"> Service, Inc. </w:t>
      </w:r>
    </w:p>
    <w:p w14:paraId="47817F5A" w14:textId="77777777" w:rsidR="00A01DF3" w:rsidRPr="0027789B" w:rsidRDefault="008E65AA" w:rsidP="00561154">
      <w:pPr>
        <w:pStyle w:val="Definition"/>
      </w:pPr>
      <w:r w:rsidRPr="0027789B">
        <w:t>“</w:t>
      </w:r>
      <w:r w:rsidRPr="00FF157D">
        <w:rPr>
          <w:u w:val="single"/>
        </w:rPr>
        <w:t>MW</w:t>
      </w:r>
      <w:r w:rsidRPr="0027789B">
        <w:t>” means megawatt or megawatts.</w:t>
      </w:r>
    </w:p>
    <w:p w14:paraId="4DFF7770" w14:textId="77777777" w:rsidR="00A01DF3" w:rsidRDefault="008E65AA" w:rsidP="00561154">
      <w:pPr>
        <w:pStyle w:val="Definition"/>
      </w:pPr>
      <w:r w:rsidRPr="0027789B">
        <w:t>“</w:t>
      </w:r>
      <w:r w:rsidRPr="00FF157D">
        <w:rPr>
          <w:u w:val="single"/>
        </w:rPr>
        <w:t>MWh</w:t>
      </w:r>
      <w:r w:rsidRPr="0027789B">
        <w:t xml:space="preserve">” means </w:t>
      </w:r>
      <w:r w:rsidR="00196E94" w:rsidRPr="0027789B">
        <w:t xml:space="preserve">megawatt-hour or </w:t>
      </w:r>
      <w:r w:rsidRPr="0027789B">
        <w:t>megawatt-hours.</w:t>
      </w:r>
    </w:p>
    <w:p w14:paraId="0168B956" w14:textId="77777777" w:rsidR="0096098E" w:rsidRPr="00561154" w:rsidRDefault="0096098E" w:rsidP="0096098E">
      <w:pPr>
        <w:pStyle w:val="Definition"/>
        <w:rPr>
          <w:i/>
          <w:color w:val="00B050"/>
        </w:rPr>
      </w:pPr>
      <w:r w:rsidRPr="00561154">
        <w:rPr>
          <w:i/>
          <w:color w:val="00B050"/>
        </w:rPr>
        <w:t>[“</w:t>
      </w:r>
      <w:r w:rsidRPr="00561154">
        <w:rPr>
          <w:i/>
          <w:color w:val="00B050"/>
          <w:u w:val="single"/>
        </w:rPr>
        <w:t>N-2 Event”</w:t>
      </w:r>
      <w:r w:rsidRPr="00561154">
        <w:rPr>
          <w:i/>
          <w:color w:val="00B050"/>
        </w:rPr>
        <w:t xml:space="preserve"> means a simultaneous outage of the two (2) Goleta-Santa Clara 220 kV transmission lines resulting from failure of, or damage to, any portion of the transmission infrastructure (including circuit towers, transmission lines, </w:t>
      </w:r>
      <w:r>
        <w:rPr>
          <w:i/>
          <w:color w:val="00B050"/>
        </w:rPr>
        <w:t xml:space="preserve">substations, </w:t>
      </w:r>
      <w:r w:rsidRPr="00561154">
        <w:rPr>
          <w:i/>
          <w:color w:val="00B050"/>
        </w:rPr>
        <w:t xml:space="preserve">or other related equipment), such that electrical power is unable to flow on both such lines, as notified by SCE to Seller pursuant to Section 14.02(b).] </w:t>
      </w:r>
    </w:p>
    <w:p w14:paraId="299ACE44" w14:textId="77777777" w:rsidR="0096098E" w:rsidRPr="00561154" w:rsidRDefault="0096098E" w:rsidP="0096098E">
      <w:pPr>
        <w:pStyle w:val="Definition"/>
        <w:rPr>
          <w:i/>
          <w:color w:val="00B050"/>
        </w:rPr>
      </w:pPr>
      <w:r w:rsidRPr="00561154">
        <w:rPr>
          <w:i/>
          <w:color w:val="00B050"/>
        </w:rPr>
        <w:t>[“</w:t>
      </w:r>
      <w:r w:rsidRPr="00561154">
        <w:rPr>
          <w:i/>
          <w:color w:val="00B050"/>
          <w:u w:val="single"/>
        </w:rPr>
        <w:t>N-2 Event Notification</w:t>
      </w:r>
      <w:r w:rsidRPr="00561154">
        <w:rPr>
          <w:i/>
          <w:color w:val="00B050"/>
        </w:rPr>
        <w:t>” has the meaning set forth in Section 14.02(b).]</w:t>
      </w:r>
    </w:p>
    <w:p w14:paraId="5C95D210" w14:textId="7163C3F2" w:rsidR="00A01DF3" w:rsidRPr="0027789B" w:rsidRDefault="008E65AA" w:rsidP="00561154">
      <w:pPr>
        <w:pStyle w:val="Definition"/>
      </w:pPr>
      <w:r w:rsidRPr="0027789B">
        <w:t>“</w:t>
      </w:r>
      <w:r w:rsidRPr="00FF157D">
        <w:rPr>
          <w:u w:val="single"/>
        </w:rPr>
        <w:t>NERC</w:t>
      </w:r>
      <w:r w:rsidRPr="0027789B">
        <w:t xml:space="preserve">” means the North American Electric Reliability </w:t>
      </w:r>
      <w:r w:rsidR="00B04ACE" w:rsidRPr="0027789B">
        <w:t>Corporation.</w:t>
      </w:r>
    </w:p>
    <w:p w14:paraId="7AA88980" w14:textId="77777777" w:rsidR="00A01DF3" w:rsidRDefault="008E65AA" w:rsidP="00DB7FE0">
      <w:pPr>
        <w:pStyle w:val="Definition"/>
      </w:pPr>
      <w:r w:rsidRPr="0027789B">
        <w:t>“</w:t>
      </w:r>
      <w:r w:rsidRPr="00FF157D">
        <w:rPr>
          <w:u w:val="single"/>
        </w:rPr>
        <w:t>NERC Reliability Standards</w:t>
      </w:r>
      <w:r w:rsidRPr="0027789B">
        <w:t xml:space="preserve">” means those reliability standards applicable to a generating or storage facility, or to the Generator Owner or the Generator Operator with respect to </w:t>
      </w:r>
      <w:r w:rsidR="00FA6A88" w:rsidRPr="0027789B">
        <w:t xml:space="preserve">a </w:t>
      </w:r>
      <w:r w:rsidRPr="0027789B">
        <w:t xml:space="preserve">generating or storage facility, that are adopted by NERC and approved by the applicable regulatory authorities and available on the NERC website. </w:t>
      </w:r>
    </w:p>
    <w:p w14:paraId="2EAFDD9A" w14:textId="2D4B4FCD" w:rsidR="001D6DF8" w:rsidRPr="0027789B" w:rsidRDefault="001D6DF8" w:rsidP="00DB7FE0">
      <w:pPr>
        <w:pStyle w:val="Definition"/>
      </w:pPr>
      <w:r w:rsidRPr="00362F4D">
        <w:t>“</w:t>
      </w:r>
      <w:r w:rsidRPr="00362F4D">
        <w:rPr>
          <w:u w:val="single"/>
        </w:rPr>
        <w:t>NERC Standards Non-Compliance Penalties</w:t>
      </w:r>
      <w:r w:rsidRPr="00362F4D">
        <w:t xml:space="preserve">” </w:t>
      </w:r>
      <w:r w:rsidR="00F22D20">
        <w:t xml:space="preserve">means </w:t>
      </w:r>
      <w:r w:rsidR="00F22D20" w:rsidRPr="0027789B">
        <w:t>all penalties assessed by FERC, NERC (through WECC or otherwise) or other Governmental Authority for violations of the NERC Reliability Standards by the Project or Seller, as Generator Operator or other applicable category</w:t>
      </w:r>
      <w:r w:rsidRPr="00496FAE">
        <w:t>.</w:t>
      </w:r>
    </w:p>
    <w:p w14:paraId="2BD51837" w14:textId="77777777" w:rsidR="00A01DF3" w:rsidRPr="0027789B" w:rsidRDefault="008E65AA" w:rsidP="00561154">
      <w:pPr>
        <w:pStyle w:val="Definition"/>
      </w:pPr>
      <w:r w:rsidRPr="0027789B">
        <w:t>“</w:t>
      </w:r>
      <w:r w:rsidRPr="00FF157D">
        <w:rPr>
          <w:u w:val="single"/>
        </w:rPr>
        <w:t>Net Qualifying Capacity</w:t>
      </w:r>
      <w:r w:rsidRPr="0027789B">
        <w:t xml:space="preserve">” has the meaning set forth in the </w:t>
      </w:r>
      <w:r w:rsidR="000A4EE4" w:rsidRPr="0027789B">
        <w:t>CAISO Tariff</w:t>
      </w:r>
      <w:r w:rsidR="001D4101">
        <w:t xml:space="preserve">. </w:t>
      </w:r>
    </w:p>
    <w:p w14:paraId="290EC375" w14:textId="7FB3E84E" w:rsidR="00A01DF3" w:rsidRPr="0027789B" w:rsidRDefault="008E65AA" w:rsidP="00561154">
      <w:pPr>
        <w:pStyle w:val="Definition"/>
      </w:pPr>
      <w:r w:rsidRPr="0027789B">
        <w:t>“</w:t>
      </w:r>
      <w:r w:rsidRPr="00FF157D">
        <w:rPr>
          <w:u w:val="single"/>
        </w:rPr>
        <w:t>Network Upgrades</w:t>
      </w:r>
      <w:r w:rsidRPr="0027789B">
        <w:t xml:space="preserve">” </w:t>
      </w:r>
      <w:r w:rsidR="00CE6835">
        <w:t>has the meaning set forth in Section 5.01(a)</w:t>
      </w:r>
      <w:r w:rsidRPr="0027789B">
        <w:t>.</w:t>
      </w:r>
    </w:p>
    <w:p w14:paraId="366D324D" w14:textId="3E9C0569" w:rsidR="00A01DF3" w:rsidRPr="00362F4D" w:rsidRDefault="008E65AA" w:rsidP="00561154">
      <w:pPr>
        <w:pStyle w:val="Definition"/>
      </w:pPr>
      <w:r w:rsidRPr="00362F4D">
        <w:t>“</w:t>
      </w:r>
      <w:r w:rsidRPr="00362F4D">
        <w:rPr>
          <w:u w:val="single"/>
        </w:rPr>
        <w:t>Network Upgrades Cap</w:t>
      </w:r>
      <w:r w:rsidRPr="00362F4D">
        <w:t xml:space="preserve">” has the meaning </w:t>
      </w:r>
      <w:r w:rsidRPr="00504642">
        <w:t>set forth in Section</w:t>
      </w:r>
      <w:r w:rsidR="00504642" w:rsidRPr="00504642">
        <w:t xml:space="preserve"> 5</w:t>
      </w:r>
      <w:r w:rsidRPr="00504642">
        <w:t>.0</w:t>
      </w:r>
      <w:r w:rsidR="00504642" w:rsidRPr="00504642">
        <w:t>1</w:t>
      </w:r>
      <w:r w:rsidRPr="00362F4D">
        <w:t>(</w:t>
      </w:r>
      <w:r w:rsidR="00504642">
        <w:t>b)(i</w:t>
      </w:r>
      <w:r w:rsidRPr="00362F4D">
        <w:t>)</w:t>
      </w:r>
      <w:r w:rsidR="001D4632">
        <w:t>(A)</w:t>
      </w:r>
      <w:r w:rsidRPr="00362F4D">
        <w:t>.</w:t>
      </w:r>
    </w:p>
    <w:p w14:paraId="162F82CD" w14:textId="22B38744" w:rsidR="00A01DF3" w:rsidRPr="0027789B" w:rsidRDefault="008E65AA" w:rsidP="00561154">
      <w:pPr>
        <w:pStyle w:val="Definition"/>
      </w:pPr>
      <w:r w:rsidRPr="00362F4D">
        <w:t>“</w:t>
      </w:r>
      <w:r w:rsidRPr="00362F4D">
        <w:rPr>
          <w:u w:val="single"/>
        </w:rPr>
        <w:t>New Resource</w:t>
      </w:r>
      <w:r w:rsidRPr="00362F4D">
        <w:t xml:space="preserve">” </w:t>
      </w:r>
      <w:bookmarkStart w:id="626" w:name="_DV_C3181"/>
      <w:r w:rsidR="00131EEE">
        <w:t>has the meaning set forth in Section 9.02(a)</w:t>
      </w:r>
      <w:r w:rsidR="00814A18" w:rsidRPr="0027789B">
        <w:t>.</w:t>
      </w:r>
    </w:p>
    <w:p w14:paraId="37B9A93F" w14:textId="5EC7BC3F" w:rsidR="00A01DF3" w:rsidRPr="00362F4D" w:rsidRDefault="008E65AA" w:rsidP="00561154">
      <w:pPr>
        <w:pStyle w:val="Definition"/>
        <w:rPr>
          <w:bCs/>
        </w:rPr>
      </w:pPr>
      <w:r w:rsidRPr="0027789B">
        <w:rPr>
          <w:bCs/>
        </w:rPr>
        <w:lastRenderedPageBreak/>
        <w:t>“</w:t>
      </w:r>
      <w:r w:rsidRPr="00FF157D">
        <w:rPr>
          <w:u w:val="single"/>
        </w:rPr>
        <w:t>Non-Availability Charges</w:t>
      </w:r>
      <w:r w:rsidRPr="0027789B">
        <w:rPr>
          <w:bCs/>
        </w:rPr>
        <w:t xml:space="preserve">” has </w:t>
      </w:r>
      <w:r w:rsidRPr="00362F4D">
        <w:rPr>
          <w:bCs/>
        </w:rPr>
        <w:t xml:space="preserve">the meaning set forth </w:t>
      </w:r>
      <w:r w:rsidR="00291C66">
        <w:rPr>
          <w:bCs/>
        </w:rPr>
        <w:t>Section 3.11</w:t>
      </w:r>
      <w:r w:rsidRPr="00362F4D">
        <w:rPr>
          <w:bCs/>
        </w:rPr>
        <w:t>.</w:t>
      </w:r>
      <w:bookmarkEnd w:id="626"/>
    </w:p>
    <w:p w14:paraId="689EA742" w14:textId="630AF0CB" w:rsidR="00A01DF3" w:rsidRPr="00362F4D" w:rsidRDefault="008E65AA" w:rsidP="00561154">
      <w:pPr>
        <w:pStyle w:val="Definition"/>
      </w:pPr>
      <w:r w:rsidRPr="00362F4D">
        <w:t>“</w:t>
      </w:r>
      <w:r w:rsidRPr="00362F4D">
        <w:rPr>
          <w:u w:val="single"/>
        </w:rPr>
        <w:t>Non-Defaulting Party</w:t>
      </w:r>
      <w:r w:rsidRPr="00362F4D">
        <w:t xml:space="preserve">” has the meaning set forth </w:t>
      </w:r>
      <w:r w:rsidRPr="00541852">
        <w:t xml:space="preserve">in Section </w:t>
      </w:r>
      <w:r w:rsidR="009B2ACF">
        <w:t>10</w:t>
      </w:r>
      <w:r w:rsidRPr="00541852">
        <w:t>.0</w:t>
      </w:r>
      <w:r w:rsidR="00A75F75" w:rsidRPr="00541852">
        <w:t>2</w:t>
      </w:r>
      <w:r w:rsidRPr="00541852">
        <w:t>.</w:t>
      </w:r>
    </w:p>
    <w:p w14:paraId="298372DC" w14:textId="2F8DA9D5" w:rsidR="00A01DF3" w:rsidRPr="0027789B" w:rsidRDefault="008E65AA" w:rsidP="00561154">
      <w:pPr>
        <w:pStyle w:val="Definition"/>
      </w:pPr>
      <w:r w:rsidRPr="00362F4D">
        <w:t>“</w:t>
      </w:r>
      <w:r w:rsidRPr="00362F4D">
        <w:rPr>
          <w:u w:val="single"/>
        </w:rPr>
        <w:t>Non-SCE Charge</w:t>
      </w:r>
      <w:r w:rsidRPr="00362F4D">
        <w:t xml:space="preserve">” has the meaning set forth in </w:t>
      </w:r>
      <w:r w:rsidRPr="008923FE">
        <w:t>Section 6</w:t>
      </w:r>
      <w:r w:rsidRPr="00362F4D">
        <w:t>.0</w:t>
      </w:r>
      <w:r w:rsidR="00D01E0D">
        <w:t>8</w:t>
      </w:r>
      <w:r w:rsidR="008923FE">
        <w:t>(e)</w:t>
      </w:r>
      <w:r w:rsidR="001D4101" w:rsidRPr="00362F4D">
        <w:t>.</w:t>
      </w:r>
      <w:r w:rsidR="001D4101">
        <w:t xml:space="preserve"> </w:t>
      </w:r>
    </w:p>
    <w:p w14:paraId="32DA1A45" w14:textId="025675B3" w:rsidR="00A01DF3" w:rsidRPr="0027789B" w:rsidRDefault="008E65AA" w:rsidP="00DB7FE0">
      <w:pPr>
        <w:pStyle w:val="Definition"/>
      </w:pPr>
      <w:r w:rsidRPr="0027789B">
        <w:t>“</w:t>
      </w:r>
      <w:r w:rsidRPr="00FF157D">
        <w:rPr>
          <w:u w:val="single"/>
        </w:rPr>
        <w:t>Non-SCE Dispatch</w:t>
      </w:r>
      <w:r w:rsidRPr="0027789B">
        <w:t>” means a dispatch by Seller either (a) pursuant to a Seller Initiated Test or (b) as required by Applicable Laws.</w:t>
      </w:r>
    </w:p>
    <w:p w14:paraId="742E9351" w14:textId="2330B109" w:rsidR="00A01DF3" w:rsidRPr="0027789B" w:rsidRDefault="008E65AA" w:rsidP="00561154">
      <w:pPr>
        <w:pStyle w:val="Definition"/>
      </w:pPr>
      <w:r w:rsidRPr="0027789B">
        <w:t>“</w:t>
      </w:r>
      <w:r w:rsidRPr="00FF157D">
        <w:rPr>
          <w:u w:val="single"/>
        </w:rPr>
        <w:t>Non-Specified RA Replacement Capacity</w:t>
      </w:r>
      <w:r w:rsidRPr="0027789B">
        <w:t xml:space="preserve">” has the meaning set forth in </w:t>
      </w:r>
      <w:r w:rsidR="00852AF9">
        <w:t>Section 6.05(d)</w:t>
      </w:r>
      <w:r w:rsidRPr="0027789B">
        <w:t>.</w:t>
      </w:r>
    </w:p>
    <w:p w14:paraId="39D68ADB" w14:textId="77777777" w:rsidR="00A01DF3" w:rsidRPr="0027789B" w:rsidRDefault="008E65AA" w:rsidP="00561154">
      <w:pPr>
        <w:pStyle w:val="Definition"/>
      </w:pPr>
      <w:r w:rsidRPr="0027789B">
        <w:t>“</w:t>
      </w:r>
      <w:r w:rsidRPr="00FF157D">
        <w:rPr>
          <w:u w:val="single"/>
        </w:rPr>
        <w:t>Non-Spinning Reserve</w:t>
      </w:r>
      <w:r w:rsidRPr="0027789B">
        <w:t xml:space="preserve">” has the meaning set forth in the </w:t>
      </w:r>
      <w:r w:rsidR="000A4EE4" w:rsidRPr="0027789B">
        <w:t>CAISO Tariff</w:t>
      </w:r>
      <w:r w:rsidRPr="0027789B">
        <w:t>.</w:t>
      </w:r>
    </w:p>
    <w:p w14:paraId="7699B3EB" w14:textId="16B3AAF6" w:rsidR="00A01DF3" w:rsidRPr="0027789B" w:rsidRDefault="008E65AA" w:rsidP="00561154">
      <w:pPr>
        <w:pStyle w:val="Definition"/>
      </w:pPr>
      <w:r w:rsidRPr="0027789B">
        <w:t>“</w:t>
      </w:r>
      <w:r w:rsidRPr="00FF157D">
        <w:rPr>
          <w:u w:val="single"/>
        </w:rPr>
        <w:t>Notice</w:t>
      </w:r>
      <w:r w:rsidRPr="0027789B">
        <w:t xml:space="preserve">” has the meaning set </w:t>
      </w:r>
      <w:r w:rsidRPr="009676F1">
        <w:t xml:space="preserve">forth in </w:t>
      </w:r>
      <w:r w:rsidRPr="000B3399">
        <w:t xml:space="preserve">Section </w:t>
      </w:r>
      <w:r w:rsidR="002E2123">
        <w:t>14</w:t>
      </w:r>
      <w:r w:rsidRPr="000B3399">
        <w:t>.02.</w:t>
      </w:r>
    </w:p>
    <w:p w14:paraId="01983FB4" w14:textId="527A4FF0" w:rsidR="00A01DF3" w:rsidRPr="0027789B" w:rsidRDefault="008E65AA" w:rsidP="00561154">
      <w:pPr>
        <w:pStyle w:val="Definition"/>
      </w:pPr>
      <w:r w:rsidRPr="0027789B">
        <w:t>“</w:t>
      </w:r>
      <w:r w:rsidRPr="00FF157D">
        <w:rPr>
          <w:u w:val="single"/>
        </w:rPr>
        <w:t>Obligation Month</w:t>
      </w:r>
      <w:r w:rsidRPr="0027789B">
        <w:t xml:space="preserve">” has the meaning set </w:t>
      </w:r>
      <w:r w:rsidRPr="00362F4D">
        <w:t xml:space="preserve">forth in </w:t>
      </w:r>
      <w:r w:rsidRPr="004726AE">
        <w:t xml:space="preserve">Section </w:t>
      </w:r>
      <w:r w:rsidR="004726AE" w:rsidRPr="004726AE">
        <w:t>3</w:t>
      </w:r>
      <w:r w:rsidRPr="004726AE">
        <w:t>.</w:t>
      </w:r>
      <w:r w:rsidRPr="00362F4D">
        <w:t>01.</w:t>
      </w:r>
    </w:p>
    <w:p w14:paraId="48D07D49" w14:textId="1E0460F1" w:rsidR="00A01DF3" w:rsidRPr="00484686" w:rsidRDefault="008E65AA" w:rsidP="00561154">
      <w:pPr>
        <w:pStyle w:val="Definition"/>
      </w:pPr>
      <w:r w:rsidRPr="0027789B">
        <w:t>“</w:t>
      </w:r>
      <w:r w:rsidRPr="00FF157D">
        <w:rPr>
          <w:u w:val="single"/>
        </w:rPr>
        <w:t>Operating Day</w:t>
      </w:r>
      <w:r w:rsidRPr="0027789B">
        <w:t xml:space="preserve">” means a day within a </w:t>
      </w:r>
      <w:r w:rsidRPr="00484686">
        <w:t>Put Period on which the Project operates.</w:t>
      </w:r>
    </w:p>
    <w:p w14:paraId="01632966" w14:textId="4D37FF4D" w:rsidR="00A01DF3" w:rsidRPr="0027789B" w:rsidRDefault="008E65AA" w:rsidP="00DB7FE0">
      <w:pPr>
        <w:pStyle w:val="Definition"/>
      </w:pPr>
      <w:r w:rsidRPr="00484686">
        <w:t>“</w:t>
      </w:r>
      <w:r w:rsidRPr="00484686">
        <w:rPr>
          <w:u w:val="single"/>
        </w:rPr>
        <w:t>Operating Restrictions</w:t>
      </w:r>
      <w:r w:rsidRPr="00484686">
        <w:t xml:space="preserve">” means, </w:t>
      </w:r>
      <w:r w:rsidRPr="000678FD">
        <w:t xml:space="preserve">subject to Section </w:t>
      </w:r>
      <w:r w:rsidR="006179DF" w:rsidRPr="000678FD">
        <w:t>6</w:t>
      </w:r>
      <w:r w:rsidRPr="000678FD">
        <w:t>.0</w:t>
      </w:r>
      <w:r w:rsidR="006179DF" w:rsidRPr="000678FD">
        <w:t>7</w:t>
      </w:r>
      <w:r w:rsidRPr="000678FD">
        <w:t>(</w:t>
      </w:r>
      <w:r w:rsidR="006179DF">
        <w:t>f</w:t>
      </w:r>
      <w:r w:rsidRPr="00484686">
        <w:t>)</w:t>
      </w:r>
      <w:r w:rsidR="006179DF">
        <w:t>(ii)</w:t>
      </w:r>
      <w:r w:rsidRPr="00484686">
        <w:t>, limitations on SCE’s ability to schedule and use Capacity, Ancillary Services, and Energy</w:t>
      </w:r>
      <w:r w:rsidRPr="00C600E0">
        <w:t xml:space="preserve"> during a Put Period that are identified in </w:t>
      </w:r>
      <w:r w:rsidR="00CF10CD">
        <w:rPr>
          <w:u w:val="single"/>
        </w:rPr>
        <w:t>Exhibit D</w:t>
      </w:r>
      <w:r w:rsidRPr="00482B73">
        <w:t>.</w:t>
      </w:r>
    </w:p>
    <w:p w14:paraId="5437DEC2" w14:textId="77777777" w:rsidR="00A01DF3" w:rsidRPr="0027789B" w:rsidRDefault="008E65AA" w:rsidP="00561154">
      <w:pPr>
        <w:pStyle w:val="Definition"/>
      </w:pPr>
      <w:r w:rsidRPr="0027789B">
        <w:t>“</w:t>
      </w:r>
      <w:r w:rsidRPr="00FF157D">
        <w:rPr>
          <w:u w:val="single"/>
        </w:rPr>
        <w:t>Outage</w:t>
      </w:r>
      <w:r w:rsidRPr="0027789B">
        <w:t xml:space="preserve">” has the meaning set forth in the </w:t>
      </w:r>
      <w:r w:rsidR="000A4EE4" w:rsidRPr="0027789B">
        <w:t>CAISO Tariff</w:t>
      </w:r>
      <w:r w:rsidRPr="0027789B">
        <w:t>.</w:t>
      </w:r>
    </w:p>
    <w:p w14:paraId="3380C62A" w14:textId="109EAEAE" w:rsidR="00A01DF3" w:rsidRPr="0027789B" w:rsidRDefault="0096098E" w:rsidP="00561154">
      <w:pPr>
        <w:pStyle w:val="Definition"/>
      </w:pPr>
      <w:r w:rsidRPr="0027789B" w:rsidDel="0096098E">
        <w:t xml:space="preserve"> </w:t>
      </w:r>
      <w:r w:rsidR="008E65AA" w:rsidRPr="0027789B">
        <w:t>“</w:t>
      </w:r>
      <w:r w:rsidR="008E65AA" w:rsidRPr="00FF157D">
        <w:rPr>
          <w:u w:val="single"/>
        </w:rPr>
        <w:t>Outage Schedule</w:t>
      </w:r>
      <w:r w:rsidR="008E65AA" w:rsidRPr="0027789B">
        <w:t xml:space="preserve">” has the meaning set </w:t>
      </w:r>
      <w:r w:rsidR="008E65AA" w:rsidRPr="00362F4D">
        <w:t xml:space="preserve">forth in </w:t>
      </w:r>
      <w:r w:rsidR="008E65AA" w:rsidRPr="006179DF">
        <w:t xml:space="preserve">Section </w:t>
      </w:r>
      <w:r w:rsidR="006179DF" w:rsidRPr="006179DF">
        <w:t>6.06(a)</w:t>
      </w:r>
      <w:r w:rsidR="008E65AA" w:rsidRPr="006179DF">
        <w:t>.</w:t>
      </w:r>
    </w:p>
    <w:p w14:paraId="1596E110" w14:textId="77777777" w:rsidR="007E26C8" w:rsidRPr="00495778" w:rsidRDefault="007E26C8" w:rsidP="00561154">
      <w:pPr>
        <w:pStyle w:val="Definition"/>
      </w:pPr>
      <w:r>
        <w:t>“</w:t>
      </w:r>
      <w:r>
        <w:rPr>
          <w:u w:val="single"/>
        </w:rPr>
        <w:t>Outstanding Bid Quantity</w:t>
      </w:r>
      <w:r>
        <w:t>” has the meaning set forth in Section 6.04(c).</w:t>
      </w:r>
    </w:p>
    <w:p w14:paraId="21424D4A" w14:textId="731A32F8" w:rsidR="00A01DF3" w:rsidRPr="0027789B" w:rsidRDefault="008E65AA" w:rsidP="00561154">
      <w:pPr>
        <w:pStyle w:val="Definition"/>
      </w:pPr>
      <w:r w:rsidRPr="0027789B">
        <w:t>“</w:t>
      </w:r>
      <w:r w:rsidRPr="00362F4D">
        <w:rPr>
          <w:u w:val="single"/>
        </w:rPr>
        <w:t>Party</w:t>
      </w:r>
      <w:r w:rsidRPr="00362F4D">
        <w:t>” or “</w:t>
      </w:r>
      <w:r w:rsidRPr="00362F4D">
        <w:rPr>
          <w:u w:val="single"/>
        </w:rPr>
        <w:t>Parties</w:t>
      </w:r>
      <w:r w:rsidRPr="00362F4D">
        <w:t>” has the meaning set in the preamble.</w:t>
      </w:r>
    </w:p>
    <w:p w14:paraId="079BD07A" w14:textId="3DC7C7F5" w:rsidR="00A01DF3" w:rsidRPr="0027789B" w:rsidRDefault="008E65AA" w:rsidP="00561154">
      <w:pPr>
        <w:pStyle w:val="Definition"/>
      </w:pPr>
      <w:r w:rsidRPr="0027789B">
        <w:t>“</w:t>
      </w:r>
      <w:r w:rsidRPr="00FF157D">
        <w:rPr>
          <w:u w:val="single"/>
        </w:rPr>
        <w:t>Performance Assurance</w:t>
      </w:r>
      <w:r w:rsidRPr="0027789B">
        <w:t xml:space="preserve">” </w:t>
      </w:r>
      <w:r w:rsidR="00B04ACE" w:rsidRPr="0027789B">
        <w:t xml:space="preserve">means </w:t>
      </w:r>
      <w:r w:rsidR="00935F48">
        <w:t xml:space="preserve">the collateral required </w:t>
      </w:r>
      <w:r w:rsidR="00935F48" w:rsidRPr="00165EAE">
        <w:t xml:space="preserve">under </w:t>
      </w:r>
      <w:r w:rsidR="00935F48" w:rsidRPr="008923FE">
        <w:t xml:space="preserve">Section </w:t>
      </w:r>
      <w:r w:rsidR="009B2ACF">
        <w:t>7</w:t>
      </w:r>
      <w:r w:rsidR="00935F48" w:rsidRPr="008923FE">
        <w:t>.02</w:t>
      </w:r>
      <w:r w:rsidR="00B04ACE" w:rsidRPr="00165EAE">
        <w:t>.</w:t>
      </w:r>
    </w:p>
    <w:p w14:paraId="77CF6661" w14:textId="77B00C1E" w:rsidR="007B01E2" w:rsidRDefault="008E65AA" w:rsidP="00DB7FE0">
      <w:pPr>
        <w:pStyle w:val="Definition"/>
      </w:pPr>
      <w:r w:rsidRPr="0027789B">
        <w:t>“</w:t>
      </w:r>
      <w:r w:rsidRPr="00FF157D">
        <w:rPr>
          <w:u w:val="single"/>
        </w:rPr>
        <w:t>Performance Tolerance Band</w:t>
      </w:r>
      <w:r w:rsidRPr="0027789B">
        <w:t xml:space="preserve">”  means the lesser of (a) three percent (3%) of a Storage Unit’s </w:t>
      </w:r>
      <w:r w:rsidR="003C7352" w:rsidRPr="0027789B">
        <w:t xml:space="preserve">PMAX </w:t>
      </w:r>
      <w:r w:rsidRPr="0027789B">
        <w:t xml:space="preserve">divided by the number of Settlement Intervals in an hour, (b) five (5) MW divided by the number of Settlement Intervals in an hour, or (c) </w:t>
      </w:r>
      <w:r w:rsidR="007B01E2">
        <w:t>for each Settlement Interval,</w:t>
      </w:r>
    </w:p>
    <w:p w14:paraId="20D828AA" w14:textId="5C16FA0C" w:rsidR="007B01E2" w:rsidRDefault="007B01E2" w:rsidP="00DB7FE0">
      <w:pPr>
        <w:pStyle w:val="Heading3"/>
        <w:numPr>
          <w:ilvl w:val="2"/>
          <w:numId w:val="125"/>
        </w:numPr>
      </w:pPr>
      <w:r w:rsidRPr="0027789B">
        <w:t xml:space="preserve">with respect to the Performance Tolerance Band Upper Limit, the greater of the fifteen-minute HASP Regulation Up awards for the period within such Settlement Interval falls, or </w:t>
      </w:r>
    </w:p>
    <w:p w14:paraId="5CC8C62F" w14:textId="37CDC991" w:rsidR="007B01E2" w:rsidRDefault="007B01E2" w:rsidP="00DB7FE0">
      <w:pPr>
        <w:pStyle w:val="Heading3"/>
      </w:pPr>
      <w:r w:rsidRPr="0027789B">
        <w:lastRenderedPageBreak/>
        <w:t>with respect to the Performance Tolerance Band Lower Limit, the greater of the fifteen-minute HASP Regulation Down awards for the period within such Settlement Interval falls</w:t>
      </w:r>
      <w:r w:rsidRPr="0027789B" w:rsidDel="007B01E2">
        <w:t xml:space="preserve"> </w:t>
      </w:r>
    </w:p>
    <w:p w14:paraId="44CAADCA" w14:textId="1D67F3CF" w:rsidR="004D53E1" w:rsidRDefault="008E65AA" w:rsidP="00561154">
      <w:pPr>
        <w:pStyle w:val="Definition"/>
      </w:pPr>
      <w:r w:rsidRPr="0027789B">
        <w:t>divided by the number of Settlement Intervals in an hour</w:t>
      </w:r>
      <w:r w:rsidR="001D4101">
        <w:t xml:space="preserve">. </w:t>
      </w:r>
    </w:p>
    <w:p w14:paraId="7F997B75" w14:textId="2E79F467" w:rsidR="00A01DF3" w:rsidRPr="0027789B" w:rsidRDefault="008E65AA" w:rsidP="00DB7FE0">
      <w:pPr>
        <w:pStyle w:val="Definition"/>
      </w:pPr>
      <w:r w:rsidRPr="0027789B">
        <w:t>If, at any time, the CAISO implements changes to the Performance Tolerance Band, then the Parties agree to negotiate in good faith to amend this definition to maintain the economic benefits and burdens contemplated under this Agreement.</w:t>
      </w:r>
    </w:p>
    <w:p w14:paraId="3E223EFA" w14:textId="77777777" w:rsidR="00A01DF3" w:rsidRPr="0027789B" w:rsidRDefault="008E65AA" w:rsidP="00DB7FE0">
      <w:pPr>
        <w:pStyle w:val="Definition"/>
      </w:pPr>
      <w:r w:rsidRPr="0027789B">
        <w:t>“</w:t>
      </w:r>
      <w:r w:rsidRPr="00FF157D">
        <w:rPr>
          <w:u w:val="single"/>
        </w:rPr>
        <w:t>Performance Tolerance Band Lower Limit</w:t>
      </w:r>
      <w:r w:rsidRPr="0027789B">
        <w:t>” means the quantity of Energy determined for a Settlement Interval equal to Scheduled Energy minus the Performance Tolerance Band.</w:t>
      </w:r>
    </w:p>
    <w:p w14:paraId="42D6BFE2" w14:textId="77777777" w:rsidR="00A01DF3" w:rsidRPr="0027789B" w:rsidRDefault="008E65AA" w:rsidP="00DB7FE0">
      <w:pPr>
        <w:pStyle w:val="Definition"/>
      </w:pPr>
      <w:r w:rsidRPr="0027789B">
        <w:t>“</w:t>
      </w:r>
      <w:r w:rsidRPr="00FF157D">
        <w:rPr>
          <w:u w:val="single"/>
        </w:rPr>
        <w:t>Performance Tolerance Band Upper Limit</w:t>
      </w:r>
      <w:r w:rsidRPr="0027789B">
        <w:t>” means the quantity of Energy determined for a Settlement Interval equal to Scheduled Energy plus the Performance Tolerance Band.</w:t>
      </w:r>
    </w:p>
    <w:p w14:paraId="438C0A62" w14:textId="77777777" w:rsidR="001F46F4" w:rsidRPr="0027789B" w:rsidRDefault="001F46F4" w:rsidP="00DB7FE0">
      <w:pPr>
        <w:pStyle w:val="Definition"/>
      </w:pPr>
      <w:r w:rsidRPr="0027789B">
        <w:t>“</w:t>
      </w:r>
      <w:r w:rsidRPr="00FF157D">
        <w:rPr>
          <w:u w:val="single"/>
        </w:rPr>
        <w:t>Permits</w:t>
      </w:r>
      <w:r w:rsidRPr="0027789B">
        <w:t>” means all applications, approvals, authorizations, consents, filings, licenses, orders, permits or similar requirements imposed by any Governmental Authority, or the CAISO, in order to develop, construct, operate, maintain, improve, refurbish and retire the Project.</w:t>
      </w:r>
    </w:p>
    <w:p w14:paraId="6E771DCD" w14:textId="77777777" w:rsidR="00A01DF3" w:rsidRPr="0027789B" w:rsidRDefault="008E65AA" w:rsidP="00DB7FE0">
      <w:pPr>
        <w:pStyle w:val="Definition"/>
      </w:pPr>
      <w:r w:rsidRPr="0027789B">
        <w:t>“</w:t>
      </w:r>
      <w:r w:rsidRPr="00FF157D">
        <w:rPr>
          <w:u w:val="single"/>
        </w:rPr>
        <w:t>Permit Requirements</w:t>
      </w:r>
      <w:r w:rsidRPr="0027789B">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14:paraId="6ABF3742" w14:textId="77777777" w:rsidR="00A0501D" w:rsidRDefault="00A0501D" w:rsidP="00DB7FE0">
      <w:pPr>
        <w:pStyle w:val="Definition"/>
      </w:pPr>
      <w:r w:rsidRPr="00266CB8">
        <w:t>“</w:t>
      </w:r>
      <w:r w:rsidRPr="00266CB8">
        <w:rPr>
          <w:u w:val="single"/>
        </w:rPr>
        <w:t>Person</w:t>
      </w:r>
      <w:r w:rsidRPr="00266CB8">
        <w:t>” means any natural person, corporation, limited liability company, trust, joint venture, association, company, partnership, Governmental Authority or other entity.</w:t>
      </w:r>
    </w:p>
    <w:p w14:paraId="05DC55C3" w14:textId="18367B67" w:rsidR="00D37849" w:rsidRDefault="00D55637" w:rsidP="00DB7FE0">
      <w:pPr>
        <w:pStyle w:val="Definition"/>
      </w:pPr>
      <w:r>
        <w:t>“</w:t>
      </w:r>
      <w:r>
        <w:rPr>
          <w:u w:val="single"/>
        </w:rPr>
        <w:t>Phase I Interconnection Study</w:t>
      </w:r>
      <w:r>
        <w:t xml:space="preserve">” </w:t>
      </w:r>
      <w:r w:rsidR="00D37849">
        <w:t>has the meaning set forth in the CAISO Tariff.</w:t>
      </w:r>
    </w:p>
    <w:p w14:paraId="202B8F99" w14:textId="21C13319" w:rsidR="00D55637" w:rsidRDefault="00D55637" w:rsidP="00DB7FE0">
      <w:pPr>
        <w:pStyle w:val="Definition"/>
      </w:pPr>
      <w:r>
        <w:t>“</w:t>
      </w:r>
      <w:r>
        <w:rPr>
          <w:u w:val="single"/>
        </w:rPr>
        <w:t>Phase II Interconnection Study</w:t>
      </w:r>
      <w:r>
        <w:t xml:space="preserve">” </w:t>
      </w:r>
      <w:r w:rsidR="00D37849">
        <w:t xml:space="preserve">has </w:t>
      </w:r>
      <w:r>
        <w:t>the meaning set forth in the CAISO Tariff.</w:t>
      </w:r>
    </w:p>
    <w:p w14:paraId="44B7CD7F" w14:textId="321D6B16" w:rsidR="00A01DF3" w:rsidRPr="0027789B" w:rsidRDefault="008E65AA" w:rsidP="00DB7FE0">
      <w:pPr>
        <w:pStyle w:val="Definition"/>
      </w:pPr>
      <w:r w:rsidRPr="0027789B">
        <w:t>“</w:t>
      </w:r>
      <w:r w:rsidR="00FA6A88" w:rsidRPr="00FF157D">
        <w:rPr>
          <w:u w:val="single"/>
        </w:rPr>
        <w:t>Planned Outage</w:t>
      </w:r>
      <w:r w:rsidR="00FA6A88" w:rsidRPr="0027789B">
        <w:t xml:space="preserve">” means, an Approved Maintenance Outage (as defined in the </w:t>
      </w:r>
      <w:r w:rsidR="003C7352" w:rsidRPr="0027789B">
        <w:t xml:space="preserve">CAISO </w:t>
      </w:r>
      <w:r w:rsidR="00FA6A88" w:rsidRPr="0027789B">
        <w:t>Tariff), but does not include a</w:t>
      </w:r>
      <w:r w:rsidR="004A2082">
        <w:t>n</w:t>
      </w:r>
      <w:r w:rsidR="00FA6A88" w:rsidRPr="0027789B">
        <w:t xml:space="preserve"> RA Maintenance Outage With Replacement (as defined in the </w:t>
      </w:r>
      <w:r w:rsidR="003C7352" w:rsidRPr="0027789B">
        <w:t xml:space="preserve">CAISO </w:t>
      </w:r>
      <w:r w:rsidR="00FA6A88" w:rsidRPr="0027789B">
        <w:t xml:space="preserve">Tariff), a Short-Notice Opportunity RA Maintenance Outage (as defined in the </w:t>
      </w:r>
      <w:r w:rsidR="003C7352" w:rsidRPr="0027789B">
        <w:t xml:space="preserve">CAISO </w:t>
      </w:r>
      <w:r w:rsidR="00FA6A88" w:rsidRPr="0027789B">
        <w:t xml:space="preserve">Tariff) or an Off-Peak Opportunity RA Maintenance Outage (as defined in the </w:t>
      </w:r>
      <w:r w:rsidR="003C7352" w:rsidRPr="0027789B">
        <w:t xml:space="preserve">CAISO </w:t>
      </w:r>
      <w:r w:rsidR="00FA6A88" w:rsidRPr="0027789B">
        <w:t>Tariff).</w:t>
      </w:r>
      <w:r w:rsidRPr="0027789B">
        <w:t xml:space="preserve"> </w:t>
      </w:r>
    </w:p>
    <w:p w14:paraId="5A5357E7" w14:textId="77777777" w:rsidR="00A01DF3" w:rsidRPr="0027789B" w:rsidRDefault="008E65AA" w:rsidP="00561154">
      <w:pPr>
        <w:pStyle w:val="Definition"/>
      </w:pPr>
      <w:r w:rsidRPr="0027789B">
        <w:t>“</w:t>
      </w:r>
      <w:r w:rsidRPr="00FF157D">
        <w:rPr>
          <w:u w:val="single"/>
        </w:rPr>
        <w:t>PMAX</w:t>
      </w:r>
      <w:r w:rsidRPr="0027789B">
        <w:t>” means the applicable CAISO-certified maximum operating level of a Storage Unit.</w:t>
      </w:r>
    </w:p>
    <w:p w14:paraId="4A601FCB" w14:textId="77777777" w:rsidR="00A01DF3" w:rsidRPr="0027789B" w:rsidRDefault="008E65AA" w:rsidP="00561154">
      <w:pPr>
        <w:pStyle w:val="Definition"/>
      </w:pPr>
      <w:r w:rsidRPr="0027789B">
        <w:t>“</w:t>
      </w:r>
      <w:r w:rsidRPr="00FF157D">
        <w:rPr>
          <w:u w:val="single"/>
        </w:rPr>
        <w:t>PMIN</w:t>
      </w:r>
      <w:r w:rsidRPr="0027789B">
        <w:t xml:space="preserve">” means the applicable CAISO-certified </w:t>
      </w:r>
      <w:r w:rsidR="000B1F54" w:rsidRPr="0027789B">
        <w:t xml:space="preserve">minimum </w:t>
      </w:r>
      <w:r w:rsidRPr="0027789B">
        <w:t>operating level of a Storage Unit.</w:t>
      </w:r>
    </w:p>
    <w:p w14:paraId="65B67A2B" w14:textId="784A17BE" w:rsidR="00A0501D" w:rsidRPr="00482B73" w:rsidRDefault="00A0501D" w:rsidP="00561154">
      <w:pPr>
        <w:pStyle w:val="Definition"/>
      </w:pPr>
      <w:r w:rsidRPr="00CC662C">
        <w:lastRenderedPageBreak/>
        <w:t>“</w:t>
      </w:r>
      <w:r w:rsidRPr="00CC662C">
        <w:rPr>
          <w:u w:val="single"/>
        </w:rPr>
        <w:t>Predicted Capacity</w:t>
      </w:r>
      <w:r w:rsidRPr="00CC662C">
        <w:t>” means the aggregate sum of the expected Unit NQCs for each of the Storage Units that are part of the Project, as set fo</w:t>
      </w:r>
      <w:r w:rsidRPr="00482B73">
        <w:t xml:space="preserve">rth in </w:t>
      </w:r>
      <w:r w:rsidRPr="00482B73">
        <w:rPr>
          <w:u w:val="single"/>
        </w:rPr>
        <w:t xml:space="preserve">Exhibit </w:t>
      </w:r>
      <w:r w:rsidR="00482B73" w:rsidRPr="00482B73">
        <w:rPr>
          <w:u w:val="single"/>
        </w:rPr>
        <w:t>B</w:t>
      </w:r>
      <w:r w:rsidRPr="00482B73">
        <w:t xml:space="preserve">. </w:t>
      </w:r>
    </w:p>
    <w:p w14:paraId="2479ACAC" w14:textId="4F2D293D" w:rsidR="00A0501D" w:rsidRPr="00482B73" w:rsidRDefault="00A0501D" w:rsidP="00561154">
      <w:pPr>
        <w:pStyle w:val="Definition"/>
      </w:pPr>
      <w:r w:rsidRPr="00482B73">
        <w:t>“</w:t>
      </w:r>
      <w:r w:rsidRPr="00482B73">
        <w:rPr>
          <w:u w:val="single"/>
        </w:rPr>
        <w:t>Predicted SU Capacity</w:t>
      </w:r>
      <w:r w:rsidRPr="00482B73">
        <w:t xml:space="preserve">” means the expected Unit NQC for any particular Storage Unit as set forth for such Storage Unit in </w:t>
      </w:r>
      <w:r w:rsidRPr="00482B73">
        <w:rPr>
          <w:u w:val="single"/>
        </w:rPr>
        <w:t xml:space="preserve">Exhibit </w:t>
      </w:r>
      <w:r w:rsidR="00482B73" w:rsidRPr="00482B73">
        <w:rPr>
          <w:u w:val="single"/>
        </w:rPr>
        <w:t>B</w:t>
      </w:r>
      <w:r w:rsidRPr="00482B73">
        <w:t xml:space="preserve">. </w:t>
      </w:r>
    </w:p>
    <w:p w14:paraId="6AE20F49" w14:textId="5150E9D3" w:rsidR="00A0501D" w:rsidRDefault="00A0501D" w:rsidP="00561154">
      <w:pPr>
        <w:pStyle w:val="Definition"/>
      </w:pPr>
      <w:r w:rsidRPr="00482B73">
        <w:t>“</w:t>
      </w:r>
      <w:r w:rsidRPr="00482B73">
        <w:rPr>
          <w:u w:val="single"/>
        </w:rPr>
        <w:t>Predicted SU Flexible Capacity</w:t>
      </w:r>
      <w:r w:rsidRPr="00482B73">
        <w:t xml:space="preserve">” means the expected Unit EFC for any particular Storage Unit as set forth for such Storage Unit in </w:t>
      </w:r>
      <w:r w:rsidRPr="00482B73">
        <w:rPr>
          <w:u w:val="single"/>
        </w:rPr>
        <w:t xml:space="preserve">Exhibit </w:t>
      </w:r>
      <w:r w:rsidR="00482B73" w:rsidRPr="00482B73">
        <w:rPr>
          <w:u w:val="single"/>
        </w:rPr>
        <w:t>B</w:t>
      </w:r>
      <w:r w:rsidRPr="00482B73">
        <w:t>.</w:t>
      </w:r>
    </w:p>
    <w:p w14:paraId="7D714453" w14:textId="0E0D6DAA" w:rsidR="00A01DF3" w:rsidRPr="00362F4D" w:rsidRDefault="008E65AA" w:rsidP="00561154">
      <w:pPr>
        <w:pStyle w:val="Definition"/>
      </w:pPr>
      <w:r w:rsidRPr="0027789B">
        <w:t>“</w:t>
      </w:r>
      <w:r w:rsidRPr="00FF157D">
        <w:rPr>
          <w:u w:val="single"/>
        </w:rPr>
        <w:t>Prevention Equipment</w:t>
      </w:r>
      <w:r w:rsidRPr="0027789B">
        <w:t xml:space="preserve">” </w:t>
      </w:r>
      <w:r w:rsidR="00E44F02">
        <w:t xml:space="preserve">means </w:t>
      </w:r>
      <w:r w:rsidR="00E44F02" w:rsidRPr="0027789B">
        <w:t>all equipment necessary to prevent, suppress and contain any fire, flooding, explosion, leak of hazardous material or other injury or damage at the Site</w:t>
      </w:r>
      <w:r w:rsidRPr="00504642">
        <w:t>.</w:t>
      </w:r>
    </w:p>
    <w:p w14:paraId="7D571810" w14:textId="05A6F858" w:rsidR="00814A18" w:rsidRPr="004726AE" w:rsidRDefault="00814A18" w:rsidP="00561154">
      <w:pPr>
        <w:pStyle w:val="Definition"/>
      </w:pPr>
      <w:r w:rsidRPr="00362F4D">
        <w:t>“</w:t>
      </w:r>
      <w:r w:rsidRPr="00362F4D">
        <w:rPr>
          <w:u w:val="single"/>
        </w:rPr>
        <w:t>Price-Weighted Capacity Availability</w:t>
      </w:r>
      <w:r w:rsidRPr="00362F4D">
        <w:t xml:space="preserve">” has the meaning set forth in </w:t>
      </w:r>
      <w:r w:rsidRPr="004726AE">
        <w:t xml:space="preserve">Section </w:t>
      </w:r>
      <w:r w:rsidR="004726AE" w:rsidRPr="004726AE">
        <w:t>3</w:t>
      </w:r>
      <w:r w:rsidRPr="004726AE">
        <w:t>.</w:t>
      </w:r>
      <w:r w:rsidR="004726AE" w:rsidRPr="004726AE">
        <w:t>1</w:t>
      </w:r>
      <w:r w:rsidRPr="004726AE">
        <w:t>1(c)(i).</w:t>
      </w:r>
    </w:p>
    <w:p w14:paraId="11431E05" w14:textId="583C205F" w:rsidR="00814A18" w:rsidRPr="0027789B" w:rsidRDefault="00814A18" w:rsidP="00561154">
      <w:pPr>
        <w:pStyle w:val="Definition"/>
      </w:pPr>
      <w:r w:rsidRPr="004726AE">
        <w:t>“</w:t>
      </w:r>
      <w:r w:rsidRPr="004726AE">
        <w:rPr>
          <w:u w:val="single"/>
        </w:rPr>
        <w:t>Price-Weighted Monthly Capacity Availability</w:t>
      </w:r>
      <w:r w:rsidRPr="004726AE">
        <w:t xml:space="preserve">” has the meaning set forth in Section </w:t>
      </w:r>
      <w:r w:rsidR="004726AE" w:rsidRPr="004726AE">
        <w:t>3</w:t>
      </w:r>
      <w:r w:rsidRPr="004726AE">
        <w:t>.</w:t>
      </w:r>
      <w:r w:rsidR="004726AE" w:rsidRPr="004726AE">
        <w:t>1</w:t>
      </w:r>
      <w:r w:rsidRPr="004726AE">
        <w:t>1</w:t>
      </w:r>
      <w:r w:rsidRPr="0027789B">
        <w:t>(c)(ii).</w:t>
      </w:r>
    </w:p>
    <w:p w14:paraId="56E35133" w14:textId="4D7DCE02" w:rsidR="00A01DF3" w:rsidRPr="0027789B" w:rsidRDefault="008E65AA" w:rsidP="00561154">
      <w:pPr>
        <w:pStyle w:val="Definition"/>
      </w:pPr>
      <w:r w:rsidRPr="0027789B">
        <w:t>“</w:t>
      </w:r>
      <w:r w:rsidRPr="00FF157D">
        <w:rPr>
          <w:u w:val="single"/>
        </w:rPr>
        <w:t>PRG</w:t>
      </w:r>
      <w:r w:rsidRPr="0027789B">
        <w:t xml:space="preserve">” </w:t>
      </w:r>
      <w:r w:rsidR="00781570">
        <w:t>has the meaning set forth in Section 14.05(b)</w:t>
      </w:r>
      <w:r w:rsidRPr="0027789B">
        <w:t>.</w:t>
      </w:r>
    </w:p>
    <w:p w14:paraId="743E798A" w14:textId="31977477" w:rsidR="00A01DF3" w:rsidRPr="0027789B" w:rsidRDefault="008E65AA" w:rsidP="00561154">
      <w:pPr>
        <w:pStyle w:val="Definition"/>
        <w:rPr>
          <w:iCs/>
        </w:rPr>
      </w:pPr>
      <w:r w:rsidRPr="0027789B">
        <w:t>“</w:t>
      </w:r>
      <w:r w:rsidRPr="00FF157D">
        <w:rPr>
          <w:u w:val="single"/>
        </w:rPr>
        <w:t>Product</w:t>
      </w:r>
      <w:r w:rsidRPr="0027789B">
        <w:t xml:space="preserve">” </w:t>
      </w:r>
      <w:r w:rsidR="0051228E">
        <w:t xml:space="preserve">has the meaning </w:t>
      </w:r>
      <w:r w:rsidR="00E95856">
        <w:t>s</w:t>
      </w:r>
      <w:r w:rsidR="0051228E">
        <w:t>et forth in Section 1.01</w:t>
      </w:r>
      <w:r w:rsidRPr="0027789B">
        <w:rPr>
          <w:iCs/>
        </w:rPr>
        <w:t>.</w:t>
      </w:r>
    </w:p>
    <w:p w14:paraId="1BC99FE4" w14:textId="2286588D" w:rsidR="00A01DF3" w:rsidRPr="00561154" w:rsidRDefault="008E65AA" w:rsidP="00561154">
      <w:pPr>
        <w:pStyle w:val="Definition"/>
        <w:rPr>
          <w:i/>
          <w:color w:val="000000" w:themeColor="text1"/>
        </w:rPr>
      </w:pPr>
      <w:r w:rsidRPr="0027789B">
        <w:t>“</w:t>
      </w:r>
      <w:r w:rsidRPr="00FF157D">
        <w:rPr>
          <w:u w:val="single"/>
        </w:rPr>
        <w:t>Project</w:t>
      </w:r>
      <w:r w:rsidRPr="0027789B">
        <w:t xml:space="preserve">” </w:t>
      </w:r>
      <w:r w:rsidR="00254C9E">
        <w:t>has the meaning set forth in Section 1.02</w:t>
      </w:r>
      <w:r w:rsidR="00254C9E" w:rsidRPr="00561154">
        <w:rPr>
          <w:color w:val="000000" w:themeColor="text1"/>
        </w:rPr>
        <w:t>.</w:t>
      </w:r>
    </w:p>
    <w:p w14:paraId="2107B1F1" w14:textId="77777777" w:rsidR="00935F48" w:rsidRDefault="00935F48" w:rsidP="00561154">
      <w:pPr>
        <w:pStyle w:val="Definition"/>
      </w:pPr>
      <w:r>
        <w:t>“</w:t>
      </w:r>
      <w:r>
        <w:rPr>
          <w:u w:val="single"/>
        </w:rPr>
        <w:t>Project Security</w:t>
      </w:r>
      <w:r>
        <w:t>” means Development Security or Performance Assurance.</w:t>
      </w:r>
    </w:p>
    <w:p w14:paraId="3F42224C" w14:textId="77777777" w:rsidR="00A01DF3" w:rsidRPr="0027789B" w:rsidRDefault="008E65AA" w:rsidP="00DB7FE0">
      <w:pPr>
        <w:pStyle w:val="Definition"/>
      </w:pPr>
      <w:r w:rsidRPr="0027789B">
        <w:t>“</w:t>
      </w:r>
      <w:r w:rsidRPr="00FF157D">
        <w:rPr>
          <w:u w:val="single"/>
        </w:rPr>
        <w:t>Protective Apparatus</w:t>
      </w:r>
      <w:r w:rsidRPr="0027789B">
        <w:t>” means control devices (such as meters, relays, power circuit breakers and synchronizers) specified in the interconnection agreement or related agreement for the Project.</w:t>
      </w:r>
    </w:p>
    <w:p w14:paraId="672A9CD7" w14:textId="77777777" w:rsidR="00A01DF3" w:rsidRPr="0027789B" w:rsidRDefault="008E65AA" w:rsidP="00DB7FE0">
      <w:pPr>
        <w:pStyle w:val="Definition"/>
      </w:pPr>
      <w:r w:rsidRPr="0027789B">
        <w:t>“</w:t>
      </w:r>
      <w:r w:rsidRPr="00FF157D">
        <w:rPr>
          <w:u w:val="single"/>
        </w:rPr>
        <w:t>Prudent Electrical Practices</w:t>
      </w:r>
      <w:r w:rsidRPr="0027789B">
        <w:t>” means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14:paraId="68CFDF23" w14:textId="397FB00E" w:rsidR="00A01DF3" w:rsidRPr="0027789B" w:rsidRDefault="008E65AA" w:rsidP="00DB7FE0">
      <w:pPr>
        <w:pStyle w:val="Definition"/>
      </w:pPr>
      <w:r w:rsidRPr="0027789B">
        <w:t>Prudent Electrical Practices shall include, at a minimum, those professionally responsible practices, methods and acts described in the preceding sentence that comply with manufacturers’ warranties, restrictions in this Agreement, WECC standards, and Applicable Laws.</w:t>
      </w:r>
    </w:p>
    <w:p w14:paraId="09B0254C" w14:textId="77777777" w:rsidR="00A01DF3" w:rsidRPr="0027789B" w:rsidRDefault="008E65AA" w:rsidP="00FF157D">
      <w:pPr>
        <w:pStyle w:val="BodyText"/>
        <w:spacing w:after="240"/>
      </w:pPr>
      <w:r w:rsidRPr="0027789B">
        <w:t>Prudent Electrical Practices also includes taking reasonable steps to ensure that:</w:t>
      </w:r>
    </w:p>
    <w:p w14:paraId="45939772" w14:textId="77777777" w:rsidR="00A01DF3" w:rsidRPr="0027789B" w:rsidRDefault="008E65AA" w:rsidP="00DB7FE0">
      <w:pPr>
        <w:pStyle w:val="Heading3"/>
        <w:numPr>
          <w:ilvl w:val="2"/>
          <w:numId w:val="117"/>
        </w:numPr>
      </w:pPr>
      <w:r w:rsidRPr="00E95856">
        <w:t>Equipment</w:t>
      </w:r>
      <w:r w:rsidRPr="0027789B">
        <w:t>, materials, resources, and supplies, including spare parts inventories, are available to meet the needs of the Project;</w:t>
      </w:r>
    </w:p>
    <w:p w14:paraId="4A25CB27" w14:textId="21482559" w:rsidR="00A01DF3" w:rsidRPr="0027789B" w:rsidRDefault="008E65AA" w:rsidP="00DB7FE0">
      <w:pPr>
        <w:pStyle w:val="Heading3"/>
      </w:pPr>
      <w:r w:rsidRPr="0027789B">
        <w:lastRenderedPageBreak/>
        <w:t xml:space="preserve">Sufficient operating personnel are available at all times and are adequately experienced and trained and licensed as necessary to operate the Storage Units properly and efficiently, and are capable of responding to reasonably foreseeable emergency conditions at the Project and </w:t>
      </w:r>
      <w:r w:rsidR="00050BBE">
        <w:t>t</w:t>
      </w:r>
      <w:r w:rsidR="00050BBE" w:rsidRPr="0027789B">
        <w:t xml:space="preserve">ransmission </w:t>
      </w:r>
      <w:r w:rsidR="00050BBE">
        <w:t>e</w:t>
      </w:r>
      <w:r w:rsidR="00050BBE" w:rsidRPr="0027789B">
        <w:t xml:space="preserve">mergencies </w:t>
      </w:r>
      <w:r w:rsidRPr="0027789B">
        <w:t>whether caused by events on or off the Site;</w:t>
      </w:r>
    </w:p>
    <w:p w14:paraId="26EF6FBC" w14:textId="77777777" w:rsidR="00A01DF3" w:rsidRPr="0027789B" w:rsidRDefault="008E65AA" w:rsidP="00DB7FE0">
      <w:pPr>
        <w:pStyle w:val="Heading3"/>
      </w:pPr>
      <w:r w:rsidRPr="0027789B">
        <w:t>Preventive, routine, and non-routine maintenance and repairs are performed on a basis that ensures reliable, long term and safe operation of the Project, and are performed by knowledgeable, trained, and experienced personnel utilizing proper equipment and tools;</w:t>
      </w:r>
    </w:p>
    <w:p w14:paraId="4A9E4D99" w14:textId="77777777" w:rsidR="00A01DF3" w:rsidRPr="0027789B" w:rsidRDefault="008E65AA" w:rsidP="00DB7FE0">
      <w:pPr>
        <w:pStyle w:val="Heading3"/>
      </w:pPr>
      <w:r w:rsidRPr="0027789B">
        <w:t>Appropriate monitoring and testing are performed to ensure equipment is functioning as designed;</w:t>
      </w:r>
    </w:p>
    <w:p w14:paraId="3613B94E" w14:textId="77777777" w:rsidR="00A01DF3" w:rsidRPr="0027789B" w:rsidRDefault="008E65AA" w:rsidP="00DB7FE0">
      <w:pPr>
        <w:pStyle w:val="Heading3"/>
      </w:pPr>
      <w:r w:rsidRPr="0027789B">
        <w:t xml:space="preserve">Equipment is not operated in a reckless manner, in violation of manufacturer’s guidelines or in a manner unsafe to workers, the general public, or the </w:t>
      </w:r>
      <w:r w:rsidR="000A4EE4" w:rsidRPr="0027789B">
        <w:t>Transmission Provider</w:t>
      </w:r>
      <w:r w:rsidRPr="0027789B">
        <w:t>’s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14:paraId="2DB8AD32" w14:textId="77777777" w:rsidR="00A01DF3" w:rsidRPr="00362F4D" w:rsidRDefault="008E65AA" w:rsidP="00DB7FE0">
      <w:pPr>
        <w:pStyle w:val="Heading3"/>
      </w:pPr>
      <w:r w:rsidRPr="0027789B">
        <w:t xml:space="preserve">Equipment and components are designed and manufactured to meet or exceed the standard of durability that is generally used for electric energy storage facilities operating in the Western United States and will function properly over the full range of ambient temperature and weather conditions reasonably expected to occur at the Site and under both </w:t>
      </w:r>
      <w:r w:rsidRPr="00362F4D">
        <w:t xml:space="preserve">normal and emergency conditions. </w:t>
      </w:r>
    </w:p>
    <w:p w14:paraId="20D9120F" w14:textId="1A2772EF" w:rsidR="00A01DF3" w:rsidRPr="0027789B" w:rsidRDefault="008E65AA" w:rsidP="00561154">
      <w:pPr>
        <w:pStyle w:val="Definition"/>
      </w:pPr>
      <w:r w:rsidRPr="00362F4D">
        <w:t>“</w:t>
      </w:r>
      <w:r w:rsidRPr="00362F4D">
        <w:rPr>
          <w:u w:val="single"/>
        </w:rPr>
        <w:t>Put Period</w:t>
      </w:r>
      <w:r w:rsidRPr="00362F4D">
        <w:t xml:space="preserve">” has the meaning set forth in </w:t>
      </w:r>
      <w:r w:rsidRPr="00541852">
        <w:t>Section 2.0</w:t>
      </w:r>
      <w:r w:rsidR="00541852" w:rsidRPr="00541852">
        <w:t>2</w:t>
      </w:r>
      <w:r w:rsidR="00541852">
        <w:t>(a)</w:t>
      </w:r>
      <w:r w:rsidRPr="00362F4D">
        <w:t>.</w:t>
      </w:r>
    </w:p>
    <w:p w14:paraId="42969A72" w14:textId="767103E0" w:rsidR="00A01DF3" w:rsidRPr="00362F4D" w:rsidRDefault="008E65AA" w:rsidP="00DB7FE0">
      <w:pPr>
        <w:pStyle w:val="Definition"/>
      </w:pPr>
      <w:r w:rsidRPr="0027789B">
        <w:t>“</w:t>
      </w:r>
      <w:r w:rsidRPr="00FF157D">
        <w:rPr>
          <w:u w:val="single"/>
        </w:rPr>
        <w:t>Qualifying Delivered Energy</w:t>
      </w:r>
      <w:r w:rsidRPr="0027789B">
        <w:t>” means the lesser of Delivered Energy or the Performance Tolerance Band Upper Limit for each Settlement Interval during a Put Period</w:t>
      </w:r>
      <w:r w:rsidR="001D4101">
        <w:t xml:space="preserve">. </w:t>
      </w:r>
      <w:r w:rsidRPr="0027789B">
        <w:t>Qualifying Delivered Energy shall be zero (0)</w:t>
      </w:r>
      <w:r w:rsidR="004615D4" w:rsidRPr="0027789B">
        <w:t>:</w:t>
      </w:r>
      <w:r w:rsidRPr="0027789B">
        <w:t xml:space="preserve"> (i) during a Seller Initiated Test; (ii) during a Non-SCE Dispatch; or (iii) </w:t>
      </w:r>
      <w:r w:rsidRPr="00362F4D">
        <w:t>during a Start-Up.</w:t>
      </w:r>
    </w:p>
    <w:p w14:paraId="26AFEED1" w14:textId="27C5DCE3" w:rsidR="00A01DF3" w:rsidRPr="0027789B" w:rsidRDefault="008E65AA" w:rsidP="00561154">
      <w:pPr>
        <w:pStyle w:val="Definition"/>
      </w:pPr>
      <w:r w:rsidRPr="00362F4D">
        <w:t>“</w:t>
      </w:r>
      <w:r w:rsidRPr="00362F4D">
        <w:rPr>
          <w:u w:val="single"/>
        </w:rPr>
        <w:t>RA Adjustment</w:t>
      </w:r>
      <w:r w:rsidRPr="00362F4D">
        <w:t xml:space="preserve">” has the meaning set forth </w:t>
      </w:r>
      <w:r w:rsidRPr="004726AE">
        <w:t xml:space="preserve">in Section </w:t>
      </w:r>
      <w:r w:rsidR="004726AE" w:rsidRPr="004726AE">
        <w:t>3</w:t>
      </w:r>
      <w:r w:rsidRPr="004726AE">
        <w:t>.</w:t>
      </w:r>
      <w:r w:rsidR="004726AE" w:rsidRPr="004726AE">
        <w:t>1</w:t>
      </w:r>
      <w:r w:rsidRPr="004726AE">
        <w:t>1</w:t>
      </w:r>
      <w:r w:rsidRPr="0027789B">
        <w:t>(b).</w:t>
      </w:r>
    </w:p>
    <w:p w14:paraId="466994E1" w14:textId="753CBA54" w:rsidR="00A01DF3" w:rsidRPr="0027789B" w:rsidRDefault="008E65AA" w:rsidP="00DB7FE0">
      <w:pPr>
        <w:pStyle w:val="Definition"/>
      </w:pPr>
      <w:r w:rsidRPr="0027789B">
        <w:t>“</w:t>
      </w:r>
      <w:r w:rsidRPr="00FF157D">
        <w:rPr>
          <w:u w:val="single"/>
        </w:rPr>
        <w:t>RA Capacity Qualification Tests</w:t>
      </w:r>
      <w:r w:rsidRPr="0027789B">
        <w:t>” means any and all tests, certifications or performance evaluations required by the CPUC</w:t>
      </w:r>
      <w:r w:rsidR="00433444">
        <w:t>,</w:t>
      </w:r>
      <w:r w:rsidRPr="0027789B">
        <w:t xml:space="preserve"> any other applicable Governmental Authority</w:t>
      </w:r>
      <w:r w:rsidR="00433444">
        <w:t>, or the CAISO</w:t>
      </w:r>
      <w:r w:rsidRPr="0027789B">
        <w:t xml:space="preserve"> pursuant t</w:t>
      </w:r>
      <w:r w:rsidR="00D900EB" w:rsidRPr="0027789B">
        <w:t>o any Applicable Laws</w:t>
      </w:r>
      <w:r w:rsidRPr="0027789B">
        <w:t xml:space="preserve">, in order for a Storage Unit to obtain, maintain or update a Unit NQC and Unit EFC, including testing for PMAX. </w:t>
      </w:r>
    </w:p>
    <w:p w14:paraId="5B81441E" w14:textId="77777777" w:rsidR="00A01DF3" w:rsidRPr="0027789B" w:rsidRDefault="008E65AA" w:rsidP="00561154">
      <w:pPr>
        <w:pStyle w:val="Definition"/>
      </w:pPr>
      <w:r w:rsidRPr="0027789B">
        <w:lastRenderedPageBreak/>
        <w:t>“</w:t>
      </w:r>
      <w:r w:rsidRPr="00FF157D">
        <w:rPr>
          <w:u w:val="single"/>
        </w:rPr>
        <w:t>RA Compliance Obligations</w:t>
      </w:r>
      <w:r w:rsidRPr="0027789B">
        <w:t>” means the RAR, Local RAR and Flexible RAR.</w:t>
      </w:r>
    </w:p>
    <w:p w14:paraId="091F1E93" w14:textId="663F5D75" w:rsidR="00EF7CDE" w:rsidRPr="00362F4D" w:rsidRDefault="00EF7CDE" w:rsidP="00DB7FE0">
      <w:pPr>
        <w:pStyle w:val="Definition"/>
      </w:pPr>
      <w:r w:rsidRPr="0027789B">
        <w:t>“</w:t>
      </w:r>
      <w:r w:rsidRPr="00FF157D">
        <w:rPr>
          <w:u w:val="single"/>
        </w:rPr>
        <w:t>RA Compliance Showings</w:t>
      </w:r>
      <w:r w:rsidRPr="0027789B">
        <w:t>” means the (a) Local RAR compliance or advisory showings (or similar or successor showings), (b) RAR compliance or advisory showings (or similar or successor showings), and (c) Flexible RAR compliance or advisory showings (or similar successor showings), in each case, a</w:t>
      </w:r>
      <w:r w:rsidR="0068489B" w:rsidRPr="0027789B">
        <w:t>n entity</w:t>
      </w:r>
      <w:r w:rsidRPr="0027789B">
        <w:t xml:space="preserve"> is required to make </w:t>
      </w:r>
      <w:r w:rsidR="00433444" w:rsidRPr="0027789B">
        <w:t xml:space="preserve">to the CAISO pursuant to the CAISO Tariff, </w:t>
      </w:r>
      <w:r w:rsidRPr="0027789B">
        <w:t xml:space="preserve">to the CPUC (and, to the extent authorized by the CPUC, to the CAISO) pursuant to the Resource Adequacy Rulings, or to </w:t>
      </w:r>
      <w:r w:rsidRPr="00362F4D">
        <w:t>any Governmental Authority.</w:t>
      </w:r>
    </w:p>
    <w:p w14:paraId="09E4A18E" w14:textId="68AEAC66" w:rsidR="00A01DF3" w:rsidRPr="0027789B" w:rsidRDefault="008E65AA" w:rsidP="00561154">
      <w:pPr>
        <w:pStyle w:val="Definition"/>
      </w:pPr>
      <w:r w:rsidRPr="00362F4D">
        <w:t>“</w:t>
      </w:r>
      <w:r w:rsidRPr="00362F4D">
        <w:rPr>
          <w:u w:val="single"/>
        </w:rPr>
        <w:t>RA Period</w:t>
      </w:r>
      <w:r w:rsidRPr="00362F4D">
        <w:t xml:space="preserve">” has the meaning set forth in </w:t>
      </w:r>
      <w:r w:rsidRPr="00541852">
        <w:t>Section</w:t>
      </w:r>
      <w:r w:rsidR="00541852" w:rsidRPr="00541852">
        <w:t xml:space="preserve"> 2.02(b)</w:t>
      </w:r>
      <w:r w:rsidRPr="00541852">
        <w:t>.</w:t>
      </w:r>
    </w:p>
    <w:p w14:paraId="23168840" w14:textId="1BE5053F" w:rsidR="00A01DF3" w:rsidRPr="0027789B" w:rsidRDefault="008E65AA" w:rsidP="00561154">
      <w:pPr>
        <w:pStyle w:val="Definition"/>
      </w:pPr>
      <w:r w:rsidRPr="0027789B">
        <w:t>“</w:t>
      </w:r>
      <w:r w:rsidRPr="00FF157D">
        <w:rPr>
          <w:u w:val="single"/>
        </w:rPr>
        <w:t>RA Replacement Capacity</w:t>
      </w:r>
      <w:r w:rsidRPr="0027789B">
        <w:t xml:space="preserve">” has the meaning set forth in </w:t>
      </w:r>
      <w:r w:rsidR="00535922">
        <w:t>Section 6.03(a)(iv)</w:t>
      </w:r>
      <w:r w:rsidRPr="0027789B">
        <w:t>.</w:t>
      </w:r>
    </w:p>
    <w:p w14:paraId="3275B38D" w14:textId="6A508D25" w:rsidR="00A01DF3" w:rsidRPr="0027789B" w:rsidRDefault="008E65AA" w:rsidP="00561154">
      <w:pPr>
        <w:pStyle w:val="Definition"/>
      </w:pPr>
      <w:r w:rsidRPr="0027789B">
        <w:t>“</w:t>
      </w:r>
      <w:r w:rsidRPr="00FF157D">
        <w:rPr>
          <w:u w:val="single"/>
        </w:rPr>
        <w:t>Rated Power Capacity Payment Reduction</w:t>
      </w:r>
      <w:r w:rsidRPr="0027789B">
        <w:t xml:space="preserve">” has the meaning set </w:t>
      </w:r>
      <w:r w:rsidRPr="00362F4D">
        <w:t xml:space="preserve">forth in </w:t>
      </w:r>
      <w:r w:rsidRPr="004726AE">
        <w:t xml:space="preserve">Section </w:t>
      </w:r>
      <w:r w:rsidR="004726AE" w:rsidRPr="004726AE">
        <w:t>3</w:t>
      </w:r>
      <w:r w:rsidRPr="004726AE">
        <w:t>.</w:t>
      </w:r>
      <w:r w:rsidR="004726AE" w:rsidRPr="004726AE">
        <w:t>1</w:t>
      </w:r>
      <w:r w:rsidRPr="004726AE">
        <w:t>1</w:t>
      </w:r>
      <w:r w:rsidRPr="0027789B">
        <w:t>(c)(iv).</w:t>
      </w:r>
    </w:p>
    <w:p w14:paraId="6875F9D1" w14:textId="4DED9AD1" w:rsidR="00A01DF3" w:rsidRPr="0027789B" w:rsidRDefault="008E65AA" w:rsidP="00561154">
      <w:pPr>
        <w:pStyle w:val="Definition"/>
      </w:pPr>
      <w:r w:rsidRPr="0027789B">
        <w:t>“</w:t>
      </w:r>
      <w:r w:rsidRPr="00FF157D">
        <w:rPr>
          <w:u w:val="single"/>
        </w:rPr>
        <w:t>Ratings Agency</w:t>
      </w:r>
      <w:r w:rsidRPr="0027789B">
        <w:t>” means any of S&amp;P</w:t>
      </w:r>
      <w:r w:rsidR="00A320F5">
        <w:t xml:space="preserve"> and</w:t>
      </w:r>
      <w:r w:rsidRPr="0027789B">
        <w:t xml:space="preserve"> Moody’s (collectively, the “Ratings Agencies”).</w:t>
      </w:r>
    </w:p>
    <w:p w14:paraId="10FDBFB7" w14:textId="0B000B67" w:rsidR="00A01DF3" w:rsidRPr="00362F4D" w:rsidRDefault="008E65AA" w:rsidP="00561154">
      <w:pPr>
        <w:pStyle w:val="Definition"/>
      </w:pPr>
      <w:r w:rsidRPr="0027789B">
        <w:t>“</w:t>
      </w:r>
      <w:r w:rsidRPr="00FF157D">
        <w:rPr>
          <w:u w:val="single"/>
        </w:rPr>
        <w:t>Real-Time Market</w:t>
      </w:r>
      <w:r w:rsidRPr="0027789B">
        <w:t>”</w:t>
      </w:r>
      <w:r w:rsidR="007E26C8">
        <w:t xml:space="preserve"> or “</w:t>
      </w:r>
      <w:r w:rsidR="007E26C8">
        <w:rPr>
          <w:u w:val="single"/>
        </w:rPr>
        <w:t>RTM</w:t>
      </w:r>
      <w:r w:rsidR="007E26C8">
        <w:t>”</w:t>
      </w:r>
      <w:r w:rsidRPr="0027789B">
        <w:t xml:space="preserve"> has the meaning set </w:t>
      </w:r>
      <w:r w:rsidRPr="00362F4D">
        <w:t xml:space="preserve">forth in the </w:t>
      </w:r>
      <w:r w:rsidR="000A4EE4" w:rsidRPr="00362F4D">
        <w:t>CAISO Tariff</w:t>
      </w:r>
      <w:r w:rsidRPr="00362F4D">
        <w:t>.</w:t>
      </w:r>
    </w:p>
    <w:p w14:paraId="71B07B76" w14:textId="79AA5CFC" w:rsidR="00C45400" w:rsidRPr="0027789B" w:rsidRDefault="00C45400" w:rsidP="00561154">
      <w:pPr>
        <w:pStyle w:val="Definition"/>
      </w:pPr>
      <w:r w:rsidRPr="00362F4D">
        <w:t>“</w:t>
      </w:r>
      <w:r w:rsidRPr="00362F4D">
        <w:rPr>
          <w:u w:val="single"/>
        </w:rPr>
        <w:t>Recovery Plan</w:t>
      </w:r>
      <w:r w:rsidRPr="00362F4D">
        <w:t xml:space="preserve">” has the meaning set forth </w:t>
      </w:r>
      <w:r w:rsidRPr="00541852">
        <w:t>in Section</w:t>
      </w:r>
      <w:r w:rsidR="00541852" w:rsidRPr="00541852">
        <w:t xml:space="preserve"> </w:t>
      </w:r>
      <w:r w:rsidR="00F86599">
        <w:t>4.07</w:t>
      </w:r>
      <w:r w:rsidRPr="00541852">
        <w:t>(</w:t>
      </w:r>
      <w:r w:rsidR="00F86599">
        <w:t>a</w:t>
      </w:r>
      <w:r w:rsidRPr="00541852">
        <w:t>).</w:t>
      </w:r>
    </w:p>
    <w:p w14:paraId="1A7D4F9C" w14:textId="06F307C9" w:rsidR="00E452D3" w:rsidRPr="00484686" w:rsidRDefault="008E65AA" w:rsidP="00561154">
      <w:pPr>
        <w:pStyle w:val="Definition"/>
      </w:pPr>
      <w:r w:rsidRPr="0027789B">
        <w:t>“</w:t>
      </w:r>
      <w:r w:rsidRPr="00FF157D">
        <w:rPr>
          <w:u w:val="single"/>
        </w:rPr>
        <w:t>Reduced Monthly Energy Capacity Payment</w:t>
      </w:r>
      <w:r w:rsidRPr="0027789B">
        <w:t xml:space="preserve">” has the </w:t>
      </w:r>
      <w:r w:rsidRPr="00484686">
        <w:t xml:space="preserve">meaning set forth in </w:t>
      </w:r>
      <w:r w:rsidRPr="004726AE">
        <w:t xml:space="preserve">Section </w:t>
      </w:r>
      <w:r w:rsidR="004726AE" w:rsidRPr="004726AE">
        <w:t>3</w:t>
      </w:r>
      <w:r w:rsidRPr="00484686">
        <w:t>.0</w:t>
      </w:r>
      <w:r w:rsidR="004726AE">
        <w:t>6(c)</w:t>
      </w:r>
      <w:r w:rsidRPr="00484686">
        <w:t>.</w:t>
      </w:r>
    </w:p>
    <w:p w14:paraId="5463E352" w14:textId="728BD4EA" w:rsidR="00A01DF3" w:rsidRPr="0027789B" w:rsidRDefault="00E452D3" w:rsidP="00561154">
      <w:pPr>
        <w:pStyle w:val="Definition"/>
      </w:pPr>
      <w:r w:rsidRPr="00484686">
        <w:t>“</w:t>
      </w:r>
      <w:r w:rsidRPr="00484686">
        <w:rPr>
          <w:u w:val="single"/>
        </w:rPr>
        <w:t>Reduced Price Percent</w:t>
      </w:r>
      <w:r w:rsidRPr="00484686">
        <w:t>” ha</w:t>
      </w:r>
      <w:r w:rsidR="00A36ECE">
        <w:t>s</w:t>
      </w:r>
      <w:r w:rsidRPr="00484686">
        <w:t xml:space="preserve"> the meanin</w:t>
      </w:r>
      <w:r w:rsidR="00B767F2" w:rsidRPr="00484686">
        <w:t xml:space="preserve">g set forth in </w:t>
      </w:r>
      <w:r w:rsidR="00B767F2" w:rsidRPr="00B022A3">
        <w:t xml:space="preserve">Section </w:t>
      </w:r>
      <w:r w:rsidR="00B022A3" w:rsidRPr="00B022A3">
        <w:t>3</w:t>
      </w:r>
      <w:r w:rsidR="00B767F2" w:rsidRPr="00B022A3">
        <w:t>.0</w:t>
      </w:r>
      <w:r w:rsidR="00B022A3" w:rsidRPr="00B022A3">
        <w:t>5</w:t>
      </w:r>
      <w:r w:rsidR="00B767F2" w:rsidRPr="00B022A3">
        <w:t>(d)</w:t>
      </w:r>
      <w:r w:rsidR="00C8421F">
        <w:t>(i)</w:t>
      </w:r>
      <w:r w:rsidR="00B767F2" w:rsidRPr="00B022A3">
        <w:t>.</w:t>
      </w:r>
    </w:p>
    <w:p w14:paraId="0CF87E9A" w14:textId="77777777" w:rsidR="00A01DF3" w:rsidRPr="0027789B" w:rsidRDefault="008E65AA" w:rsidP="00561154">
      <w:pPr>
        <w:pStyle w:val="Definition"/>
      </w:pPr>
      <w:r w:rsidRPr="0027789B">
        <w:t>“</w:t>
      </w:r>
      <w:r w:rsidRPr="00FF157D">
        <w:rPr>
          <w:u w:val="single"/>
        </w:rPr>
        <w:t>Regulation Down</w:t>
      </w:r>
      <w:r w:rsidRPr="0027789B">
        <w:t xml:space="preserve">” has the meaning set forth in the </w:t>
      </w:r>
      <w:r w:rsidR="000A4EE4" w:rsidRPr="0027789B">
        <w:t>CAISO Tariff</w:t>
      </w:r>
      <w:r w:rsidRPr="0027789B">
        <w:t>.</w:t>
      </w:r>
    </w:p>
    <w:p w14:paraId="6EE68176" w14:textId="0B6940E2" w:rsidR="00A01DF3" w:rsidRPr="0027789B" w:rsidRDefault="008E65AA" w:rsidP="00561154">
      <w:pPr>
        <w:pStyle w:val="Definition"/>
      </w:pPr>
      <w:r w:rsidRPr="0027789B">
        <w:t>“</w:t>
      </w:r>
      <w:r w:rsidRPr="00FF157D">
        <w:rPr>
          <w:u w:val="single"/>
        </w:rPr>
        <w:t>Regulation Up</w:t>
      </w:r>
      <w:r w:rsidRPr="0027789B">
        <w:t xml:space="preserve">” has the meaning set forth in the </w:t>
      </w:r>
      <w:r w:rsidR="000A4EE4" w:rsidRPr="0027789B">
        <w:t>CAISO Tariff</w:t>
      </w:r>
      <w:r w:rsidRPr="0027789B">
        <w:t>.</w:t>
      </w:r>
    </w:p>
    <w:p w14:paraId="1C018002" w14:textId="77777777" w:rsidR="00A01DF3" w:rsidRPr="0027789B" w:rsidRDefault="008E65AA" w:rsidP="00561154">
      <w:pPr>
        <w:pStyle w:val="Definition"/>
      </w:pPr>
      <w:r w:rsidRPr="0027789B">
        <w:t>“</w:t>
      </w:r>
      <w:r w:rsidRPr="00FF157D">
        <w:rPr>
          <w:u w:val="single"/>
        </w:rPr>
        <w:t>Reliability Must-Run Contract</w:t>
      </w:r>
      <w:r w:rsidRPr="0027789B">
        <w:t>” or “</w:t>
      </w:r>
      <w:r w:rsidRPr="00FF157D">
        <w:rPr>
          <w:u w:val="single"/>
        </w:rPr>
        <w:t>RMR Contract</w:t>
      </w:r>
      <w:r w:rsidRPr="0027789B">
        <w:t xml:space="preserve">” has the meaning set forth in the </w:t>
      </w:r>
      <w:r w:rsidR="000A4EE4" w:rsidRPr="0027789B">
        <w:t>CAISO Tariff</w:t>
      </w:r>
      <w:r w:rsidRPr="0027789B">
        <w:t>.</w:t>
      </w:r>
    </w:p>
    <w:p w14:paraId="00989530" w14:textId="1893A041" w:rsidR="00A01DF3" w:rsidRPr="0027789B" w:rsidRDefault="008E65AA" w:rsidP="00561154">
      <w:pPr>
        <w:pStyle w:val="Definition"/>
      </w:pPr>
      <w:r w:rsidRPr="0027789B">
        <w:t>“</w:t>
      </w:r>
      <w:r w:rsidRPr="00FF157D">
        <w:rPr>
          <w:u w:val="single"/>
        </w:rPr>
        <w:t>Repair Plan</w:t>
      </w:r>
      <w:r w:rsidRPr="0027789B">
        <w:t xml:space="preserve">” has the meaning set </w:t>
      </w:r>
      <w:r w:rsidRPr="00165EAE">
        <w:t xml:space="preserve">forth in </w:t>
      </w:r>
      <w:r w:rsidRPr="00B022A3">
        <w:t xml:space="preserve">Section </w:t>
      </w:r>
      <w:r w:rsidR="00B022A3" w:rsidRPr="00B022A3">
        <w:t>6</w:t>
      </w:r>
      <w:r w:rsidRPr="00B022A3">
        <w:t>.02(c).</w:t>
      </w:r>
    </w:p>
    <w:p w14:paraId="789FF859" w14:textId="77777777" w:rsidR="00A01DF3" w:rsidRPr="00165EAE" w:rsidRDefault="008E65AA" w:rsidP="00DB7FE0">
      <w:pPr>
        <w:pStyle w:val="Definition"/>
      </w:pPr>
      <w:r w:rsidRPr="0027789B">
        <w:t>“</w:t>
      </w:r>
      <w:r w:rsidRPr="00FF157D">
        <w:rPr>
          <w:u w:val="single"/>
        </w:rPr>
        <w:t>Representatives</w:t>
      </w:r>
      <w:r w:rsidRPr="0027789B">
        <w:t xml:space="preserve">” means </w:t>
      </w:r>
      <w:r w:rsidR="0027596A">
        <w:t xml:space="preserve">the Party’s, or the Party’s Affiliates’, officers, directors, employees, Lenders, rating agencies, counsel, </w:t>
      </w:r>
      <w:r w:rsidR="0027596A" w:rsidRPr="00165EAE">
        <w:t>accountants and advisors</w:t>
      </w:r>
      <w:r w:rsidRPr="00165EAE">
        <w:t>.</w:t>
      </w:r>
    </w:p>
    <w:p w14:paraId="2C076B17" w14:textId="48E4C48E" w:rsidR="00A01DF3" w:rsidRPr="0027789B" w:rsidRDefault="008E65AA" w:rsidP="00561154">
      <w:pPr>
        <w:pStyle w:val="Definition"/>
      </w:pPr>
      <w:bookmarkStart w:id="627" w:name="_DV_C3300"/>
      <w:r w:rsidRPr="00165EAE">
        <w:t>“</w:t>
      </w:r>
      <w:r w:rsidRPr="00165EAE">
        <w:rPr>
          <w:u w:val="single"/>
        </w:rPr>
        <w:t>Resold Product</w:t>
      </w:r>
      <w:r w:rsidRPr="00165EAE">
        <w:t xml:space="preserve">” has the meaning set forth in </w:t>
      </w:r>
      <w:r w:rsidRPr="0024612D">
        <w:t>Section 1.0</w:t>
      </w:r>
      <w:r w:rsidR="0024612D" w:rsidRPr="0024612D">
        <w:t>6</w:t>
      </w:r>
      <w:r w:rsidRPr="0024612D">
        <w:t>.</w:t>
      </w:r>
    </w:p>
    <w:p w14:paraId="33A42101" w14:textId="77777777" w:rsidR="00A01DF3" w:rsidRPr="0027789B" w:rsidRDefault="008E65AA" w:rsidP="00561154">
      <w:pPr>
        <w:pStyle w:val="Definition"/>
      </w:pPr>
      <w:r w:rsidRPr="0027789B">
        <w:t>“</w:t>
      </w:r>
      <w:r w:rsidRPr="00FF157D">
        <w:rPr>
          <w:u w:val="single"/>
        </w:rPr>
        <w:t>Resource Adequacy</w:t>
      </w:r>
      <w:r w:rsidRPr="0027789B">
        <w:t>” shall have the meaning used in Resource Adequacy Rulings</w:t>
      </w:r>
      <w:r w:rsidR="001D4101">
        <w:t xml:space="preserve">. </w:t>
      </w:r>
    </w:p>
    <w:p w14:paraId="3A93006D" w14:textId="11F6D804" w:rsidR="00A01DF3" w:rsidRPr="0027789B" w:rsidRDefault="008E65AA" w:rsidP="00DB7FE0">
      <w:pPr>
        <w:pStyle w:val="Definition"/>
        <w:rPr>
          <w:bCs/>
        </w:rPr>
      </w:pPr>
      <w:r w:rsidRPr="0027789B">
        <w:rPr>
          <w:bCs/>
        </w:rPr>
        <w:t>“</w:t>
      </w:r>
      <w:r w:rsidRPr="00165EAE">
        <w:rPr>
          <w:u w:val="single"/>
        </w:rPr>
        <w:t>Resource Adequacy Availability Management</w:t>
      </w:r>
      <w:r w:rsidRPr="00165EAE">
        <w:rPr>
          <w:bCs/>
        </w:rPr>
        <w:t>” or “</w:t>
      </w:r>
      <w:r w:rsidRPr="00165EAE">
        <w:rPr>
          <w:u w:val="single"/>
        </w:rPr>
        <w:t>RAAM</w:t>
      </w:r>
      <w:r w:rsidRPr="00165EAE">
        <w:rPr>
          <w:bCs/>
        </w:rPr>
        <w:t xml:space="preserve">” has the meaning set forth in </w:t>
      </w:r>
      <w:r w:rsidRPr="003B3D2A">
        <w:rPr>
          <w:bCs/>
        </w:rPr>
        <w:t>Section</w:t>
      </w:r>
      <w:r w:rsidR="003B3D2A">
        <w:rPr>
          <w:bCs/>
        </w:rPr>
        <w:t xml:space="preserve"> 6.05(d</w:t>
      </w:r>
      <w:r w:rsidRPr="00165EAE">
        <w:rPr>
          <w:bCs/>
        </w:rPr>
        <w:t>)</w:t>
      </w:r>
      <w:r w:rsidR="003B3D2A">
        <w:rPr>
          <w:bCs/>
        </w:rPr>
        <w:t>(ii)</w:t>
      </w:r>
      <w:r w:rsidRPr="00165EAE">
        <w:rPr>
          <w:bCs/>
        </w:rPr>
        <w:t>.</w:t>
      </w:r>
      <w:bookmarkEnd w:id="627"/>
    </w:p>
    <w:p w14:paraId="34842001" w14:textId="77777777" w:rsidR="00A01DF3" w:rsidRPr="0027789B" w:rsidRDefault="008E65AA" w:rsidP="00DB7FE0">
      <w:pPr>
        <w:pStyle w:val="Definition"/>
      </w:pPr>
      <w:r w:rsidRPr="0027789B">
        <w:lastRenderedPageBreak/>
        <w:t>“</w:t>
      </w:r>
      <w:r w:rsidRPr="00FF157D">
        <w:rPr>
          <w:u w:val="single"/>
        </w:rPr>
        <w:t>Resource Adequacy Benefits</w:t>
      </w:r>
      <w:r w:rsidRPr="0027789B">
        <w:t xml:space="preserve">” </w:t>
      </w:r>
      <w:r w:rsidR="000D565D" w:rsidRPr="0027789B">
        <w:t>means the rights and privileges attached to the Project relating to Capacity Attributes that satisfy any entity’s Resource Adequacy Requirements, as those obligations are set forth in any Resource Adequacy Rulings and shall include any local, zonal or otherwise locational attributes associated with the Project.</w:t>
      </w:r>
      <w:r w:rsidRPr="0027789B">
        <w:t xml:space="preserve"> </w:t>
      </w:r>
    </w:p>
    <w:p w14:paraId="4BCC8800" w14:textId="11D308A1" w:rsidR="004731D3" w:rsidRPr="0027789B" w:rsidRDefault="004731D3" w:rsidP="00DB7FE0">
      <w:pPr>
        <w:pStyle w:val="Definition"/>
      </w:pPr>
      <w:r w:rsidRPr="0027789B">
        <w:t>“</w:t>
      </w:r>
      <w:r w:rsidRPr="00FF157D">
        <w:rPr>
          <w:u w:val="single"/>
        </w:rPr>
        <w:t>Resource Adequacy Requirements</w:t>
      </w:r>
      <w:r w:rsidRPr="0027789B">
        <w:t>” or “</w:t>
      </w:r>
      <w:r w:rsidRPr="00FF157D">
        <w:rPr>
          <w:u w:val="single"/>
        </w:rPr>
        <w:t>RAR</w:t>
      </w:r>
      <w:r w:rsidRPr="0027789B">
        <w:t xml:space="preserve">” means the resource adequacy requirements </w:t>
      </w:r>
      <w:r w:rsidR="00C92F90" w:rsidRPr="0027789B">
        <w:t xml:space="preserve">applicable to an entity as </w:t>
      </w:r>
      <w:r w:rsidRPr="0027789B">
        <w:t xml:space="preserve">established by </w:t>
      </w:r>
      <w:r w:rsidR="00433444" w:rsidRPr="0027789B">
        <w:t xml:space="preserve">the CAISO pursuant to the CAISO Tariff, </w:t>
      </w:r>
      <w:r w:rsidR="00433444">
        <w:t xml:space="preserve">by </w:t>
      </w:r>
      <w:r w:rsidRPr="0027789B">
        <w:t>the CPUC pursuant to the Resource Adequacy Rulings, or by any other Governmental Authority.</w:t>
      </w:r>
    </w:p>
    <w:p w14:paraId="008A4657" w14:textId="77777777" w:rsidR="00A01DF3" w:rsidRPr="0027789B" w:rsidRDefault="008E65AA" w:rsidP="00561154">
      <w:pPr>
        <w:pStyle w:val="Definition"/>
      </w:pPr>
      <w:r w:rsidRPr="0027789B">
        <w:t>“</w:t>
      </w:r>
      <w:r w:rsidRPr="00FF157D">
        <w:rPr>
          <w:u w:val="single"/>
        </w:rPr>
        <w:t>Resource Adequacy Resource</w:t>
      </w:r>
      <w:r w:rsidRPr="0027789B">
        <w:t xml:space="preserve">” shall have the meaning used in Resource Adequacy Rulings. </w:t>
      </w:r>
    </w:p>
    <w:p w14:paraId="53B91F04" w14:textId="77777777" w:rsidR="00A01DF3" w:rsidRPr="0027789B" w:rsidRDefault="008E65AA" w:rsidP="00DB7FE0">
      <w:pPr>
        <w:pStyle w:val="Definition"/>
      </w:pPr>
      <w:r w:rsidRPr="0027789B">
        <w:t>“</w:t>
      </w:r>
      <w:r w:rsidRPr="00FF157D">
        <w:rPr>
          <w:u w:val="single"/>
        </w:rPr>
        <w:t>Resource Adequacy Rulings</w:t>
      </w:r>
      <w:r w:rsidRPr="0027789B">
        <w:t xml:space="preserve">” </w:t>
      </w:r>
      <w:r w:rsidR="00945DFD" w:rsidRPr="0027789B">
        <w:t>means any CPUC decisions</w:t>
      </w:r>
      <w:r w:rsidR="00C92F90" w:rsidRPr="0027789B">
        <w:t>,</w:t>
      </w:r>
      <w:r w:rsidR="00945DFD" w:rsidRPr="0027789B">
        <w:t xml:space="preserve"> </w:t>
      </w:r>
      <w:r w:rsidR="00C92F90" w:rsidRPr="0027789B">
        <w:t xml:space="preserve">including the CPUC Filing Guide, </w:t>
      </w:r>
      <w:r w:rsidR="00945DFD" w:rsidRPr="0027789B">
        <w:t>defining or relating to resource adequacy attributes or any other resource adequacy laws, rules or regulations enacted, adopted or promulgated by any applicable Governmental Authority</w:t>
      </w:r>
      <w:r w:rsidR="00C92F90" w:rsidRPr="0027789B">
        <w:t xml:space="preserve"> or the CAISO</w:t>
      </w:r>
      <w:r w:rsidR="00945DFD" w:rsidRPr="0027789B">
        <w:t xml:space="preserve">, as such decisions, rulings, laws, rules or regulations may be amended or modified from time to time during the Delivery </w:t>
      </w:r>
      <w:r w:rsidR="005A0C2E" w:rsidRPr="0027789B">
        <w:t>Period</w:t>
      </w:r>
      <w:r w:rsidR="00945DFD" w:rsidRPr="0027789B">
        <w:t>.</w:t>
      </w:r>
    </w:p>
    <w:p w14:paraId="7FE7CB1F" w14:textId="77777777" w:rsidR="00A01DF3" w:rsidRPr="0027789B" w:rsidRDefault="008E65AA" w:rsidP="00561154">
      <w:pPr>
        <w:pStyle w:val="Definition"/>
      </w:pPr>
      <w:r w:rsidRPr="0027789B">
        <w:t>“</w:t>
      </w:r>
      <w:r w:rsidRPr="00FF157D">
        <w:rPr>
          <w:u w:val="single"/>
        </w:rPr>
        <w:t>Resource ID</w:t>
      </w:r>
      <w:r w:rsidRPr="0027789B">
        <w:t xml:space="preserve">” has the meaning set forth in the </w:t>
      </w:r>
      <w:r w:rsidR="000A4EE4" w:rsidRPr="0027789B">
        <w:t>CAISO Tariff</w:t>
      </w:r>
      <w:r w:rsidRPr="0027789B">
        <w:t>.</w:t>
      </w:r>
    </w:p>
    <w:p w14:paraId="1CE6A4A7" w14:textId="36211A80" w:rsidR="00A01DF3" w:rsidRPr="00165EAE" w:rsidRDefault="008E65AA" w:rsidP="00561154">
      <w:pPr>
        <w:pStyle w:val="Definition"/>
      </w:pPr>
      <w:r w:rsidRPr="00165EAE">
        <w:t>“</w:t>
      </w:r>
      <w:r w:rsidRPr="00165EAE">
        <w:rPr>
          <w:u w:val="single"/>
        </w:rPr>
        <w:t>Retest</w:t>
      </w:r>
      <w:r w:rsidRPr="00165EAE">
        <w:t xml:space="preserve">” has the meaning set </w:t>
      </w:r>
      <w:r w:rsidRPr="00D01883">
        <w:t xml:space="preserve">forth in </w:t>
      </w:r>
      <w:r w:rsidR="00CF10CD">
        <w:rPr>
          <w:u w:val="single"/>
        </w:rPr>
        <w:t>Exhibit C</w:t>
      </w:r>
      <w:r w:rsidRPr="00D01883">
        <w:t>, P</w:t>
      </w:r>
      <w:r w:rsidR="00E1565A" w:rsidRPr="00D01883">
        <w:t>art</w:t>
      </w:r>
      <w:r w:rsidRPr="00165EAE">
        <w:t xml:space="preserve"> II. G.</w:t>
      </w:r>
    </w:p>
    <w:p w14:paraId="212E6920" w14:textId="77777777" w:rsidR="007E26C8" w:rsidRPr="00462DB9" w:rsidRDefault="007E26C8" w:rsidP="00561154">
      <w:pPr>
        <w:pStyle w:val="Definition"/>
      </w:pPr>
      <w:r>
        <w:t>“</w:t>
      </w:r>
      <w:r>
        <w:rPr>
          <w:u w:val="single"/>
        </w:rPr>
        <w:t>RT Bid Revision</w:t>
      </w:r>
      <w:r>
        <w:t>” has the meaning set forth in Section 6.04(d).</w:t>
      </w:r>
    </w:p>
    <w:p w14:paraId="1BAE48BA" w14:textId="7573A8A4" w:rsidR="000B29F3" w:rsidRPr="0027789B" w:rsidRDefault="008E65AA" w:rsidP="00561154">
      <w:pPr>
        <w:pStyle w:val="Definition"/>
      </w:pPr>
      <w:r w:rsidRPr="0027789B">
        <w:t>“</w:t>
      </w:r>
      <w:r w:rsidRPr="00FF157D">
        <w:rPr>
          <w:u w:val="single"/>
        </w:rPr>
        <w:t>Satellite Communications System</w:t>
      </w:r>
      <w:r w:rsidRPr="0027789B">
        <w:t>” or “</w:t>
      </w:r>
      <w:r w:rsidRPr="00FF157D">
        <w:rPr>
          <w:u w:val="single"/>
        </w:rPr>
        <w:t>SCS</w:t>
      </w:r>
      <w:r w:rsidRPr="0027789B">
        <w:t xml:space="preserve">” </w:t>
      </w:r>
      <w:r w:rsidR="00D462AA">
        <w:t>has the meaning set forth in Section 5.02(</w:t>
      </w:r>
      <w:r w:rsidR="000B29F3">
        <w:t>c</w:t>
      </w:r>
      <w:r w:rsidR="00D462AA">
        <w:t>)</w:t>
      </w:r>
      <w:r w:rsidRPr="0027789B">
        <w:t>.</w:t>
      </w:r>
    </w:p>
    <w:p w14:paraId="63270116" w14:textId="77777777" w:rsidR="00A01DF3" w:rsidRPr="0027789B" w:rsidRDefault="008E65AA" w:rsidP="00561154">
      <w:pPr>
        <w:pStyle w:val="Definition"/>
      </w:pPr>
      <w:r w:rsidRPr="0027789B">
        <w:t>“</w:t>
      </w:r>
      <w:r w:rsidRPr="00FF157D">
        <w:rPr>
          <w:u w:val="single"/>
        </w:rPr>
        <w:t>S&amp;P</w:t>
      </w:r>
      <w:r w:rsidRPr="0027789B">
        <w:t>” means Standard &amp; Poor’s Financia</w:t>
      </w:r>
      <w:r w:rsidR="00945DFD" w:rsidRPr="0027789B">
        <w:t>l Services LLC</w:t>
      </w:r>
      <w:r w:rsidRPr="0027789B">
        <w:t>.</w:t>
      </w:r>
    </w:p>
    <w:p w14:paraId="6A6199AF" w14:textId="53DEE292" w:rsidR="00A01DF3" w:rsidRPr="003B3D2A" w:rsidRDefault="008E65AA" w:rsidP="00561154">
      <w:pPr>
        <w:pStyle w:val="Definition"/>
      </w:pPr>
      <w:r w:rsidRPr="0027789B">
        <w:t>“</w:t>
      </w:r>
      <w:r w:rsidRPr="00FF157D">
        <w:rPr>
          <w:u w:val="single"/>
        </w:rPr>
        <w:t>SC Replacement Date</w:t>
      </w:r>
      <w:r w:rsidRPr="0027789B">
        <w:t xml:space="preserve">” has the </w:t>
      </w:r>
      <w:r w:rsidRPr="00165EAE">
        <w:t xml:space="preserve">meaning set forth in </w:t>
      </w:r>
      <w:r w:rsidRPr="003B3D2A">
        <w:t xml:space="preserve">Section </w:t>
      </w:r>
      <w:r w:rsidR="003B3D2A" w:rsidRPr="003B3D2A">
        <w:t>6.05(f)</w:t>
      </w:r>
      <w:r w:rsidRPr="003B3D2A">
        <w:t>.</w:t>
      </w:r>
    </w:p>
    <w:p w14:paraId="3D51AF9B" w14:textId="4F93687C" w:rsidR="00A01DF3" w:rsidRPr="00165EAE" w:rsidRDefault="008E65AA" w:rsidP="00561154">
      <w:pPr>
        <w:pStyle w:val="Definition"/>
      </w:pPr>
      <w:r w:rsidRPr="003B3D2A">
        <w:t>“</w:t>
      </w:r>
      <w:r w:rsidRPr="003B3D2A">
        <w:rPr>
          <w:u w:val="single"/>
        </w:rPr>
        <w:t>SC Set-Up Fee</w:t>
      </w:r>
      <w:r w:rsidRPr="003B3D2A">
        <w:t xml:space="preserve">” has the meaning set forth in Section </w:t>
      </w:r>
      <w:r w:rsidR="003B3D2A" w:rsidRPr="003B3D2A">
        <w:t>6</w:t>
      </w:r>
      <w:r w:rsidRPr="003B3D2A">
        <w:t>.0</w:t>
      </w:r>
      <w:r w:rsidR="003B3D2A" w:rsidRPr="003B3D2A">
        <w:t>5(a)</w:t>
      </w:r>
      <w:r w:rsidRPr="003B3D2A">
        <w:t>.</w:t>
      </w:r>
    </w:p>
    <w:p w14:paraId="01CAAFC5" w14:textId="77777777" w:rsidR="00A01DF3" w:rsidRPr="00165EAE" w:rsidRDefault="008E65AA" w:rsidP="00561154">
      <w:pPr>
        <w:pStyle w:val="Definition"/>
      </w:pPr>
      <w:r w:rsidRPr="00165EAE">
        <w:t>“</w:t>
      </w:r>
      <w:r w:rsidRPr="00165EAE">
        <w:rPr>
          <w:u w:val="single"/>
        </w:rPr>
        <w:t>SCE</w:t>
      </w:r>
      <w:r w:rsidRPr="00165EAE">
        <w:t>” has the meaning set forth in the preamble.</w:t>
      </w:r>
    </w:p>
    <w:p w14:paraId="06848AAE" w14:textId="77777777" w:rsidR="007E26C8" w:rsidRPr="002D6269" w:rsidRDefault="007E26C8" w:rsidP="00561154">
      <w:pPr>
        <w:pStyle w:val="Definition"/>
      </w:pPr>
      <w:r w:rsidRPr="002D6269">
        <w:t>“</w:t>
      </w:r>
      <w:r w:rsidRPr="002D6269">
        <w:rPr>
          <w:u w:val="single"/>
        </w:rPr>
        <w:t>SCE’s DAM Deadline</w:t>
      </w:r>
      <w:r w:rsidRPr="002D6269">
        <w:t>” has th</w:t>
      </w:r>
      <w:r>
        <w:t>e meaning set forth in Section 6</w:t>
      </w:r>
      <w:r w:rsidRPr="002D6269">
        <w:t>.0</w:t>
      </w:r>
      <w:r>
        <w:t>4</w:t>
      </w:r>
      <w:r w:rsidRPr="002D6269">
        <w:t>(c).</w:t>
      </w:r>
    </w:p>
    <w:p w14:paraId="57C5BF9A" w14:textId="5A56F2D5" w:rsidR="00E33429" w:rsidRPr="0027789B" w:rsidRDefault="00E33429" w:rsidP="00561154">
      <w:pPr>
        <w:pStyle w:val="Definition"/>
      </w:pPr>
      <w:r w:rsidRPr="00165EAE">
        <w:t>“</w:t>
      </w:r>
      <w:r w:rsidRPr="00165EAE">
        <w:rPr>
          <w:u w:val="single"/>
        </w:rPr>
        <w:t>SCE Dispatched Test</w:t>
      </w:r>
      <w:r w:rsidRPr="00165EAE">
        <w:t xml:space="preserve">” has the meaning set forth in </w:t>
      </w:r>
      <w:r w:rsidRPr="002D26FA">
        <w:t xml:space="preserve">Section </w:t>
      </w:r>
      <w:r w:rsidR="002D26FA" w:rsidRPr="002D26FA">
        <w:t>5</w:t>
      </w:r>
      <w:r w:rsidRPr="002D26FA">
        <w:t>.03(</w:t>
      </w:r>
      <w:r w:rsidR="002D26FA" w:rsidRPr="002D26FA">
        <w:t>c</w:t>
      </w:r>
      <w:r w:rsidRPr="002D26FA">
        <w:t>)</w:t>
      </w:r>
      <w:r w:rsidR="002D26FA" w:rsidRPr="002D26FA">
        <w:t>(ii</w:t>
      </w:r>
      <w:r w:rsidR="002D26FA">
        <w:t>)</w:t>
      </w:r>
      <w:r w:rsidRPr="00165EAE">
        <w:t>.</w:t>
      </w:r>
    </w:p>
    <w:p w14:paraId="512513BC" w14:textId="77777777" w:rsidR="007E26C8" w:rsidRPr="002D6269" w:rsidRDefault="007E26C8" w:rsidP="00561154">
      <w:pPr>
        <w:pStyle w:val="Definition"/>
      </w:pPr>
      <w:r w:rsidRPr="002D6269">
        <w:t>“</w:t>
      </w:r>
      <w:r w:rsidRPr="002D6269">
        <w:rPr>
          <w:u w:val="single"/>
        </w:rPr>
        <w:t xml:space="preserve">SCE’s </w:t>
      </w:r>
      <w:r>
        <w:rPr>
          <w:u w:val="single"/>
        </w:rPr>
        <w:t>RT</w:t>
      </w:r>
      <w:r w:rsidRPr="002D6269">
        <w:rPr>
          <w:u w:val="single"/>
        </w:rPr>
        <w:t xml:space="preserve"> Deadline</w:t>
      </w:r>
      <w:r w:rsidRPr="002D6269">
        <w:t>” has th</w:t>
      </w:r>
      <w:r>
        <w:t>e meaning set forth in Section 6</w:t>
      </w:r>
      <w:r w:rsidRPr="002D6269">
        <w:t>.0</w:t>
      </w:r>
      <w:r>
        <w:t>4</w:t>
      </w:r>
      <w:r w:rsidRPr="002D6269">
        <w:t>(c).</w:t>
      </w:r>
    </w:p>
    <w:p w14:paraId="58546923" w14:textId="6064F94D" w:rsidR="00A01DF3" w:rsidRDefault="008E65AA" w:rsidP="007E26C8">
      <w:pPr>
        <w:pStyle w:val="Definition"/>
      </w:pPr>
      <w:r w:rsidRPr="0027789B">
        <w:t>“</w:t>
      </w:r>
      <w:r w:rsidRPr="00FF157D">
        <w:rPr>
          <w:u w:val="single"/>
        </w:rPr>
        <w:t>Schedule</w:t>
      </w:r>
      <w:r w:rsidR="008E5482">
        <w:t>,</w:t>
      </w:r>
      <w:r w:rsidRPr="0027789B">
        <w:t xml:space="preserve">” </w:t>
      </w:r>
      <w:r w:rsidR="008E5482">
        <w:t>“</w:t>
      </w:r>
      <w:r w:rsidR="008E5482" w:rsidRPr="00DB7FE0">
        <w:rPr>
          <w:u w:val="single"/>
        </w:rPr>
        <w:t>Scheduled</w:t>
      </w:r>
      <w:r w:rsidR="008E5482">
        <w:t>” or “</w:t>
      </w:r>
      <w:r w:rsidR="008E5482" w:rsidRPr="00DB7FE0">
        <w:rPr>
          <w:u w:val="single"/>
        </w:rPr>
        <w:t>Scheduling</w:t>
      </w:r>
      <w:r w:rsidR="008E5482">
        <w:t xml:space="preserve">” </w:t>
      </w:r>
      <w:r w:rsidRPr="008E5482">
        <w:t>means</w:t>
      </w:r>
      <w:r w:rsidRPr="0027789B">
        <w:t xml:space="preserve"> the action of SCE in submitting Bids to the CAISO and receiving all CAISO Markets results from the CAISO.</w:t>
      </w:r>
    </w:p>
    <w:p w14:paraId="39524DAA" w14:textId="1C995D27" w:rsidR="00A01DF3" w:rsidRPr="0027789B" w:rsidRDefault="008E65AA" w:rsidP="005431CB">
      <w:pPr>
        <w:pStyle w:val="Definition"/>
      </w:pPr>
      <w:r w:rsidRPr="0027789B">
        <w:lastRenderedPageBreak/>
        <w:t>“</w:t>
      </w:r>
      <w:r w:rsidRPr="00FF157D">
        <w:rPr>
          <w:u w:val="single"/>
        </w:rPr>
        <w:t>Scheduled Energy</w:t>
      </w:r>
      <w:r w:rsidRPr="0027789B">
        <w:t>” means, the Energy from a Storage Unit expected to be delivered during each Settlement Interval to the Energy Delivery Point pursuant to (a) the latest Dispatch Notice, or (b) any CAISO instructions during a Put Period, including (i) Supplemental Energy bids or (ii) Ancillary Services exercised</w:t>
      </w:r>
      <w:r w:rsidR="001D4101">
        <w:t xml:space="preserve">. </w:t>
      </w:r>
      <w:r w:rsidRPr="0027789B">
        <w:t>If, in any Settlement Interval, the expected energy normally published by CAISO is unavailable, incomplete, or does not conform to the Operating Restrictions of the Storage Unit, then for settlement purposes for that Settlement Interval only, the Scheduled Energy shall be deemed to be the Delivered Energy</w:t>
      </w:r>
      <w:r w:rsidR="001D4101">
        <w:t xml:space="preserve">. </w:t>
      </w:r>
      <w:r w:rsidRPr="0027789B">
        <w:t>In the case where PMax and Scheduled Energy are greater than the SU Contract Capacity, then for settlement purposes for that Settlement Interval only, the Scheduled Energy shall be deemed to be the SU Contract Capacity.</w:t>
      </w:r>
    </w:p>
    <w:p w14:paraId="257A4674" w14:textId="4CDCE518" w:rsidR="00A01DF3" w:rsidRPr="003B3D2A" w:rsidRDefault="008E65AA" w:rsidP="00561154">
      <w:pPr>
        <w:pStyle w:val="Definition"/>
      </w:pPr>
      <w:r w:rsidRPr="0027789B">
        <w:t>“</w:t>
      </w:r>
      <w:r w:rsidRPr="00561154">
        <w:rPr>
          <w:u w:val="single"/>
        </w:rPr>
        <w:t>Scheduling and Delivery Deviation Administrative Charge</w:t>
      </w:r>
      <w:r w:rsidRPr="00165EAE">
        <w:t xml:space="preserve">” or “SDD Administrative Charge” has the meaning set forth in </w:t>
      </w:r>
      <w:r w:rsidRPr="003B3D2A">
        <w:t xml:space="preserve">Section </w:t>
      </w:r>
      <w:r w:rsidR="003B3D2A" w:rsidRPr="003B3D2A">
        <w:t>3</w:t>
      </w:r>
      <w:r w:rsidRPr="003B3D2A">
        <w:t>.</w:t>
      </w:r>
      <w:r w:rsidR="003B3D2A" w:rsidRPr="003B3D2A">
        <w:t>15</w:t>
      </w:r>
      <w:r w:rsidRPr="003B3D2A">
        <w:t>.</w:t>
      </w:r>
    </w:p>
    <w:p w14:paraId="5EEDA5DB" w14:textId="2FF1891F" w:rsidR="00A01DF3" w:rsidRPr="0027789B" w:rsidRDefault="008E65AA" w:rsidP="00561154">
      <w:pPr>
        <w:pStyle w:val="Definition"/>
      </w:pPr>
      <w:r w:rsidRPr="003B3D2A">
        <w:t>“</w:t>
      </w:r>
      <w:r w:rsidRPr="00561154">
        <w:rPr>
          <w:u w:val="single"/>
        </w:rPr>
        <w:t>Scheduling and Delivery Deviation Charge</w:t>
      </w:r>
      <w:r w:rsidRPr="003B3D2A">
        <w:t>” or “</w:t>
      </w:r>
      <w:r w:rsidRPr="00561154">
        <w:rPr>
          <w:u w:val="single"/>
        </w:rPr>
        <w:t>SDD Charge</w:t>
      </w:r>
      <w:r w:rsidRPr="003B3D2A">
        <w:t xml:space="preserve">” has the meaning set forth in Section </w:t>
      </w:r>
      <w:r w:rsidR="003B3D2A" w:rsidRPr="003B3D2A">
        <w:t>3</w:t>
      </w:r>
      <w:r w:rsidRPr="003B3D2A">
        <w:t>.</w:t>
      </w:r>
      <w:r w:rsidR="003B3D2A" w:rsidRPr="003B3D2A">
        <w:t>15</w:t>
      </w:r>
      <w:r w:rsidRPr="003B3D2A">
        <w:t>.</w:t>
      </w:r>
    </w:p>
    <w:p w14:paraId="5E00BAF8" w14:textId="77777777" w:rsidR="00A01DF3" w:rsidRPr="0027789B" w:rsidRDefault="008E65AA" w:rsidP="00561154">
      <w:pPr>
        <w:pStyle w:val="Definition"/>
      </w:pPr>
      <w:r w:rsidRPr="0027789B">
        <w:t>“</w:t>
      </w:r>
      <w:r w:rsidRPr="00561154">
        <w:rPr>
          <w:u w:val="single"/>
        </w:rPr>
        <w:t>Scheduling Coordinator</w:t>
      </w:r>
      <w:r w:rsidRPr="0027789B">
        <w:t>” or “</w:t>
      </w:r>
      <w:r w:rsidRPr="00561154">
        <w:rPr>
          <w:u w:val="single"/>
        </w:rPr>
        <w:t>SC</w:t>
      </w:r>
      <w:r w:rsidRPr="0027789B">
        <w:t>”</w:t>
      </w:r>
      <w:r w:rsidR="00945DFD" w:rsidRPr="0027789B">
        <w:t xml:space="preserve"> means an entity certified by the CAISO for the purposes of undertaking the functions specified by the CAISO Tariff.</w:t>
      </w:r>
    </w:p>
    <w:p w14:paraId="1811CC53" w14:textId="77777777" w:rsidR="00A01DF3" w:rsidRPr="0027789B" w:rsidRDefault="008E65AA" w:rsidP="00561154">
      <w:pPr>
        <w:pStyle w:val="Definition"/>
      </w:pPr>
      <w:r w:rsidRPr="0027789B">
        <w:t>“</w:t>
      </w:r>
      <w:r w:rsidRPr="00561154">
        <w:rPr>
          <w:u w:val="single"/>
        </w:rPr>
        <w:t>SEC</w:t>
      </w:r>
      <w:r w:rsidRPr="0027789B">
        <w:t>” means the Securities and Exchange Commission.</w:t>
      </w:r>
    </w:p>
    <w:p w14:paraId="7DD84685" w14:textId="12AA405E" w:rsidR="00A01DF3" w:rsidRPr="00165EAE" w:rsidRDefault="008E65AA" w:rsidP="00561154">
      <w:pPr>
        <w:pStyle w:val="Definition"/>
      </w:pPr>
      <w:r w:rsidRPr="0027789B">
        <w:t>“</w:t>
      </w:r>
      <w:r w:rsidRPr="00561154">
        <w:rPr>
          <w:u w:val="single"/>
        </w:rPr>
        <w:t>Security Interest</w:t>
      </w:r>
      <w:r w:rsidRPr="0027789B">
        <w:t xml:space="preserve">” has the meaning </w:t>
      </w:r>
      <w:r w:rsidRPr="00165EAE">
        <w:t xml:space="preserve">set forth </w:t>
      </w:r>
      <w:r w:rsidRPr="008923FE">
        <w:t xml:space="preserve">in Section </w:t>
      </w:r>
      <w:r w:rsidR="009B2ACF">
        <w:t>7</w:t>
      </w:r>
      <w:r w:rsidRPr="008923FE">
        <w:t>.04.</w:t>
      </w:r>
    </w:p>
    <w:p w14:paraId="10802663" w14:textId="4B7544AF" w:rsidR="007B3818" w:rsidRDefault="007B3818" w:rsidP="00561154">
      <w:pPr>
        <w:pStyle w:val="Definition"/>
      </w:pPr>
      <w:r>
        <w:t>“</w:t>
      </w:r>
      <w:r>
        <w:rPr>
          <w:u w:val="single"/>
        </w:rPr>
        <w:t>Self-Schedule</w:t>
      </w:r>
      <w:r>
        <w:t>” has the meaning set forth in the CAISO Tariff.</w:t>
      </w:r>
    </w:p>
    <w:p w14:paraId="1AECA2A6" w14:textId="26ED4EE0" w:rsidR="00DB7E1C" w:rsidRDefault="00DB7E1C" w:rsidP="00561154">
      <w:pPr>
        <w:pStyle w:val="Definition"/>
      </w:pPr>
      <w:r>
        <w:t xml:space="preserve">“Self-Schedule Request” means the notice provided in accordance with Section 8.03(d) and </w:t>
      </w:r>
      <w:r w:rsidR="00367C93">
        <w:t>Exhibit J</w:t>
      </w:r>
      <w:r>
        <w:t xml:space="preserve">. </w:t>
      </w:r>
    </w:p>
    <w:p w14:paraId="6D164942" w14:textId="62AA78E9" w:rsidR="00A01DF3" w:rsidRPr="00165EAE" w:rsidRDefault="008E65AA" w:rsidP="00561154">
      <w:pPr>
        <w:pStyle w:val="Definition"/>
      </w:pPr>
      <w:r w:rsidRPr="00165EAE">
        <w:t>“</w:t>
      </w:r>
      <w:r w:rsidRPr="00561154">
        <w:rPr>
          <w:u w:val="single"/>
        </w:rPr>
        <w:t>Seller</w:t>
      </w:r>
      <w:r w:rsidRPr="00165EAE">
        <w:t>” has the meaning set forth in the preamble.</w:t>
      </w:r>
    </w:p>
    <w:p w14:paraId="0B056D61" w14:textId="49820556" w:rsidR="003704C8" w:rsidRPr="00165EAE" w:rsidRDefault="008E65AA" w:rsidP="00DB7FE0">
      <w:pPr>
        <w:pStyle w:val="Definition"/>
      </w:pPr>
      <w:r w:rsidRPr="00165EAE">
        <w:t>“</w:t>
      </w:r>
      <w:r w:rsidRPr="00165EAE">
        <w:rPr>
          <w:u w:val="single"/>
        </w:rPr>
        <w:t>Seller Initiated Test</w:t>
      </w:r>
      <w:r w:rsidRPr="00165EAE">
        <w:t xml:space="preserve">” </w:t>
      </w:r>
      <w:r w:rsidR="0096331F">
        <w:t xml:space="preserve">means </w:t>
      </w:r>
      <w:r w:rsidR="0096331F" w:rsidRPr="0027789B">
        <w:t>a test during any Settlement Intervals in which Seller has not received a Dispatch Notice or Charging Notice, or such test interferes with any Storage Unit’s ability to meet a Dispatch Notice or Charging Notice, for the Storage Unit(s) being tested</w:t>
      </w:r>
      <w:r w:rsidRPr="002D26FA">
        <w:t>.</w:t>
      </w:r>
      <w:r w:rsidR="0099469E">
        <w:t xml:space="preserve"> </w:t>
      </w:r>
      <w:r w:rsidR="001B6B8F" w:rsidRPr="007178A4">
        <w:t>A Seller Initiated Test shall include all Settlement Intervals in the Self-Schedule Request and any extensions thereto.</w:t>
      </w:r>
      <w:r w:rsidR="001B6B8F" w:rsidRPr="00D36B68">
        <w:t xml:space="preserve"> </w:t>
      </w:r>
      <w:r w:rsidR="0099469E">
        <w:t>A</w:t>
      </w:r>
      <w:r w:rsidR="0099469E" w:rsidRPr="0027789B">
        <w:t>ny test performed before the Initial Delivery Date is a Seller Initiated Test</w:t>
      </w:r>
      <w:r w:rsidR="0099469E">
        <w:t>.</w:t>
      </w:r>
    </w:p>
    <w:p w14:paraId="6A41D437" w14:textId="77777777" w:rsidR="00A01DF3" w:rsidRPr="00165EAE" w:rsidRDefault="008E65AA" w:rsidP="00561154">
      <w:pPr>
        <w:pStyle w:val="Definition"/>
      </w:pPr>
      <w:r w:rsidRPr="00165EAE">
        <w:t>“</w:t>
      </w:r>
      <w:r w:rsidRPr="00165EAE">
        <w:rPr>
          <w:u w:val="single"/>
        </w:rPr>
        <w:t>Settlement Interval</w:t>
      </w:r>
      <w:r w:rsidRPr="00165EAE">
        <w:t xml:space="preserve">” has the meaning set forth in the </w:t>
      </w:r>
      <w:r w:rsidR="000A4EE4" w:rsidRPr="00165EAE">
        <w:t>CAISO Tariff</w:t>
      </w:r>
      <w:r w:rsidRPr="00165EAE">
        <w:t>.</w:t>
      </w:r>
    </w:p>
    <w:p w14:paraId="7A7721BC" w14:textId="0E2A6120" w:rsidR="00A01DF3" w:rsidRPr="0027789B" w:rsidRDefault="008E65AA" w:rsidP="00DB7FE0">
      <w:pPr>
        <w:pStyle w:val="Definition"/>
      </w:pPr>
      <w:r w:rsidRPr="00165EAE">
        <w:t>“</w:t>
      </w:r>
      <w:r w:rsidRPr="00165EAE">
        <w:rPr>
          <w:u w:val="single"/>
        </w:rPr>
        <w:t>Shortfall Capacity</w:t>
      </w:r>
      <w:r w:rsidRPr="00165EAE">
        <w:t xml:space="preserve">” </w:t>
      </w:r>
      <w:r w:rsidR="007B0BB3">
        <w:t>means</w:t>
      </w:r>
      <w:r w:rsidR="007B0BB3" w:rsidRPr="00165EAE">
        <w:t xml:space="preserve"> any portion of the Expected Contract Quantity for any portion of a Showing Month which was shown by SCE in its RA Compliance Showings </w:t>
      </w:r>
      <w:r w:rsidR="007B0BB3">
        <w:t xml:space="preserve">and </w:t>
      </w:r>
      <w:r w:rsidR="0043190D">
        <w:t xml:space="preserve">which </w:t>
      </w:r>
      <w:r w:rsidR="007B0BB3" w:rsidRPr="00165EAE">
        <w:t>requires outage replacement in accord</w:t>
      </w:r>
      <w:r w:rsidR="007B0BB3" w:rsidRPr="00FA3F09">
        <w:t xml:space="preserve">ance with </w:t>
      </w:r>
      <w:r w:rsidR="007B0BB3" w:rsidRPr="00165EAE">
        <w:t>the CAISO Tariff</w:t>
      </w:r>
      <w:r w:rsidRPr="00165EAE">
        <w:t>.</w:t>
      </w:r>
    </w:p>
    <w:p w14:paraId="47562EBE" w14:textId="77777777" w:rsidR="00A01DF3" w:rsidRPr="00484686" w:rsidRDefault="008E65AA" w:rsidP="00DB7FE0">
      <w:pPr>
        <w:pStyle w:val="Definition"/>
      </w:pPr>
      <w:r w:rsidRPr="0027789B">
        <w:lastRenderedPageBreak/>
        <w:t>“</w:t>
      </w:r>
      <w:r w:rsidRPr="00FF157D">
        <w:rPr>
          <w:u w:val="single"/>
        </w:rPr>
        <w:t>Showing Month</w:t>
      </w:r>
      <w:r w:rsidRPr="0027789B">
        <w:t xml:space="preserve">” shall be the calendar month of the Delivery Period that is the subject of the </w:t>
      </w:r>
      <w:r w:rsidR="00945DFD" w:rsidRPr="0027789B">
        <w:t xml:space="preserve">RA </w:t>
      </w:r>
      <w:r w:rsidRPr="0027789B">
        <w:t xml:space="preserve">Compliance Showing, as set forth in the Resource Adequacy Rulings and outlined in the </w:t>
      </w:r>
      <w:r w:rsidR="000A4EE4" w:rsidRPr="0027789B">
        <w:t>CAISO Tariff</w:t>
      </w:r>
      <w:r w:rsidR="001D4101">
        <w:t xml:space="preserve">. </w:t>
      </w:r>
      <w:r w:rsidRPr="0027789B">
        <w:t xml:space="preserve">For illustrative purposes only, pursuant to the </w:t>
      </w:r>
      <w:r w:rsidR="000A4EE4" w:rsidRPr="0027789B">
        <w:t>CAISO Tariff</w:t>
      </w:r>
      <w:r w:rsidRPr="0027789B">
        <w:t xml:space="preserve"> and Resource Adequacy Rulings in </w:t>
      </w:r>
      <w:r w:rsidRPr="00484686">
        <w:t xml:space="preserve">effect as of the Effective Date, the monthly </w:t>
      </w:r>
      <w:r w:rsidR="00945DFD" w:rsidRPr="00484686">
        <w:t xml:space="preserve">RA </w:t>
      </w:r>
      <w:r w:rsidRPr="00484686">
        <w:t xml:space="preserve">Compliance Showing made in June is for the Showing Month of August. </w:t>
      </w:r>
    </w:p>
    <w:p w14:paraId="504C1C31" w14:textId="670CC1AA" w:rsidR="00A01DF3" w:rsidRPr="0027789B" w:rsidRDefault="008E65AA" w:rsidP="00DB7FE0">
      <w:pPr>
        <w:pStyle w:val="Definition"/>
        <w:rPr>
          <w:bCs/>
        </w:rPr>
      </w:pPr>
      <w:r w:rsidRPr="00484686">
        <w:t>“</w:t>
      </w:r>
      <w:r w:rsidRPr="00484686">
        <w:rPr>
          <w:u w:val="single"/>
        </w:rPr>
        <w:t>Site</w:t>
      </w:r>
      <w:r w:rsidRPr="00484686">
        <w:t xml:space="preserve">” </w:t>
      </w:r>
      <w:bookmarkStart w:id="628" w:name="_DV_C3362"/>
      <w:r w:rsidRPr="00484686">
        <w:rPr>
          <w:bCs/>
        </w:rPr>
        <w:t xml:space="preserve">means the real property on which the Project is, or will be located, as further described in </w:t>
      </w:r>
      <w:r w:rsidRPr="00B06EAD">
        <w:rPr>
          <w:bCs/>
        </w:rPr>
        <w:t>Section 1.02(</w:t>
      </w:r>
      <w:r w:rsidR="00976FB2">
        <w:rPr>
          <w:bCs/>
        </w:rPr>
        <w:t>b</w:t>
      </w:r>
      <w:r w:rsidRPr="00B06EAD">
        <w:rPr>
          <w:bCs/>
        </w:rPr>
        <w:t xml:space="preserve">) and </w:t>
      </w:r>
      <w:r w:rsidR="003C07DC" w:rsidRPr="00B06EAD">
        <w:rPr>
          <w:u w:val="single"/>
        </w:rPr>
        <w:t>Exhibit</w:t>
      </w:r>
      <w:r w:rsidRPr="00482B73">
        <w:rPr>
          <w:u w:val="single"/>
        </w:rPr>
        <w:t xml:space="preserve"> </w:t>
      </w:r>
      <w:bookmarkEnd w:id="628"/>
      <w:r w:rsidR="00482B73" w:rsidRPr="00482B73">
        <w:rPr>
          <w:u w:val="single"/>
        </w:rPr>
        <w:t>B</w:t>
      </w:r>
      <w:r w:rsidR="001D4101" w:rsidRPr="00482B73">
        <w:rPr>
          <w:bCs/>
        </w:rPr>
        <w:t xml:space="preserve">. </w:t>
      </w:r>
      <w:r w:rsidRPr="00DB7FE0">
        <w:rPr>
          <w:i/>
          <w:color w:val="0000FF"/>
        </w:rPr>
        <w:t xml:space="preserve">[SCE Comment: may require additional description in addition to </w:t>
      </w:r>
      <w:r w:rsidR="003C07DC" w:rsidRPr="00DB7FE0">
        <w:rPr>
          <w:i/>
          <w:color w:val="0000FF"/>
          <w:u w:val="single"/>
        </w:rPr>
        <w:t>Exhibit</w:t>
      </w:r>
      <w:r w:rsidRPr="00DB7FE0">
        <w:rPr>
          <w:i/>
          <w:color w:val="0000FF"/>
          <w:u w:val="single"/>
        </w:rPr>
        <w:t xml:space="preserve"> </w:t>
      </w:r>
      <w:r w:rsidR="00482B73" w:rsidRPr="00DB7FE0">
        <w:rPr>
          <w:i/>
          <w:color w:val="0000FF"/>
          <w:u w:val="single"/>
        </w:rPr>
        <w:t>B</w:t>
      </w:r>
      <w:r w:rsidRPr="00DB7FE0">
        <w:rPr>
          <w:i/>
          <w:color w:val="0000FF"/>
        </w:rPr>
        <w:t xml:space="preserve"> (e.g., parcel map, legal description]</w:t>
      </w:r>
    </w:p>
    <w:p w14:paraId="12E27698" w14:textId="77777777" w:rsidR="00945DFD" w:rsidRPr="0027789B" w:rsidRDefault="00945DFD" w:rsidP="00FF157D">
      <w:pPr>
        <w:pStyle w:val="BodyText"/>
        <w:spacing w:after="240"/>
      </w:pPr>
      <w:r w:rsidRPr="0027789B">
        <w:t>“</w:t>
      </w:r>
      <w:r w:rsidRPr="00FF157D">
        <w:rPr>
          <w:u w:val="single"/>
        </w:rPr>
        <w:t>Site Control</w:t>
      </w:r>
      <w:r w:rsidRPr="0027789B">
        <w:t>” means that Seller shall:</w:t>
      </w:r>
    </w:p>
    <w:p w14:paraId="14EC6330" w14:textId="77777777" w:rsidR="00945DFD" w:rsidRPr="0027789B" w:rsidRDefault="00945DFD" w:rsidP="00DB7FE0">
      <w:pPr>
        <w:pStyle w:val="Heading3"/>
        <w:numPr>
          <w:ilvl w:val="2"/>
          <w:numId w:val="126"/>
        </w:numPr>
      </w:pPr>
      <w:r w:rsidRPr="0027789B">
        <w:t>Own the Site;</w:t>
      </w:r>
    </w:p>
    <w:p w14:paraId="4BA5E43B" w14:textId="77777777" w:rsidR="00945DFD" w:rsidRPr="0027789B" w:rsidRDefault="00945DFD" w:rsidP="00DB7FE0">
      <w:pPr>
        <w:pStyle w:val="Heading3"/>
      </w:pPr>
      <w:r w:rsidRPr="0027789B">
        <w:t>Be the lessee of the Site under a lease;</w:t>
      </w:r>
    </w:p>
    <w:p w14:paraId="36318353" w14:textId="77777777" w:rsidR="00945DFD" w:rsidRPr="0027789B" w:rsidRDefault="00945DFD" w:rsidP="00DB7FE0">
      <w:pPr>
        <w:pStyle w:val="Heading3"/>
      </w:pPr>
      <w:r w:rsidRPr="0027789B">
        <w:t>Be the holder of a right-of-way grant or similar instrument with respect to the Site; or</w:t>
      </w:r>
    </w:p>
    <w:p w14:paraId="2487E377" w14:textId="77777777" w:rsidR="00945DFD" w:rsidRPr="0027789B" w:rsidRDefault="00945DFD" w:rsidP="00DB7FE0">
      <w:pPr>
        <w:pStyle w:val="Heading3"/>
      </w:pPr>
      <w:r w:rsidRPr="0027789B">
        <w:t xml:space="preserve">Be the managing partner or other person or entity authorized to act in all matters relating to the control and operation of the Site and the Project. </w:t>
      </w:r>
    </w:p>
    <w:p w14:paraId="0C2E1DAE" w14:textId="77777777" w:rsidR="00A01DF3" w:rsidRPr="0027789B" w:rsidRDefault="008E65AA" w:rsidP="00561154">
      <w:pPr>
        <w:pStyle w:val="Definition"/>
      </w:pPr>
      <w:r w:rsidRPr="0027789B">
        <w:t>“</w:t>
      </w:r>
      <w:r w:rsidRPr="00FF157D">
        <w:rPr>
          <w:u w:val="single"/>
        </w:rPr>
        <w:t>Spinning Reserve</w:t>
      </w:r>
      <w:r w:rsidRPr="0027789B">
        <w:t xml:space="preserve">” has the meaning set forth in the </w:t>
      </w:r>
      <w:r w:rsidR="000A4EE4" w:rsidRPr="0027789B">
        <w:t>CAISO Tariff</w:t>
      </w:r>
      <w:r w:rsidRPr="0027789B">
        <w:t>.</w:t>
      </w:r>
    </w:p>
    <w:p w14:paraId="7ACB6740" w14:textId="73738351" w:rsidR="00A01DF3" w:rsidRPr="0027789B" w:rsidRDefault="008E65AA" w:rsidP="00561154">
      <w:pPr>
        <w:pStyle w:val="Definition"/>
      </w:pPr>
      <w:r w:rsidRPr="0027789B">
        <w:t>“</w:t>
      </w:r>
      <w:r w:rsidRPr="00FF157D">
        <w:rPr>
          <w:u w:val="single"/>
        </w:rPr>
        <w:t>Specified RA Replacement Capacity</w:t>
      </w:r>
      <w:r w:rsidRPr="0027789B">
        <w:t xml:space="preserve">” has the meaning set forth in </w:t>
      </w:r>
      <w:r w:rsidR="00852AF9">
        <w:t>Section 6.05(d)</w:t>
      </w:r>
      <w:r w:rsidRPr="0027789B">
        <w:t>.</w:t>
      </w:r>
    </w:p>
    <w:p w14:paraId="6844F33D" w14:textId="3181AABF" w:rsidR="00A01DF3" w:rsidRPr="0027789B" w:rsidRDefault="008E65AA" w:rsidP="00DB7FE0">
      <w:pPr>
        <w:pStyle w:val="Definition"/>
      </w:pPr>
      <w:r w:rsidRPr="0027789B">
        <w:t>“</w:t>
      </w:r>
      <w:r w:rsidRPr="00FF157D">
        <w:rPr>
          <w:u w:val="single"/>
        </w:rPr>
        <w:t>Start-Up</w:t>
      </w:r>
      <w:r w:rsidRPr="0027789B">
        <w:t>” means the action of bringing a Storage Unit from shut down status to synchronization with the grid and the availability of unconditional release of such Storage Unit ready for ramping to the applicable dispatch instruction</w:t>
      </w:r>
      <w:r w:rsidR="001D4101">
        <w:t xml:space="preserve">. </w:t>
      </w:r>
      <w:r w:rsidRPr="0027789B">
        <w:t>During a Put Period, a Start-Up can only result from a Dispatch Notice and is complete once all of the conditions in the preceding sentence are met.</w:t>
      </w:r>
    </w:p>
    <w:p w14:paraId="38346811" w14:textId="77777777" w:rsidR="00A01DF3" w:rsidRPr="0027789B" w:rsidRDefault="008E65AA" w:rsidP="00DB7FE0">
      <w:pPr>
        <w:pStyle w:val="Definition"/>
      </w:pPr>
      <w:r w:rsidRPr="0027789B">
        <w:t>“</w:t>
      </w:r>
      <w:r w:rsidRPr="00FF157D">
        <w:rPr>
          <w:u w:val="single"/>
        </w:rPr>
        <w:t>Station Use</w:t>
      </w:r>
      <w:r w:rsidRPr="0027789B">
        <w:t xml:space="preserve">” means the electrical load of the </w:t>
      </w:r>
      <w:bookmarkStart w:id="629" w:name="_DV_C3397"/>
      <w:r w:rsidRPr="0027789B">
        <w:rPr>
          <w:bCs/>
        </w:rPr>
        <w:t>Project</w:t>
      </w:r>
      <w:bookmarkStart w:id="630" w:name="_DV_M1973"/>
      <w:bookmarkEnd w:id="629"/>
      <w:bookmarkEnd w:id="630"/>
      <w:r w:rsidRPr="0027789B">
        <w:t xml:space="preserve">’s auxiliary </w:t>
      </w:r>
      <w:r w:rsidRPr="00484686">
        <w:t>equipment</w:t>
      </w:r>
      <w:bookmarkStart w:id="631" w:name="_DV_C3399"/>
      <w:r w:rsidRPr="00484686">
        <w:rPr>
          <w:bCs/>
        </w:rPr>
        <w:t xml:space="preserve"> that are necessary for operation of the Storage Unit(s) as set forth in </w:t>
      </w:r>
      <w:r w:rsidRPr="00B06EAD">
        <w:rPr>
          <w:bCs/>
        </w:rPr>
        <w:t>Section 1.02</w:t>
      </w:r>
      <w:bookmarkStart w:id="632" w:name="_DV_M1974"/>
      <w:bookmarkEnd w:id="631"/>
      <w:bookmarkEnd w:id="632"/>
      <w:r w:rsidR="001D4101" w:rsidRPr="00B06EAD">
        <w:rPr>
          <w:bCs/>
        </w:rPr>
        <w:t xml:space="preserve">. </w:t>
      </w:r>
      <w:r w:rsidRPr="00B06EAD">
        <w:t>The auxiliary equipment includes, but is not limited, to forced and induced draft fans, air conditioner</w:t>
      </w:r>
      <w:r w:rsidRPr="0027789B">
        <w:t xml:space="preserve"> systems, cooling towers, plant lighting, and control systems.</w:t>
      </w:r>
    </w:p>
    <w:p w14:paraId="21894EB5" w14:textId="77777777" w:rsidR="00A01DF3" w:rsidRPr="0027789B" w:rsidRDefault="008E65AA" w:rsidP="00DB7FE0">
      <w:pPr>
        <w:pStyle w:val="Definition"/>
      </w:pPr>
      <w:r w:rsidRPr="0027789B">
        <w:t>“</w:t>
      </w:r>
      <w:r w:rsidRPr="00FF157D">
        <w:rPr>
          <w:u w:val="single"/>
        </w:rPr>
        <w:t>Storage Capacity</w:t>
      </w:r>
      <w:r w:rsidRPr="0027789B">
        <w:t>” means the maximum amount of energy that is capable of being stored in a storage device, and shall include, without limitation, any other products that may be developed or evolve from time to time during the Term that relate to the capability of a storage resource to store energy</w:t>
      </w:r>
      <w:r w:rsidR="001D4101">
        <w:t xml:space="preserve">. </w:t>
      </w:r>
    </w:p>
    <w:p w14:paraId="2B9D337F" w14:textId="5585A04D" w:rsidR="00A01DF3" w:rsidRPr="0027789B" w:rsidRDefault="008E65AA" w:rsidP="00561154">
      <w:pPr>
        <w:pStyle w:val="Definition"/>
      </w:pPr>
      <w:r w:rsidRPr="00C600E0">
        <w:t>“</w:t>
      </w:r>
      <w:r w:rsidRPr="00C600E0">
        <w:rPr>
          <w:u w:val="single"/>
        </w:rPr>
        <w:t>Storage Unit</w:t>
      </w:r>
      <w:r w:rsidRPr="00C600E0">
        <w:t>” or “</w:t>
      </w:r>
      <w:r w:rsidRPr="00C600E0">
        <w:rPr>
          <w:u w:val="single"/>
        </w:rPr>
        <w:t>Storage Units</w:t>
      </w:r>
      <w:r w:rsidRPr="00C600E0">
        <w:t xml:space="preserve">” means the storage unit or units specified in </w:t>
      </w:r>
      <w:r w:rsidR="0094561D" w:rsidRPr="00482B73">
        <w:rPr>
          <w:u w:val="single"/>
        </w:rPr>
        <w:t xml:space="preserve">Exhibit </w:t>
      </w:r>
      <w:r w:rsidR="00482B73">
        <w:rPr>
          <w:u w:val="single"/>
        </w:rPr>
        <w:t>B</w:t>
      </w:r>
      <w:r w:rsidRPr="00482B73">
        <w:t>.</w:t>
      </w:r>
      <w:bookmarkStart w:id="633" w:name="_DV_C3028"/>
    </w:p>
    <w:p w14:paraId="48CD5C63" w14:textId="082DACC2" w:rsidR="00A01DF3" w:rsidRPr="0027789B" w:rsidRDefault="008E65AA" w:rsidP="00DB7FE0">
      <w:pPr>
        <w:pStyle w:val="Definition"/>
        <w:rPr>
          <w:bCs/>
        </w:rPr>
      </w:pPr>
      <w:r w:rsidRPr="00484686">
        <w:rPr>
          <w:bCs/>
        </w:rPr>
        <w:lastRenderedPageBreak/>
        <w:t>“</w:t>
      </w:r>
      <w:r w:rsidRPr="00484686">
        <w:rPr>
          <w:u w:val="single"/>
        </w:rPr>
        <w:t>Storage Unit Removal Right</w:t>
      </w:r>
      <w:r w:rsidRPr="00484686">
        <w:rPr>
          <w:bCs/>
        </w:rPr>
        <w:t>” means, with respect to any Storage Unit that i</w:t>
      </w:r>
      <w:r w:rsidRPr="00B022A3">
        <w:rPr>
          <w:bCs/>
        </w:rPr>
        <w:t>s subject to Section</w:t>
      </w:r>
      <w:r w:rsidR="0061725F" w:rsidRPr="00B022A3">
        <w:rPr>
          <w:bCs/>
        </w:rPr>
        <w:t>s</w:t>
      </w:r>
      <w:r w:rsidRPr="00B022A3">
        <w:rPr>
          <w:bCs/>
        </w:rPr>
        <w:t xml:space="preserve"> </w:t>
      </w:r>
      <w:r w:rsidR="00B022A3" w:rsidRPr="00B022A3">
        <w:rPr>
          <w:bCs/>
        </w:rPr>
        <w:t>6</w:t>
      </w:r>
      <w:r w:rsidRPr="00B022A3">
        <w:rPr>
          <w:bCs/>
        </w:rPr>
        <w:t xml:space="preserve">.02(d)(i) or </w:t>
      </w:r>
      <w:r w:rsidR="00B022A3" w:rsidRPr="00B022A3">
        <w:rPr>
          <w:bCs/>
        </w:rPr>
        <w:t>6</w:t>
      </w:r>
      <w:r w:rsidRPr="00B022A3">
        <w:rPr>
          <w:bCs/>
        </w:rPr>
        <w:t>.02(e)(i), SCE’s</w:t>
      </w:r>
      <w:r w:rsidRPr="00484686">
        <w:rPr>
          <w:bCs/>
        </w:rPr>
        <w:t xml:space="preserve"> right to designate such affected Storage Unit(s) for removal from this Agreement</w:t>
      </w:r>
      <w:r w:rsidR="001D4101" w:rsidRPr="00484686">
        <w:rPr>
          <w:bCs/>
        </w:rPr>
        <w:t xml:space="preserve">. </w:t>
      </w:r>
      <w:r w:rsidRPr="00484686">
        <w:rPr>
          <w:bCs/>
        </w:rPr>
        <w:t>Upon Notice of such designation: (</w:t>
      </w:r>
      <w:r w:rsidR="0043190D">
        <w:rPr>
          <w:bCs/>
        </w:rPr>
        <w:t>a</w:t>
      </w:r>
      <w:r w:rsidRPr="00484686">
        <w:rPr>
          <w:bCs/>
        </w:rPr>
        <w:t>) SCE shall have no obligation to</w:t>
      </w:r>
      <w:r w:rsidRPr="0027789B">
        <w:rPr>
          <w:bCs/>
        </w:rPr>
        <w:t xml:space="preserve"> compensate Seller for Product from such Storage Unit(s), (</w:t>
      </w:r>
      <w:r w:rsidR="0043190D">
        <w:rPr>
          <w:bCs/>
        </w:rPr>
        <w:t>b</w:t>
      </w:r>
      <w:r w:rsidRPr="0027789B">
        <w:rPr>
          <w:bCs/>
        </w:rPr>
        <w:t xml:space="preserve">) Contract </w:t>
      </w:r>
      <w:r w:rsidRPr="00482B73">
        <w:rPr>
          <w:bCs/>
        </w:rPr>
        <w:t xml:space="preserve">Capacity and </w:t>
      </w:r>
      <w:r w:rsidR="00D90EDE" w:rsidRPr="00482B73">
        <w:rPr>
          <w:u w:val="single"/>
        </w:rPr>
        <w:t>Exhibits</w:t>
      </w:r>
      <w:r w:rsidRPr="00484686">
        <w:rPr>
          <w:bCs/>
        </w:rPr>
        <w:t xml:space="preserve"> </w:t>
      </w:r>
      <w:r w:rsidR="00367C93">
        <w:rPr>
          <w:bCs/>
          <w:u w:val="single"/>
        </w:rPr>
        <w:t>D</w:t>
      </w:r>
      <w:r w:rsidR="00141930" w:rsidRPr="00484686">
        <w:rPr>
          <w:bCs/>
        </w:rPr>
        <w:t xml:space="preserve">, </w:t>
      </w:r>
      <w:r w:rsidR="00367C93">
        <w:rPr>
          <w:bCs/>
          <w:u w:val="single"/>
        </w:rPr>
        <w:t>E</w:t>
      </w:r>
      <w:r w:rsidRPr="00484686">
        <w:rPr>
          <w:bCs/>
        </w:rPr>
        <w:t xml:space="preserve">, </w:t>
      </w:r>
      <w:r w:rsidR="00367C93">
        <w:rPr>
          <w:bCs/>
          <w:u w:val="single"/>
        </w:rPr>
        <w:t>H</w:t>
      </w:r>
      <w:r w:rsidR="00482B73">
        <w:rPr>
          <w:bCs/>
        </w:rPr>
        <w:t xml:space="preserve">, </w:t>
      </w:r>
      <w:r w:rsidR="00367C93">
        <w:rPr>
          <w:bCs/>
          <w:u w:val="single"/>
        </w:rPr>
        <w:t>I</w:t>
      </w:r>
      <w:r w:rsidRPr="00484686">
        <w:rPr>
          <w:bCs/>
        </w:rPr>
        <w:t>, and any other information specific to such Storage Unit(s), shall automatically be</w:t>
      </w:r>
      <w:r w:rsidRPr="0027789B">
        <w:rPr>
          <w:bCs/>
        </w:rPr>
        <w:t xml:space="preserve"> amended to reflect the removal of such Storage Unit(s), (</w:t>
      </w:r>
      <w:r w:rsidR="0043190D">
        <w:rPr>
          <w:bCs/>
        </w:rPr>
        <w:t>c</w:t>
      </w:r>
      <w:r w:rsidRPr="0027789B">
        <w:rPr>
          <w:bCs/>
        </w:rPr>
        <w:t xml:space="preserve">) Seller shall not be permitted to market, dispatch, store, provide, or convey </w:t>
      </w:r>
      <w:r w:rsidR="009230FA" w:rsidRPr="0027789B">
        <w:t xml:space="preserve">Energy, Capacity, </w:t>
      </w:r>
      <w:r w:rsidR="00FA6A88" w:rsidRPr="0027789B">
        <w:t xml:space="preserve">Capacity Attributes, </w:t>
      </w:r>
      <w:r w:rsidR="009230FA" w:rsidRPr="0027789B">
        <w:t>Ancillary Services, Ancillary Service</w:t>
      </w:r>
      <w:r w:rsidR="007415FA" w:rsidRPr="0027789B">
        <w:t>s</w:t>
      </w:r>
      <w:r w:rsidR="009230FA" w:rsidRPr="0027789B">
        <w:t xml:space="preserve"> Capacity and Resource Adequacy Benefits, or any other benefits associated therewith, associated with the Project under the terms of this Agreement</w:t>
      </w:r>
      <w:r w:rsidRPr="0027789B">
        <w:rPr>
          <w:bCs/>
        </w:rPr>
        <w:t xml:space="preserve"> from such Storage Unit(s) for SCE or any other third party, (</w:t>
      </w:r>
      <w:r w:rsidR="0043190D">
        <w:rPr>
          <w:bCs/>
        </w:rPr>
        <w:t>d</w:t>
      </w:r>
      <w:r w:rsidRPr="0027789B">
        <w:rPr>
          <w:bCs/>
        </w:rPr>
        <w:t xml:space="preserve">) SCE shall calculate, and Seller shall be obligated to pay, a Termination Payment attributable to and associated with the Product from such Storage Unit(s) </w:t>
      </w:r>
      <w:r w:rsidRPr="0027789B">
        <w:t>with SCE being considered the Non-Defaulting Party in all circumstances</w:t>
      </w:r>
      <w:r w:rsidRPr="0027789B">
        <w:rPr>
          <w:bCs/>
        </w:rPr>
        <w:t>, and (</w:t>
      </w:r>
      <w:r w:rsidR="0043190D">
        <w:rPr>
          <w:bCs/>
        </w:rPr>
        <w:t>e</w:t>
      </w:r>
      <w:r w:rsidRPr="0027789B">
        <w:rPr>
          <w:bCs/>
        </w:rPr>
        <w:t>) notwithstanding clause (</w:t>
      </w:r>
      <w:r w:rsidR="0043190D">
        <w:rPr>
          <w:bCs/>
        </w:rPr>
        <w:t>d</w:t>
      </w:r>
      <w:r w:rsidRPr="0027789B">
        <w:rPr>
          <w:bCs/>
        </w:rPr>
        <w:t>), this Agreement will otherwise remain in full force and effect.</w:t>
      </w:r>
      <w:bookmarkEnd w:id="633"/>
    </w:p>
    <w:p w14:paraId="095E2639" w14:textId="77777777" w:rsidR="00BB0106" w:rsidRPr="0027789B" w:rsidRDefault="00BB0106" w:rsidP="00561154">
      <w:pPr>
        <w:pStyle w:val="Definition"/>
      </w:pPr>
      <w:r w:rsidRPr="0027789B">
        <w:t>“</w:t>
      </w:r>
      <w:r w:rsidR="00977C0D" w:rsidRPr="00FF157D">
        <w:rPr>
          <w:u w:val="single"/>
        </w:rPr>
        <w:t>Stored Energy Level</w:t>
      </w:r>
      <w:r w:rsidRPr="0027789B">
        <w:t xml:space="preserve">” </w:t>
      </w:r>
      <w:r w:rsidR="00CF7578" w:rsidRPr="0027789B">
        <w:t>or “</w:t>
      </w:r>
      <w:r w:rsidR="00CF7578" w:rsidRPr="00FF157D">
        <w:rPr>
          <w:u w:val="single"/>
        </w:rPr>
        <w:t>SEL</w:t>
      </w:r>
      <w:r w:rsidR="00CF7578" w:rsidRPr="0027789B">
        <w:t xml:space="preserve">” </w:t>
      </w:r>
      <w:r w:rsidRPr="0027789B">
        <w:t>means</w:t>
      </w:r>
      <w:r w:rsidR="00CA06DC" w:rsidRPr="0027789B">
        <w:t>, at a particular time,</w:t>
      </w:r>
      <w:r w:rsidRPr="0027789B">
        <w:t xml:space="preserve"> the amount of electric energy in a Storage Unit</w:t>
      </w:r>
      <w:r w:rsidR="00665CDE" w:rsidRPr="0027789B">
        <w:t>,</w:t>
      </w:r>
      <w:r w:rsidRPr="0027789B">
        <w:t xml:space="preserve"> expressed </w:t>
      </w:r>
      <w:r w:rsidR="00CA06DC" w:rsidRPr="0027789B">
        <w:t>in MWh</w:t>
      </w:r>
      <w:r w:rsidR="001D4101">
        <w:t xml:space="preserve">. </w:t>
      </w:r>
    </w:p>
    <w:p w14:paraId="7BED0D87" w14:textId="09EDA729" w:rsidR="000E145A" w:rsidRPr="00C600E0" w:rsidRDefault="000E145A" w:rsidP="00DB7FE0">
      <w:pPr>
        <w:pStyle w:val="Definition"/>
      </w:pPr>
      <w:r w:rsidRPr="0027789B">
        <w:t>“</w:t>
      </w:r>
      <w:r w:rsidRPr="00FF157D">
        <w:rPr>
          <w:u w:val="single"/>
        </w:rPr>
        <w:t>Stored Energy Percentage</w:t>
      </w:r>
      <w:r w:rsidRPr="0027789B">
        <w:t>” or “</w:t>
      </w:r>
      <w:r w:rsidRPr="00FF157D">
        <w:rPr>
          <w:u w:val="single"/>
        </w:rPr>
        <w:t>SEP</w:t>
      </w:r>
      <w:r w:rsidRPr="0027789B">
        <w:t xml:space="preserve">” means, at a particular time, the ratio of </w:t>
      </w:r>
      <w:r w:rsidR="0043019B" w:rsidRPr="0027789B">
        <w:t xml:space="preserve">(a) </w:t>
      </w:r>
      <w:r w:rsidRPr="0027789B">
        <w:t xml:space="preserve">the Stored Energy </w:t>
      </w:r>
      <w:r w:rsidRPr="00C600E0">
        <w:t>Level of a Storage Unit</w:t>
      </w:r>
      <w:r w:rsidR="0043019B" w:rsidRPr="00C600E0">
        <w:t xml:space="preserve">, minus the Minimum Storage Level of the Storage Unit specified in </w:t>
      </w:r>
      <w:r w:rsidR="00CF10CD">
        <w:rPr>
          <w:u w:val="single"/>
        </w:rPr>
        <w:t>Exhibit D</w:t>
      </w:r>
      <w:r w:rsidR="0043019B" w:rsidRPr="00482B73">
        <w:t xml:space="preserve"> </w:t>
      </w:r>
      <w:r w:rsidRPr="00482B73">
        <w:t xml:space="preserve">to </w:t>
      </w:r>
      <w:r w:rsidR="0043019B" w:rsidRPr="00482B73">
        <w:t>(b)</w:t>
      </w:r>
      <w:r w:rsidR="0043019B" w:rsidRPr="00C600E0">
        <w:t xml:space="preserve"> </w:t>
      </w:r>
      <w:r w:rsidRPr="00C600E0">
        <w:t>the Maximum Storage Level of the Storage Unit, expressed as a percentage (e.g., 80% Stored Energy Percentage)</w:t>
      </w:r>
      <w:r w:rsidR="001D4101" w:rsidRPr="00C600E0">
        <w:t xml:space="preserve">. </w:t>
      </w:r>
    </w:p>
    <w:p w14:paraId="502CF66B" w14:textId="167EFE55" w:rsidR="00A01DF3" w:rsidRPr="0027789B" w:rsidRDefault="008E65AA" w:rsidP="00561154">
      <w:pPr>
        <w:pStyle w:val="Definition"/>
      </w:pPr>
      <w:r w:rsidRPr="00C600E0">
        <w:t>“</w:t>
      </w:r>
      <w:r w:rsidRPr="00C600E0">
        <w:rPr>
          <w:u w:val="single"/>
        </w:rPr>
        <w:t>SU Contract Capacity</w:t>
      </w:r>
      <w:r w:rsidRPr="00C600E0">
        <w:t xml:space="preserve">” means the Contract Capacity of a single Storage Unit as set forth in </w:t>
      </w:r>
      <w:r w:rsidR="00CF10CD">
        <w:rPr>
          <w:u w:val="single"/>
        </w:rPr>
        <w:t>Exhibit D</w:t>
      </w:r>
      <w:r w:rsidRPr="00482B73">
        <w:t>.</w:t>
      </w:r>
    </w:p>
    <w:p w14:paraId="67F642CE" w14:textId="2B1FF309" w:rsidR="00A01DF3" w:rsidRPr="003B3D2A" w:rsidRDefault="008E65AA" w:rsidP="00561154">
      <w:pPr>
        <w:pStyle w:val="Definition"/>
      </w:pPr>
      <w:r w:rsidRPr="00165EAE">
        <w:t>“</w:t>
      </w:r>
      <w:r w:rsidRPr="00165EAE">
        <w:rPr>
          <w:u w:val="single"/>
        </w:rPr>
        <w:t>Substitution Costs</w:t>
      </w:r>
      <w:r w:rsidRPr="00165EAE">
        <w:t xml:space="preserve">” has the meaning set forth in </w:t>
      </w:r>
      <w:r w:rsidRPr="003B3D2A">
        <w:t xml:space="preserve">Section </w:t>
      </w:r>
      <w:r w:rsidR="003B3D2A" w:rsidRPr="003B3D2A">
        <w:t>6</w:t>
      </w:r>
      <w:r w:rsidRPr="003B3D2A">
        <w:t>.05(</w:t>
      </w:r>
      <w:r w:rsidR="003B3D2A" w:rsidRPr="003B3D2A">
        <w:t>d</w:t>
      </w:r>
      <w:r w:rsidRPr="003B3D2A">
        <w:t>)</w:t>
      </w:r>
      <w:r w:rsidR="003B3D2A" w:rsidRPr="003B3D2A">
        <w:t>(ii)</w:t>
      </w:r>
      <w:r w:rsidRPr="003B3D2A">
        <w:t>.</w:t>
      </w:r>
    </w:p>
    <w:p w14:paraId="6D6DD42A" w14:textId="5163F609" w:rsidR="00A01DF3" w:rsidRPr="0027789B" w:rsidRDefault="008E65AA" w:rsidP="00561154">
      <w:pPr>
        <w:pStyle w:val="Definition"/>
      </w:pPr>
      <w:r w:rsidRPr="003B3D2A">
        <w:t>“</w:t>
      </w:r>
      <w:r w:rsidRPr="003B3D2A">
        <w:rPr>
          <w:u w:val="single"/>
        </w:rPr>
        <w:t>Substitution Rules</w:t>
      </w:r>
      <w:r w:rsidRPr="003B3D2A">
        <w:t xml:space="preserve">” has the meaning set forth in Section </w:t>
      </w:r>
      <w:r w:rsidR="003B3D2A" w:rsidRPr="003B3D2A">
        <w:t>6.05(d)(ii)</w:t>
      </w:r>
      <w:r w:rsidRPr="003B3D2A">
        <w:t>.</w:t>
      </w:r>
    </w:p>
    <w:p w14:paraId="29714EB6" w14:textId="3B2EC5F3" w:rsidR="00A01DF3" w:rsidRPr="00484686" w:rsidRDefault="008E65AA" w:rsidP="00DB7FE0">
      <w:pPr>
        <w:pStyle w:val="Definition"/>
      </w:pPr>
      <w:r w:rsidRPr="0027789B">
        <w:t>“</w:t>
      </w:r>
      <w:r w:rsidRPr="00FF157D">
        <w:rPr>
          <w:u w:val="single"/>
        </w:rPr>
        <w:t>Successful Repair</w:t>
      </w:r>
      <w:r w:rsidRPr="0027789B">
        <w:t xml:space="preserve">” means that, immediately upon completion of the </w:t>
      </w:r>
      <w:r w:rsidRPr="00484686">
        <w:t>repairs to or, if necessary, replacement of a Storage Unit, (</w:t>
      </w:r>
      <w:r w:rsidR="004C03F3">
        <w:t>x</w:t>
      </w:r>
      <w:r w:rsidRPr="00484686">
        <w:t xml:space="preserve">) with respect to any event described </w:t>
      </w:r>
      <w:r w:rsidRPr="00B022A3">
        <w:t xml:space="preserve">in Section </w:t>
      </w:r>
      <w:r w:rsidR="00B022A3" w:rsidRPr="00B022A3">
        <w:t>6</w:t>
      </w:r>
      <w:r w:rsidRPr="00B022A3">
        <w:t>.02(c)(i), Seller conducts an RA Capacity Qualification Test, at Seller’s expense, and obtains a Unit NQC for the applicable Storage Unit equal to or greater than ninety-eight percent (98%) of the SU Contract Capacity for such Storage Unit, and (</w:t>
      </w:r>
      <w:r w:rsidR="004C03F3">
        <w:t>y</w:t>
      </w:r>
      <w:r w:rsidRPr="00B022A3">
        <w:t xml:space="preserve">) with respect to any event described in Sections </w:t>
      </w:r>
      <w:r w:rsidR="00B022A3" w:rsidRPr="00B022A3">
        <w:t>6</w:t>
      </w:r>
      <w:r w:rsidRPr="00B022A3">
        <w:t>.02(c)(ii) or (iii), Seller demonstrates, at Seller’s expense, to SCE’s reasonable satisfaction</w:t>
      </w:r>
      <w:r w:rsidRPr="00484686">
        <w:t xml:space="preserve">, and as applicable, that such Storage Unit has and can: </w:t>
      </w:r>
    </w:p>
    <w:p w14:paraId="7AE574E7" w14:textId="77777777" w:rsidR="00A01DF3" w:rsidRPr="0027789B" w:rsidRDefault="008E65AA" w:rsidP="00DB7FE0">
      <w:pPr>
        <w:pStyle w:val="Heading3"/>
        <w:numPr>
          <w:ilvl w:val="2"/>
          <w:numId w:val="127"/>
        </w:numPr>
      </w:pPr>
      <w:r w:rsidRPr="00484686">
        <w:t>with respect to repairs or a replacement associated with Discharging Capacity, (i) Start-Up and ramp up to and remain at full discharge for two (2) consecutive hours, and (ii) immediately thereafter remain available for dispatch under this Agreement by a quantity equal to or greater than ninety-five percent (95%) of SU</w:t>
      </w:r>
      <w:r w:rsidRPr="0027789B">
        <w:t xml:space="preserve"> Contract Capacity for seven (7) consecutive days</w:t>
      </w:r>
      <w:r w:rsidR="001D4101">
        <w:t xml:space="preserve">. </w:t>
      </w:r>
    </w:p>
    <w:p w14:paraId="4FC2CB7C" w14:textId="77777777" w:rsidR="00A01DF3" w:rsidRPr="0027789B" w:rsidRDefault="008E65AA" w:rsidP="00DB7FE0">
      <w:pPr>
        <w:pStyle w:val="Heading3"/>
      </w:pPr>
      <w:r w:rsidRPr="0027789B">
        <w:lastRenderedPageBreak/>
        <w:t>with respect to repairs or a replacement associated with Charging Capacity, (i) ramp up to and remain at full charge for two (2) consecutive hours, and (ii) immediately thereafter remain available for charging under this Agreement by a quantity equal to or greater than ninety-five percent (95%) of SU Contract Capacity for seven (7) consecutive days</w:t>
      </w:r>
      <w:r w:rsidR="001D4101">
        <w:t xml:space="preserve">. </w:t>
      </w:r>
    </w:p>
    <w:p w14:paraId="7F0540C4" w14:textId="77777777" w:rsidR="00A01DF3" w:rsidRPr="0027789B" w:rsidRDefault="008E65AA" w:rsidP="00DB7FE0">
      <w:pPr>
        <w:pStyle w:val="Heading3"/>
      </w:pPr>
      <w:r w:rsidRPr="0027789B">
        <w:t>with respect to repairs or a replacement associated with Storage Capacity, demonstrate that the Storage Capacity is equal to or greater than ninety-five percent (95%) of the Maximum Storage Level for seven (7) consecutive days</w:t>
      </w:r>
      <w:r w:rsidR="001D4101">
        <w:t xml:space="preserve">. </w:t>
      </w:r>
    </w:p>
    <w:p w14:paraId="07928E8D" w14:textId="0C6CCE87" w:rsidR="00A01DF3" w:rsidRPr="0027789B" w:rsidRDefault="008E65AA" w:rsidP="00DB7FE0">
      <w:pPr>
        <w:pStyle w:val="Definition"/>
      </w:pPr>
      <w:r w:rsidRPr="0027789B">
        <w:t>Only upon the Successful Repair of a Storage Unit during any Put Period will SCE be responsible for Variable O&amp;M Charges</w:t>
      </w:r>
      <w:r w:rsidR="003704C8" w:rsidRPr="0027789B">
        <w:t xml:space="preserve">, </w:t>
      </w:r>
      <w:r w:rsidR="00595834" w:rsidRPr="0027789B">
        <w:t>Variable Asset Replacement</w:t>
      </w:r>
      <w:r w:rsidR="003704C8" w:rsidRPr="0027789B">
        <w:t xml:space="preserve"> Payment</w:t>
      </w:r>
      <w:r w:rsidR="007A521A" w:rsidRPr="0027789B">
        <w:t>s</w:t>
      </w:r>
      <w:r w:rsidRPr="0027789B">
        <w:t xml:space="preserve"> and Charging Energy Costs incurred by such Storage Unit to demonstrate a Successful Repair</w:t>
      </w:r>
      <w:r w:rsidR="001D4101">
        <w:t xml:space="preserve">. </w:t>
      </w:r>
      <w:r w:rsidRPr="0027789B">
        <w:t xml:space="preserve">Until such a Successful Repair is demonstrated, any test of the Storage Unit shall be deemed a Seller Initiated Test and the Storage Unit will be deemed unavailable. </w:t>
      </w:r>
    </w:p>
    <w:p w14:paraId="1C7367B4" w14:textId="77777777" w:rsidR="00A01DF3" w:rsidRPr="0027789B" w:rsidRDefault="008E65AA" w:rsidP="00561154">
      <w:pPr>
        <w:pStyle w:val="Definition"/>
      </w:pPr>
      <w:r w:rsidRPr="0027789B">
        <w:t>“</w:t>
      </w:r>
      <w:r w:rsidRPr="00FF157D">
        <w:rPr>
          <w:u w:val="single"/>
        </w:rPr>
        <w:t>Supplemental Energy</w:t>
      </w:r>
      <w:r w:rsidRPr="0027789B">
        <w:t>” is the Energy from the Project that have uncommitted capacity following finalization of the HASP awards and available to the CAISO during the Real</w:t>
      </w:r>
      <w:r w:rsidR="00C04D77" w:rsidRPr="0027789B">
        <w:t>-</w:t>
      </w:r>
      <w:r w:rsidRPr="0027789B">
        <w:t>Time Market.</w:t>
      </w:r>
    </w:p>
    <w:p w14:paraId="125E2BE0" w14:textId="77777777" w:rsidR="00A01DF3" w:rsidRPr="0027789B" w:rsidRDefault="008E65AA" w:rsidP="00561154">
      <w:pPr>
        <w:pStyle w:val="Definition"/>
      </w:pPr>
      <w:r w:rsidRPr="0027789B">
        <w:t>“</w:t>
      </w:r>
      <w:r w:rsidRPr="00FF157D">
        <w:rPr>
          <w:u w:val="single"/>
        </w:rPr>
        <w:t>Supply Plan</w:t>
      </w:r>
      <w:r w:rsidRPr="0027789B">
        <w:t xml:space="preserve">” has the meaning set forth in the </w:t>
      </w:r>
      <w:r w:rsidR="000A4EE4" w:rsidRPr="0027789B">
        <w:t>CAISO Tariff</w:t>
      </w:r>
      <w:r w:rsidRPr="0027789B">
        <w:t>.</w:t>
      </w:r>
    </w:p>
    <w:p w14:paraId="41C5EECA" w14:textId="12F1AB5E" w:rsidR="00E452D3" w:rsidRPr="0027789B" w:rsidRDefault="00E452D3" w:rsidP="00DB7FE0">
      <w:pPr>
        <w:pStyle w:val="Definition"/>
      </w:pPr>
      <w:r w:rsidRPr="0027789B">
        <w:t>“</w:t>
      </w:r>
      <w:r w:rsidRPr="00FF157D">
        <w:rPr>
          <w:u w:val="single"/>
        </w:rPr>
        <w:t>Tax Credit Percentage</w:t>
      </w:r>
      <w:r w:rsidR="00D700F7" w:rsidRPr="0027789B">
        <w:t xml:space="preserve">” </w:t>
      </w:r>
      <w:r w:rsidR="00D700F7" w:rsidRPr="00C8421F">
        <w:rPr>
          <w:rFonts w:eastAsia="Times New Roman"/>
        </w:rPr>
        <w:t>means</w:t>
      </w:r>
      <w:r w:rsidR="00C8421F" w:rsidRPr="00C8421F">
        <w:t xml:space="preserve"> the tax credit percentage, applicable to property eligible under Federal Tax Credit Legislation for which Seller, as the owner of the Project, is eligible</w:t>
      </w:r>
      <w:r w:rsidRPr="0027789B">
        <w:t>.</w:t>
      </w:r>
    </w:p>
    <w:p w14:paraId="6166A0FC" w14:textId="77777777" w:rsidR="00E452D3" w:rsidRPr="0027789B" w:rsidRDefault="00E452D3" w:rsidP="00DB7FE0">
      <w:pPr>
        <w:pStyle w:val="Definition"/>
      </w:pPr>
      <w:r w:rsidRPr="0027789B">
        <w:t>“</w:t>
      </w:r>
      <w:r w:rsidRPr="00FF157D">
        <w:rPr>
          <w:u w:val="single"/>
        </w:rPr>
        <w:t>Tax Equity Financing</w:t>
      </w:r>
      <w:r w:rsidRPr="0027789B">
        <w:t>” means a transaction or series of transactions involving one or more investors seeking a return that is enhanced by tax credits and/or tax depreciation and generally (i) described in Revenue Procedures 2001-28 (sale-leaseback (with or without “</w:t>
      </w:r>
      <w:r w:rsidRPr="00484686">
        <w:t xml:space="preserve">leverage”)), 2007-65 (flip partnership) or 2014-12 (flip partnership and master tenant partnership) as those revenue procedures are reasonably applied or analogized to a battery storage project transaction (as opposed to a wind farm or rehabilitated real estate) or (ii) contemplated </w:t>
      </w:r>
      <w:r w:rsidRPr="00482B73">
        <w:t>by Section 50(d)(5</w:t>
      </w:r>
      <w:r w:rsidRPr="0027789B">
        <w:t>) of the Internal Revenue Code of 1986, as amended (a pass-through lease).</w:t>
      </w:r>
    </w:p>
    <w:p w14:paraId="393AC913" w14:textId="77777777" w:rsidR="00A01DF3" w:rsidRPr="0027789B" w:rsidRDefault="008E65AA" w:rsidP="00561154">
      <w:pPr>
        <w:pStyle w:val="Definition"/>
      </w:pPr>
      <w:r w:rsidRPr="0027789B">
        <w:t>“</w:t>
      </w:r>
      <w:r w:rsidRPr="00FF157D">
        <w:rPr>
          <w:u w:val="single"/>
        </w:rPr>
        <w:t>Term</w:t>
      </w:r>
      <w:r w:rsidRPr="0027789B">
        <w:t xml:space="preserve">” has the meaning set </w:t>
      </w:r>
      <w:r w:rsidRPr="00165EAE">
        <w:t xml:space="preserve">forth in </w:t>
      </w:r>
      <w:r w:rsidRPr="00B06EAD">
        <w:t>Section 2.01.</w:t>
      </w:r>
    </w:p>
    <w:p w14:paraId="1F40BC77" w14:textId="15940E68" w:rsidR="00A01DF3" w:rsidRPr="0027789B" w:rsidRDefault="008E65AA" w:rsidP="00DB7FE0">
      <w:pPr>
        <w:pStyle w:val="Definition"/>
      </w:pPr>
      <w:r w:rsidRPr="0027789B">
        <w:t>“</w:t>
      </w:r>
      <w:r w:rsidRPr="00FF157D">
        <w:rPr>
          <w:u w:val="single"/>
        </w:rPr>
        <w:t>Termination Payment</w:t>
      </w:r>
      <w:r w:rsidRPr="0027789B">
        <w:t xml:space="preserve">” </w:t>
      </w:r>
      <w:r w:rsidR="00945DFD" w:rsidRPr="0027789B">
        <w:t xml:space="preserve">means the sum of all amounts owed by the Defaulting Party to the Non-Defaulting Party under this Agreement, </w:t>
      </w:r>
      <w:r w:rsidR="0096098E">
        <w:t xml:space="preserve">as calculated under Section 10.03. </w:t>
      </w:r>
    </w:p>
    <w:p w14:paraId="118ADD8D" w14:textId="28E87F13" w:rsidR="00A01DF3" w:rsidRPr="00D01883" w:rsidRDefault="008E65AA" w:rsidP="00561154">
      <w:pPr>
        <w:pStyle w:val="Definition"/>
      </w:pPr>
      <w:r w:rsidRPr="0027789B">
        <w:t>“</w:t>
      </w:r>
      <w:r w:rsidRPr="00FF157D">
        <w:rPr>
          <w:u w:val="single"/>
        </w:rPr>
        <w:t>Test</w:t>
      </w:r>
      <w:r w:rsidRPr="0027789B">
        <w:t xml:space="preserve">” has the meaning </w:t>
      </w:r>
      <w:r w:rsidRPr="00165EAE">
        <w:t xml:space="preserve">set forth in the first </w:t>
      </w:r>
      <w:r w:rsidRPr="00D01883">
        <w:t xml:space="preserve">paragraph of </w:t>
      </w:r>
      <w:r w:rsidR="00CF10CD">
        <w:rPr>
          <w:u w:val="single"/>
        </w:rPr>
        <w:t>Exhibit C</w:t>
      </w:r>
      <w:r w:rsidRPr="00D01883">
        <w:t>.</w:t>
      </w:r>
    </w:p>
    <w:p w14:paraId="1762262B" w14:textId="47A38233" w:rsidR="00A01DF3" w:rsidRDefault="008E65AA" w:rsidP="00561154">
      <w:pPr>
        <w:pStyle w:val="Definition"/>
      </w:pPr>
      <w:r w:rsidRPr="00D01883">
        <w:t>“</w:t>
      </w:r>
      <w:r w:rsidRPr="00D01883">
        <w:rPr>
          <w:u w:val="single"/>
        </w:rPr>
        <w:t>Test Plan</w:t>
      </w:r>
      <w:r w:rsidRPr="00D01883">
        <w:t xml:space="preserve">” has the meaning set forth in </w:t>
      </w:r>
      <w:r w:rsidR="00CF10CD">
        <w:rPr>
          <w:u w:val="single"/>
        </w:rPr>
        <w:t>Exhibit C</w:t>
      </w:r>
      <w:r w:rsidRPr="00D01883">
        <w:t xml:space="preserve">, </w:t>
      </w:r>
      <w:r w:rsidR="00E1565A" w:rsidRPr="00D01883">
        <w:t xml:space="preserve">Part </w:t>
      </w:r>
      <w:r w:rsidRPr="00D01883">
        <w:t>V</w:t>
      </w:r>
      <w:r w:rsidR="001D4101" w:rsidRPr="00D01883">
        <w:t xml:space="preserve">. </w:t>
      </w:r>
    </w:p>
    <w:p w14:paraId="6F10240B" w14:textId="47C68312" w:rsidR="0096098E" w:rsidRPr="00D01883" w:rsidRDefault="0096098E" w:rsidP="00561154">
      <w:pPr>
        <w:pStyle w:val="Definition"/>
      </w:pPr>
      <w:r>
        <w:t>“</w:t>
      </w:r>
      <w:r w:rsidRPr="008B3C43">
        <w:rPr>
          <w:u w:val="single"/>
        </w:rPr>
        <w:t>Third Party Sale</w:t>
      </w:r>
      <w:r>
        <w:t>” has the meaning set forth in Section 2.03.</w:t>
      </w:r>
    </w:p>
    <w:p w14:paraId="766CC30F" w14:textId="6EC45507" w:rsidR="004603AF" w:rsidRPr="0027789B" w:rsidRDefault="004603AF" w:rsidP="00561154">
      <w:pPr>
        <w:pStyle w:val="Definition"/>
      </w:pPr>
      <w:r w:rsidRPr="00D01883">
        <w:lastRenderedPageBreak/>
        <w:t>“</w:t>
      </w:r>
      <w:r w:rsidRPr="00D01883">
        <w:rPr>
          <w:u w:val="single"/>
        </w:rPr>
        <w:t>Tier Level</w:t>
      </w:r>
      <w:r w:rsidRPr="00D01883">
        <w:t xml:space="preserve">” has the meaning set forth in </w:t>
      </w:r>
      <w:r w:rsidR="00CF10CD">
        <w:rPr>
          <w:u w:val="single"/>
        </w:rPr>
        <w:t>Exhibit G</w:t>
      </w:r>
      <w:r w:rsidRPr="00D01883">
        <w:t>.</w:t>
      </w:r>
    </w:p>
    <w:p w14:paraId="45840F02" w14:textId="77777777" w:rsidR="00A01DF3" w:rsidRPr="0027789B" w:rsidRDefault="008E65AA" w:rsidP="00561154">
      <w:pPr>
        <w:pStyle w:val="Definition"/>
      </w:pPr>
      <w:r w:rsidRPr="0027789B">
        <w:t>“</w:t>
      </w:r>
      <w:r w:rsidRPr="00FF157D">
        <w:rPr>
          <w:u w:val="single"/>
        </w:rPr>
        <w:t>Trading Day</w:t>
      </w:r>
      <w:r w:rsidRPr="0027789B">
        <w:t>” means the day in which Day</w:t>
      </w:r>
      <w:r w:rsidR="00C04D77" w:rsidRPr="0027789B">
        <w:t>-</w:t>
      </w:r>
      <w:r w:rsidRPr="0027789B">
        <w:t>Ahead trading occurs in accordance with the WECC Prescheduling Calendar.</w:t>
      </w:r>
    </w:p>
    <w:p w14:paraId="7640A39A" w14:textId="486CC682" w:rsidR="00A01DF3" w:rsidRPr="0027789B" w:rsidRDefault="008E65AA" w:rsidP="00561154">
      <w:pPr>
        <w:pStyle w:val="Definition"/>
      </w:pPr>
      <w:r w:rsidRPr="0027789B">
        <w:t>“</w:t>
      </w:r>
      <w:r w:rsidRPr="00FF157D">
        <w:rPr>
          <w:u w:val="single"/>
        </w:rPr>
        <w:t>Trading Hour</w:t>
      </w:r>
      <w:r w:rsidRPr="0027789B">
        <w:t xml:space="preserve">” has the meaning set forth in </w:t>
      </w:r>
      <w:r w:rsidR="00FF2329">
        <w:t>Section 3.11(c)</w:t>
      </w:r>
      <w:r w:rsidRPr="0027789B">
        <w:t>.</w:t>
      </w:r>
    </w:p>
    <w:p w14:paraId="28D15005" w14:textId="77777777" w:rsidR="007013D1" w:rsidRPr="0027789B" w:rsidRDefault="007013D1" w:rsidP="00561154">
      <w:pPr>
        <w:pStyle w:val="Definition"/>
      </w:pPr>
      <w:r w:rsidRPr="0027789B">
        <w:t>“</w:t>
      </w:r>
      <w:r w:rsidRPr="00FF157D">
        <w:rPr>
          <w:u w:val="single"/>
        </w:rPr>
        <w:t>Transmission Provider</w:t>
      </w:r>
      <w:r w:rsidRPr="0027789B">
        <w:t>” means any entity or entities responsible for the interconnection of the Project with a Control Area or transmitting the Energy on behalf of Seller from the Project to the Interconnection Point.</w:t>
      </w:r>
    </w:p>
    <w:p w14:paraId="00F79A13" w14:textId="77777777" w:rsidR="00A01DF3" w:rsidRPr="0027789B" w:rsidRDefault="008E65AA" w:rsidP="00561154">
      <w:pPr>
        <w:pStyle w:val="Definition"/>
      </w:pPr>
      <w:r w:rsidRPr="0027789B">
        <w:t>“</w:t>
      </w:r>
      <w:r w:rsidRPr="00FF157D">
        <w:rPr>
          <w:u w:val="single"/>
        </w:rPr>
        <w:t>UDP Implementation</w:t>
      </w:r>
      <w:r w:rsidRPr="0027789B">
        <w:t>” means the date that UDP will be applied to each SC by the CAISO.</w:t>
      </w:r>
    </w:p>
    <w:p w14:paraId="35DE7E9B" w14:textId="77777777" w:rsidR="00A01DF3" w:rsidRPr="0027789B" w:rsidRDefault="008E65AA" w:rsidP="00561154">
      <w:pPr>
        <w:pStyle w:val="Definition"/>
      </w:pPr>
      <w:r w:rsidRPr="0027789B">
        <w:t>“</w:t>
      </w:r>
      <w:r w:rsidRPr="00FF157D">
        <w:rPr>
          <w:u w:val="single"/>
        </w:rPr>
        <w:t>Uninstructed Deviation Penalty</w:t>
      </w:r>
      <w:r w:rsidRPr="0027789B">
        <w:t>” or “</w:t>
      </w:r>
      <w:r w:rsidRPr="00FF157D">
        <w:rPr>
          <w:u w:val="single"/>
        </w:rPr>
        <w:t>UDP</w:t>
      </w:r>
      <w:r w:rsidRPr="0027789B">
        <w:t xml:space="preserve">” has the meaning set forth in the </w:t>
      </w:r>
      <w:r w:rsidR="000A4EE4" w:rsidRPr="0027789B">
        <w:t>CAISO Tariff</w:t>
      </w:r>
      <w:r w:rsidRPr="0027789B">
        <w:t>.</w:t>
      </w:r>
    </w:p>
    <w:p w14:paraId="33ABC086" w14:textId="10084850" w:rsidR="00A01DF3" w:rsidRPr="0027789B" w:rsidRDefault="008E65AA" w:rsidP="00DB7FE0">
      <w:pPr>
        <w:pStyle w:val="Definition"/>
      </w:pPr>
      <w:r w:rsidRPr="0027789B">
        <w:t>“</w:t>
      </w:r>
      <w:r w:rsidRPr="00FF157D">
        <w:rPr>
          <w:u w:val="single"/>
        </w:rPr>
        <w:t>Uninstructed Imbalance Energy</w:t>
      </w:r>
      <w:r w:rsidRPr="0027789B">
        <w:t xml:space="preserve">”, or any successor term, has the meaning set forth in the </w:t>
      </w:r>
      <w:r w:rsidR="000A4EE4" w:rsidRPr="0027789B">
        <w:t>CAISO Tariff</w:t>
      </w:r>
      <w:r w:rsidR="001D4101">
        <w:t xml:space="preserve">. </w:t>
      </w:r>
      <w:r w:rsidRPr="0027789B">
        <w:t xml:space="preserve">To the extent this </w:t>
      </w:r>
      <w:r w:rsidR="000A4EE4" w:rsidRPr="0027789B">
        <w:t>CAISO Tariff</w:t>
      </w:r>
      <w:r w:rsidRPr="0027789B">
        <w:t xml:space="preserve"> definition refers to or is applicable to a generation resource, such definition shall apply to the Storage Unit(s) as if the Storage Unit(s) are generation resources; provided, it shall only apply to the Storage Unit(s)’ ability to discharge</w:t>
      </w:r>
      <w:r w:rsidR="004C03F3">
        <w:t>.</w:t>
      </w:r>
    </w:p>
    <w:p w14:paraId="5F05AD2B" w14:textId="77777777" w:rsidR="00A01DF3" w:rsidRPr="0027789B" w:rsidRDefault="008E65AA" w:rsidP="00DB7FE0">
      <w:pPr>
        <w:pStyle w:val="Definition"/>
      </w:pPr>
      <w:r w:rsidRPr="0027789B">
        <w:t>“</w:t>
      </w:r>
      <w:r w:rsidRPr="00FF157D">
        <w:rPr>
          <w:u w:val="single"/>
        </w:rPr>
        <w:t>Unit EFC</w:t>
      </w:r>
      <w:r w:rsidRPr="0027789B">
        <w:t xml:space="preserve">” means the effective flexible capacity (in MWs) of the applicable Storage Unit pursuant to the counting conventions set forth in the Resource Adequacy Rulings and </w:t>
      </w:r>
      <w:r w:rsidR="00B767F2" w:rsidRPr="0027789B">
        <w:t xml:space="preserve">the </w:t>
      </w:r>
      <w:r w:rsidR="000A4EE4" w:rsidRPr="0027789B">
        <w:t>CAISO Tariff</w:t>
      </w:r>
      <w:r w:rsidRPr="0027789B">
        <w:t>, which such flexible capacity may be used to satisfy Flexible RAR</w:t>
      </w:r>
      <w:r w:rsidR="001D4101">
        <w:t xml:space="preserve">. </w:t>
      </w:r>
    </w:p>
    <w:p w14:paraId="77D13850" w14:textId="77777777" w:rsidR="004603AF" w:rsidRPr="0027789B" w:rsidRDefault="008E65AA" w:rsidP="00561154">
      <w:pPr>
        <w:pStyle w:val="Definition"/>
      </w:pPr>
      <w:r w:rsidRPr="0027789B">
        <w:t>“</w:t>
      </w:r>
      <w:r w:rsidRPr="00FF157D">
        <w:rPr>
          <w:u w:val="single"/>
        </w:rPr>
        <w:t>Unit NQC</w:t>
      </w:r>
      <w:r w:rsidRPr="0027789B">
        <w:t>” means the Net Qualifying Capacity set by the CAISO for the applicable Storage Unit.</w:t>
      </w:r>
    </w:p>
    <w:p w14:paraId="79E2E89F" w14:textId="58AEE442" w:rsidR="00595834" w:rsidRPr="004726AE" w:rsidRDefault="00B168E4" w:rsidP="00561154">
      <w:pPr>
        <w:pStyle w:val="Definition"/>
      </w:pPr>
      <w:r w:rsidRPr="004726AE">
        <w:t>“</w:t>
      </w:r>
      <w:r w:rsidR="00595834" w:rsidRPr="004726AE">
        <w:rPr>
          <w:u w:val="single"/>
        </w:rPr>
        <w:t>Variable Asset Replacement Charge</w:t>
      </w:r>
      <w:r w:rsidR="00595834" w:rsidRPr="004726AE">
        <w:t>”</w:t>
      </w:r>
      <w:r w:rsidR="003D2498">
        <w:t xml:space="preserve"> or “</w:t>
      </w:r>
      <w:r w:rsidR="003D2498" w:rsidRPr="00DB7FE0">
        <w:rPr>
          <w:u w:val="single"/>
        </w:rPr>
        <w:t>VARC</w:t>
      </w:r>
      <w:r w:rsidR="003D2498">
        <w:t>”</w:t>
      </w:r>
      <w:r w:rsidR="00595834" w:rsidRPr="004726AE">
        <w:t xml:space="preserve"> means the applicable rate ($/[MW]) for a Storage Unit as specified in </w:t>
      </w:r>
      <w:r w:rsidR="00CF10CD">
        <w:rPr>
          <w:u w:val="single"/>
        </w:rPr>
        <w:t>Exhibit G</w:t>
      </w:r>
      <w:r w:rsidR="00595834" w:rsidRPr="004726AE">
        <w:t>.</w:t>
      </w:r>
    </w:p>
    <w:p w14:paraId="11030783" w14:textId="2D499592" w:rsidR="00036F5A" w:rsidRPr="0027789B" w:rsidRDefault="00595834" w:rsidP="00561154">
      <w:pPr>
        <w:pStyle w:val="Definition"/>
      </w:pPr>
      <w:r w:rsidRPr="004726AE">
        <w:t>“</w:t>
      </w:r>
      <w:r w:rsidRPr="004726AE">
        <w:rPr>
          <w:u w:val="single"/>
        </w:rPr>
        <w:t>Variable Asset Replacement Payment</w:t>
      </w:r>
      <w:r w:rsidRPr="004726AE">
        <w:t xml:space="preserve">” has the meaning set forth in Section </w:t>
      </w:r>
      <w:r w:rsidR="004726AE" w:rsidRPr="004726AE">
        <w:t>3.14</w:t>
      </w:r>
      <w:r w:rsidRPr="00165EAE">
        <w:t>.</w:t>
      </w:r>
    </w:p>
    <w:p w14:paraId="3C43E7DC" w14:textId="2D641922" w:rsidR="00A01DF3" w:rsidRPr="0027789B" w:rsidRDefault="008E65AA" w:rsidP="00DB7FE0">
      <w:pPr>
        <w:pStyle w:val="Definition"/>
      </w:pPr>
      <w:r w:rsidRPr="0027789B">
        <w:t>“</w:t>
      </w:r>
      <w:r w:rsidRPr="00FF157D">
        <w:rPr>
          <w:u w:val="single"/>
        </w:rPr>
        <w:t>Variable O&amp;M Charge</w:t>
      </w:r>
      <w:r w:rsidRPr="0027789B">
        <w:t xml:space="preserve">” means the applicable rate ($/MWh) for a Storage Unit as specified in </w:t>
      </w:r>
      <w:r w:rsidR="00CF10CD">
        <w:rPr>
          <w:u w:val="single"/>
        </w:rPr>
        <w:t>Exhibit G</w:t>
      </w:r>
      <w:r w:rsidRPr="00D01883">
        <w:t>.</w:t>
      </w:r>
    </w:p>
    <w:p w14:paraId="1422B067" w14:textId="701A478D" w:rsidR="00A01DF3" w:rsidRDefault="008E65AA" w:rsidP="00561154">
      <w:pPr>
        <w:pStyle w:val="Definition"/>
      </w:pPr>
      <w:r w:rsidRPr="00165EAE">
        <w:t>“</w:t>
      </w:r>
      <w:r w:rsidRPr="00165EAE">
        <w:rPr>
          <w:u w:val="single"/>
        </w:rPr>
        <w:t>Variable O&amp;M Payment</w:t>
      </w:r>
      <w:r w:rsidRPr="00165EAE">
        <w:t xml:space="preserve">” has the meaning set forth </w:t>
      </w:r>
      <w:r w:rsidRPr="00B022A3">
        <w:t xml:space="preserve">in Section </w:t>
      </w:r>
      <w:r w:rsidR="00B022A3" w:rsidRPr="00B022A3">
        <w:t>3.08</w:t>
      </w:r>
      <w:r w:rsidRPr="00B022A3">
        <w:t>.</w:t>
      </w:r>
    </w:p>
    <w:p w14:paraId="6AFE07EE" w14:textId="0C3E7F0A" w:rsidR="00A17835" w:rsidRPr="0027789B" w:rsidRDefault="00A17835" w:rsidP="00561154">
      <w:pPr>
        <w:pStyle w:val="Definition"/>
      </w:pPr>
      <w:r>
        <w:t>“</w:t>
      </w:r>
      <w:r w:rsidRPr="008B3C43">
        <w:rPr>
          <w:u w:val="single"/>
        </w:rPr>
        <w:t>Web Client</w:t>
      </w:r>
      <w:r>
        <w:t>” means a web-based system approved by SCE.</w:t>
      </w:r>
    </w:p>
    <w:p w14:paraId="4BD26182" w14:textId="35C7B180" w:rsidR="00A01DF3" w:rsidRPr="0027789B" w:rsidRDefault="008E65AA" w:rsidP="00DB7FE0">
      <w:pPr>
        <w:pStyle w:val="Definition"/>
      </w:pPr>
      <w:r w:rsidRPr="0027789B">
        <w:t>“</w:t>
      </w:r>
      <w:r w:rsidRPr="00FF157D">
        <w:rPr>
          <w:u w:val="single"/>
        </w:rPr>
        <w:t>WECC</w:t>
      </w:r>
      <w:r w:rsidRPr="0027789B">
        <w:t>” means the Western Electricity Coordinating Council.</w:t>
      </w:r>
    </w:p>
    <w:p w14:paraId="60F38BB2" w14:textId="7F1A1653" w:rsidR="00A01DF3" w:rsidRPr="0027789B" w:rsidRDefault="008E65AA" w:rsidP="00DB7FE0">
      <w:pPr>
        <w:pStyle w:val="Definition"/>
      </w:pPr>
      <w:r w:rsidRPr="0027789B">
        <w:t>“</w:t>
      </w:r>
      <w:r w:rsidRPr="00FF157D">
        <w:rPr>
          <w:u w:val="single"/>
        </w:rPr>
        <w:t>WECC Prescheduling Calendar</w:t>
      </w:r>
      <w:r w:rsidRPr="0027789B">
        <w:t xml:space="preserve">” has the meaning used on the WECC website at </w:t>
      </w:r>
      <w:hyperlink r:id="rId25" w:history="1">
        <w:r w:rsidRPr="0027789B">
          <w:t>http://www.wecc.biz</w:t>
        </w:r>
      </w:hyperlink>
      <w:r w:rsidRPr="0027789B">
        <w:t>.</w:t>
      </w:r>
    </w:p>
    <w:p w14:paraId="7A4312D6" w14:textId="77777777" w:rsidR="00A01DF3" w:rsidRPr="0027789B" w:rsidRDefault="00A01DF3" w:rsidP="00FF157D">
      <w:pPr>
        <w:rPr>
          <w:szCs w:val="20"/>
        </w:rPr>
      </w:pPr>
    </w:p>
    <w:p w14:paraId="22794A0A" w14:textId="3366CBDB" w:rsidR="006B1090" w:rsidRDefault="006B1090" w:rsidP="006B1090">
      <w:pPr>
        <w:spacing w:before="100" w:after="100"/>
        <w:jc w:val="center"/>
        <w:rPr>
          <w:u w:val="single"/>
        </w:rPr>
      </w:pPr>
      <w:r>
        <w:rPr>
          <w:i/>
          <w:iCs/>
        </w:rPr>
        <w:t>*** End of EXHIBIT A ***</w:t>
      </w:r>
    </w:p>
    <w:p w14:paraId="221A3601" w14:textId="77777777" w:rsidR="006B1090" w:rsidRDefault="006B1090" w:rsidP="006B1090"/>
    <w:p w14:paraId="7A36A083" w14:textId="77777777" w:rsidR="00A01DF3" w:rsidRDefault="00A01DF3" w:rsidP="00FF157D">
      <w:pPr>
        <w:rPr>
          <w:szCs w:val="20"/>
        </w:rPr>
      </w:pPr>
    </w:p>
    <w:p w14:paraId="09D8EA1D" w14:textId="77777777" w:rsidR="006B1090" w:rsidRPr="0027789B" w:rsidRDefault="006B1090" w:rsidP="00FF157D">
      <w:pPr>
        <w:rPr>
          <w:szCs w:val="20"/>
        </w:rPr>
        <w:sectPr w:rsidR="006B1090" w:rsidRPr="0027789B">
          <w:headerReference w:type="default" r:id="rId26"/>
          <w:footerReference w:type="default" r:id="rId27"/>
          <w:pgSz w:w="12240" w:h="15840"/>
          <w:pgMar w:top="1440" w:right="1440" w:bottom="1440" w:left="1440" w:header="720" w:footer="720" w:gutter="0"/>
          <w:pgNumType w:start="1"/>
          <w:cols w:space="720"/>
          <w:docGrid w:linePitch="360"/>
        </w:sectPr>
      </w:pPr>
    </w:p>
    <w:p w14:paraId="6F2B717C" w14:textId="77777777" w:rsidR="006B1090" w:rsidRPr="0027789B" w:rsidRDefault="006B1090" w:rsidP="006B1090">
      <w:pPr>
        <w:spacing w:after="0"/>
        <w:jc w:val="center"/>
        <w:rPr>
          <w:b/>
        </w:rPr>
      </w:pPr>
      <w:bookmarkStart w:id="634" w:name="_Toc364783627"/>
      <w:bookmarkStart w:id="635" w:name="_Toc366241182"/>
      <w:bookmarkStart w:id="636" w:name="_Toc366249615"/>
      <w:r w:rsidRPr="0027789B">
        <w:rPr>
          <w:b/>
        </w:rPr>
        <w:lastRenderedPageBreak/>
        <w:t xml:space="preserve">EXHIBIT </w:t>
      </w:r>
      <w:r>
        <w:rPr>
          <w:b/>
        </w:rPr>
        <w:t>B</w:t>
      </w:r>
    </w:p>
    <w:p w14:paraId="70AD87CC" w14:textId="39548D11" w:rsidR="006B1090" w:rsidRPr="0027789B" w:rsidRDefault="006B1090" w:rsidP="006B1090">
      <w:pPr>
        <w:spacing w:after="0"/>
        <w:jc w:val="center"/>
        <w:rPr>
          <w:b/>
        </w:rPr>
      </w:pPr>
      <w:r>
        <w:rPr>
          <w:b/>
        </w:rPr>
        <w:t>PROJECT DESCRIPTION</w:t>
      </w:r>
    </w:p>
    <w:p w14:paraId="4C3F9C1D" w14:textId="77777777" w:rsidR="006B1090" w:rsidRDefault="006B1090" w:rsidP="006B1090">
      <w:pPr>
        <w:jc w:val="center"/>
        <w:rPr>
          <w:b/>
        </w:rPr>
      </w:pPr>
    </w:p>
    <w:p w14:paraId="3F54D9E1" w14:textId="77777777" w:rsidR="006B1090" w:rsidRPr="00E335BC" w:rsidRDefault="006B1090" w:rsidP="006B1090">
      <w:r w:rsidRPr="00E335BC">
        <w:t>PART I.</w:t>
      </w:r>
      <w:r w:rsidRPr="00E335BC">
        <w:tab/>
      </w:r>
      <w:r w:rsidRPr="007778A4">
        <w:t>DESCRIPTION OF STORAGE UNIT(S)</w:t>
      </w:r>
      <w:r w:rsidRPr="00E335BC">
        <w:t>.</w:t>
      </w:r>
    </w:p>
    <w:tbl>
      <w:tblPr>
        <w:tblStyle w:val="TableGrid"/>
        <w:tblW w:w="0" w:type="auto"/>
        <w:tblInd w:w="113" w:type="dxa"/>
        <w:tblLook w:val="04A0" w:firstRow="1" w:lastRow="0" w:firstColumn="1" w:lastColumn="0" w:noHBand="0" w:noVBand="1"/>
      </w:tblPr>
      <w:tblGrid>
        <w:gridCol w:w="4623"/>
        <w:gridCol w:w="4614"/>
      </w:tblGrid>
      <w:tr w:rsidR="006B1090" w:rsidRPr="0027789B" w14:paraId="63CDC74F" w14:textId="77777777" w:rsidTr="00CB0170">
        <w:tc>
          <w:tcPr>
            <w:tcW w:w="4623" w:type="dxa"/>
          </w:tcPr>
          <w:p w14:paraId="3537624F" w14:textId="77777777" w:rsidR="006B1090" w:rsidRPr="0027789B" w:rsidRDefault="006B1090" w:rsidP="00D5646C">
            <w:pPr>
              <w:spacing w:after="0"/>
              <w:ind w:left="224"/>
              <w:rPr>
                <w:bCs/>
                <w:color w:val="000000" w:themeColor="text1"/>
              </w:rPr>
            </w:pPr>
            <w:r w:rsidRPr="0027789B">
              <w:rPr>
                <w:color w:val="000000" w:themeColor="text1"/>
              </w:rPr>
              <w:t>Project Name</w:t>
            </w:r>
          </w:p>
        </w:tc>
        <w:tc>
          <w:tcPr>
            <w:tcW w:w="4614" w:type="dxa"/>
          </w:tcPr>
          <w:p w14:paraId="28C334D0" w14:textId="77777777" w:rsidR="006B1090" w:rsidRPr="0027789B" w:rsidRDefault="006B1090" w:rsidP="00D5646C">
            <w:pPr>
              <w:spacing w:after="0"/>
              <w:ind w:left="101"/>
              <w:rPr>
                <w:bCs/>
                <w:color w:val="000000" w:themeColor="text1"/>
              </w:rPr>
            </w:pPr>
          </w:p>
        </w:tc>
      </w:tr>
      <w:tr w:rsidR="006B1090" w:rsidRPr="0027789B" w:rsidDel="00C855E8" w14:paraId="7ECDB65A" w14:textId="77777777" w:rsidTr="00CB0170">
        <w:tc>
          <w:tcPr>
            <w:tcW w:w="4623" w:type="dxa"/>
          </w:tcPr>
          <w:p w14:paraId="686400EE" w14:textId="77777777" w:rsidR="006B1090" w:rsidRPr="0027789B" w:rsidDel="00C855E8" w:rsidRDefault="006B1090" w:rsidP="00D5646C">
            <w:pPr>
              <w:spacing w:after="0"/>
              <w:ind w:left="224"/>
              <w:rPr>
                <w:color w:val="000000" w:themeColor="text1"/>
              </w:rPr>
            </w:pPr>
            <w:r w:rsidRPr="0027789B">
              <w:rPr>
                <w:color w:val="000000" w:themeColor="text1"/>
              </w:rPr>
              <w:t>Storage Unit(s)</w:t>
            </w:r>
          </w:p>
        </w:tc>
        <w:tc>
          <w:tcPr>
            <w:tcW w:w="4614" w:type="dxa"/>
          </w:tcPr>
          <w:p w14:paraId="5F84A57E" w14:textId="77777777" w:rsidR="006B1090" w:rsidRPr="0027789B" w:rsidDel="00C855E8" w:rsidRDefault="006B1090" w:rsidP="00D5646C">
            <w:pPr>
              <w:spacing w:after="0"/>
              <w:ind w:left="101"/>
              <w:rPr>
                <w:bCs/>
                <w:color w:val="000000" w:themeColor="text1"/>
              </w:rPr>
            </w:pPr>
          </w:p>
        </w:tc>
      </w:tr>
      <w:tr w:rsidR="006B1090" w:rsidRPr="0027789B" w14:paraId="4D33FD07" w14:textId="77777777" w:rsidTr="00CB0170">
        <w:tc>
          <w:tcPr>
            <w:tcW w:w="4623" w:type="dxa"/>
          </w:tcPr>
          <w:p w14:paraId="34D983E5" w14:textId="77777777" w:rsidR="006B1090" w:rsidRPr="0027789B" w:rsidRDefault="006B1090" w:rsidP="00D5646C">
            <w:pPr>
              <w:spacing w:after="0"/>
              <w:ind w:left="224"/>
              <w:rPr>
                <w:bCs/>
                <w:color w:val="000000" w:themeColor="text1"/>
              </w:rPr>
            </w:pPr>
            <w:r w:rsidRPr="0027789B">
              <w:rPr>
                <w:color w:val="000000" w:themeColor="text1"/>
              </w:rPr>
              <w:t>Predicted Capacity</w:t>
            </w:r>
          </w:p>
        </w:tc>
        <w:tc>
          <w:tcPr>
            <w:tcW w:w="4614" w:type="dxa"/>
          </w:tcPr>
          <w:p w14:paraId="17A5C2EF" w14:textId="77777777" w:rsidR="006B1090" w:rsidRPr="0027789B" w:rsidRDefault="006B1090" w:rsidP="00D5646C">
            <w:pPr>
              <w:spacing w:after="0"/>
              <w:ind w:left="101"/>
              <w:rPr>
                <w:bCs/>
                <w:color w:val="000000" w:themeColor="text1"/>
              </w:rPr>
            </w:pPr>
          </w:p>
        </w:tc>
      </w:tr>
      <w:tr w:rsidR="006B1090" w:rsidRPr="0027789B" w14:paraId="744307A7" w14:textId="77777777" w:rsidTr="00CB0170">
        <w:tc>
          <w:tcPr>
            <w:tcW w:w="4623" w:type="dxa"/>
          </w:tcPr>
          <w:p w14:paraId="5E7EC3D7" w14:textId="77777777" w:rsidR="006B1090" w:rsidRPr="0027789B" w:rsidRDefault="006B1090" w:rsidP="00D5646C">
            <w:pPr>
              <w:spacing w:after="0"/>
              <w:ind w:left="224"/>
              <w:rPr>
                <w:bCs/>
                <w:color w:val="000000" w:themeColor="text1"/>
              </w:rPr>
            </w:pPr>
            <w:r w:rsidRPr="0027789B">
              <w:rPr>
                <w:color w:val="000000" w:themeColor="text1"/>
              </w:rPr>
              <w:t>Predicted SU Capacity</w:t>
            </w:r>
          </w:p>
        </w:tc>
        <w:tc>
          <w:tcPr>
            <w:tcW w:w="4614" w:type="dxa"/>
          </w:tcPr>
          <w:p w14:paraId="402C0831" w14:textId="77777777" w:rsidR="006B1090" w:rsidRPr="0027789B" w:rsidRDefault="006B1090" w:rsidP="00D5646C">
            <w:pPr>
              <w:spacing w:after="0"/>
              <w:ind w:left="101"/>
              <w:rPr>
                <w:bCs/>
                <w:color w:val="000000" w:themeColor="text1"/>
              </w:rPr>
            </w:pPr>
          </w:p>
        </w:tc>
      </w:tr>
      <w:tr w:rsidR="006B1090" w:rsidRPr="0027789B" w14:paraId="422B6AE2" w14:textId="77777777" w:rsidTr="00CB0170">
        <w:tc>
          <w:tcPr>
            <w:tcW w:w="4623" w:type="dxa"/>
          </w:tcPr>
          <w:p w14:paraId="4A89994A" w14:textId="77777777" w:rsidR="006B1090" w:rsidRPr="0027789B" w:rsidRDefault="006B1090" w:rsidP="00D5646C">
            <w:pPr>
              <w:spacing w:after="0"/>
              <w:ind w:left="224"/>
              <w:rPr>
                <w:bCs/>
                <w:color w:val="000000" w:themeColor="text1"/>
              </w:rPr>
            </w:pPr>
            <w:r w:rsidRPr="0027789B">
              <w:rPr>
                <w:color w:val="000000" w:themeColor="text1"/>
              </w:rPr>
              <w:t>Predicted SU Flexible Capacity</w:t>
            </w:r>
          </w:p>
        </w:tc>
        <w:tc>
          <w:tcPr>
            <w:tcW w:w="4614" w:type="dxa"/>
          </w:tcPr>
          <w:p w14:paraId="1BCA7D08" w14:textId="77777777" w:rsidR="006B1090" w:rsidRPr="0027789B" w:rsidRDefault="006B1090" w:rsidP="00D5646C">
            <w:pPr>
              <w:spacing w:after="0"/>
              <w:ind w:left="101"/>
              <w:rPr>
                <w:bCs/>
                <w:color w:val="000000" w:themeColor="text1"/>
              </w:rPr>
            </w:pPr>
          </w:p>
        </w:tc>
      </w:tr>
      <w:tr w:rsidR="006B1090" w:rsidRPr="0027789B" w14:paraId="373752EE" w14:textId="77777777" w:rsidTr="00CB0170">
        <w:tc>
          <w:tcPr>
            <w:tcW w:w="4623" w:type="dxa"/>
          </w:tcPr>
          <w:p w14:paraId="16B024D0" w14:textId="77777777" w:rsidR="006B1090" w:rsidRPr="0027789B" w:rsidRDefault="006B1090" w:rsidP="00D5646C">
            <w:pPr>
              <w:spacing w:after="0"/>
              <w:ind w:left="224"/>
              <w:rPr>
                <w:bCs/>
                <w:color w:val="000000" w:themeColor="text1"/>
              </w:rPr>
            </w:pPr>
            <w:r w:rsidRPr="0027789B">
              <w:rPr>
                <w:bCs/>
                <w:color w:val="000000" w:themeColor="text1"/>
              </w:rPr>
              <w:t>Site Address</w:t>
            </w:r>
          </w:p>
        </w:tc>
        <w:tc>
          <w:tcPr>
            <w:tcW w:w="4614" w:type="dxa"/>
          </w:tcPr>
          <w:p w14:paraId="7E8108B0" w14:textId="77777777" w:rsidR="006B1090" w:rsidRPr="0027789B" w:rsidRDefault="006B1090" w:rsidP="00D5646C">
            <w:pPr>
              <w:spacing w:after="0"/>
              <w:ind w:left="101"/>
              <w:rPr>
                <w:color w:val="000000" w:themeColor="text1"/>
              </w:rPr>
            </w:pPr>
            <w:r w:rsidRPr="0027789B">
              <w:rPr>
                <w:bCs/>
                <w:color w:val="000000" w:themeColor="text1"/>
              </w:rPr>
              <w:t xml:space="preserve"> </w:t>
            </w:r>
            <w:r w:rsidRPr="0027789B">
              <w:rPr>
                <w:color w:val="000000" w:themeColor="text1"/>
              </w:rPr>
              <w:t>[ # Street Name, City, CA, zip code]</w:t>
            </w:r>
          </w:p>
        </w:tc>
      </w:tr>
      <w:tr w:rsidR="006B1090" w:rsidRPr="0027789B" w14:paraId="097D4B65" w14:textId="77777777" w:rsidTr="00CB0170">
        <w:tc>
          <w:tcPr>
            <w:tcW w:w="4623" w:type="dxa"/>
          </w:tcPr>
          <w:p w14:paraId="60754C33" w14:textId="77777777" w:rsidR="006B1090" w:rsidRPr="0027789B" w:rsidRDefault="006B1090" w:rsidP="00D5646C">
            <w:pPr>
              <w:spacing w:after="0"/>
              <w:ind w:left="224"/>
              <w:rPr>
                <w:bCs/>
                <w:color w:val="000000" w:themeColor="text1"/>
              </w:rPr>
            </w:pPr>
            <w:r w:rsidRPr="0027789B">
              <w:rPr>
                <w:bCs/>
                <w:color w:val="000000" w:themeColor="text1"/>
              </w:rPr>
              <w:t>Existing Zone</w:t>
            </w:r>
          </w:p>
        </w:tc>
        <w:tc>
          <w:tcPr>
            <w:tcW w:w="4614" w:type="dxa"/>
          </w:tcPr>
          <w:p w14:paraId="0EF93545" w14:textId="14491588" w:rsidR="006B1090" w:rsidRPr="0027789B" w:rsidRDefault="006B1090" w:rsidP="00D5646C">
            <w:pPr>
              <w:spacing w:after="0"/>
              <w:ind w:left="101"/>
              <w:rPr>
                <w:color w:val="000000" w:themeColor="text1"/>
              </w:rPr>
            </w:pPr>
            <w:r w:rsidRPr="0027789B">
              <w:rPr>
                <w:bCs/>
                <w:color w:val="000000" w:themeColor="text1"/>
              </w:rPr>
              <w:t xml:space="preserve"> [SP15</w:t>
            </w:r>
            <w:r w:rsidRPr="0027789B">
              <w:rPr>
                <w:color w:val="000000" w:themeColor="text1"/>
              </w:rPr>
              <w:t>]</w:t>
            </w:r>
          </w:p>
        </w:tc>
      </w:tr>
      <w:tr w:rsidR="006B1090" w:rsidRPr="0027789B" w14:paraId="299CACE9" w14:textId="77777777" w:rsidTr="00CB0170">
        <w:tc>
          <w:tcPr>
            <w:tcW w:w="4623" w:type="dxa"/>
          </w:tcPr>
          <w:p w14:paraId="26C2256E" w14:textId="77777777" w:rsidR="006B1090" w:rsidRPr="0027789B" w:rsidRDefault="006B1090" w:rsidP="00D5646C">
            <w:pPr>
              <w:spacing w:after="0"/>
              <w:ind w:left="224"/>
              <w:rPr>
                <w:bCs/>
                <w:color w:val="000000" w:themeColor="text1"/>
              </w:rPr>
            </w:pPr>
            <w:r w:rsidRPr="0027789B">
              <w:rPr>
                <w:bCs/>
                <w:color w:val="000000" w:themeColor="text1"/>
              </w:rPr>
              <w:t>Storage Unit Technology</w:t>
            </w:r>
          </w:p>
        </w:tc>
        <w:tc>
          <w:tcPr>
            <w:tcW w:w="4614" w:type="dxa"/>
          </w:tcPr>
          <w:p w14:paraId="0122A83C" w14:textId="77777777" w:rsidR="006B1090" w:rsidRPr="0027789B" w:rsidRDefault="006B1090" w:rsidP="00D5646C">
            <w:pPr>
              <w:spacing w:after="0"/>
              <w:ind w:left="101"/>
              <w:rPr>
                <w:bCs/>
                <w:color w:val="000000" w:themeColor="text1"/>
              </w:rPr>
            </w:pPr>
            <w:r w:rsidRPr="0027789B">
              <w:rPr>
                <w:bCs/>
                <w:color w:val="000000" w:themeColor="text1"/>
              </w:rPr>
              <w:t xml:space="preserve"> </w:t>
            </w:r>
          </w:p>
        </w:tc>
      </w:tr>
      <w:tr w:rsidR="006B1090" w:rsidRPr="0027789B" w14:paraId="753714B2" w14:textId="77777777" w:rsidTr="00CB0170">
        <w:tc>
          <w:tcPr>
            <w:tcW w:w="4623" w:type="dxa"/>
          </w:tcPr>
          <w:p w14:paraId="7AA23970" w14:textId="77777777" w:rsidR="006B1090" w:rsidRPr="0027789B" w:rsidRDefault="006B1090" w:rsidP="00D5646C">
            <w:pPr>
              <w:spacing w:after="0"/>
              <w:ind w:left="224"/>
              <w:rPr>
                <w:bCs/>
                <w:color w:val="000000" w:themeColor="text1"/>
              </w:rPr>
            </w:pPr>
            <w:r w:rsidRPr="0027789B">
              <w:rPr>
                <w:bCs/>
                <w:color w:val="000000" w:themeColor="text1"/>
              </w:rPr>
              <w:t>Primary Storage Fuel Type</w:t>
            </w:r>
          </w:p>
        </w:tc>
        <w:tc>
          <w:tcPr>
            <w:tcW w:w="4614" w:type="dxa"/>
          </w:tcPr>
          <w:p w14:paraId="3C827E61" w14:textId="77777777" w:rsidR="006B1090" w:rsidRPr="0027789B" w:rsidRDefault="006B1090" w:rsidP="00D5646C">
            <w:pPr>
              <w:spacing w:after="0"/>
              <w:ind w:left="101"/>
              <w:rPr>
                <w:color w:val="000000" w:themeColor="text1"/>
              </w:rPr>
            </w:pPr>
            <w:r w:rsidRPr="0027789B">
              <w:rPr>
                <w:bCs/>
                <w:color w:val="000000" w:themeColor="text1"/>
              </w:rPr>
              <w:t xml:space="preserve"> </w:t>
            </w:r>
            <w:r w:rsidRPr="0027789B">
              <w:rPr>
                <w:color w:val="000000" w:themeColor="text1"/>
              </w:rPr>
              <w:t>Electricity</w:t>
            </w:r>
          </w:p>
        </w:tc>
      </w:tr>
      <w:tr w:rsidR="006B1090" w:rsidRPr="0027789B" w14:paraId="02C53195" w14:textId="77777777" w:rsidTr="00CB0170">
        <w:tc>
          <w:tcPr>
            <w:tcW w:w="4623" w:type="dxa"/>
          </w:tcPr>
          <w:p w14:paraId="5D21D91D" w14:textId="77777777" w:rsidR="006B1090" w:rsidRPr="0027789B" w:rsidRDefault="006B1090" w:rsidP="00D5646C">
            <w:pPr>
              <w:spacing w:after="0"/>
              <w:ind w:left="224"/>
              <w:rPr>
                <w:bCs/>
                <w:color w:val="000000" w:themeColor="text1"/>
              </w:rPr>
            </w:pPr>
            <w:r w:rsidRPr="0027789B">
              <w:rPr>
                <w:bCs/>
                <w:color w:val="000000" w:themeColor="text1"/>
              </w:rPr>
              <w:t>Configuration</w:t>
            </w:r>
          </w:p>
        </w:tc>
        <w:tc>
          <w:tcPr>
            <w:tcW w:w="4614" w:type="dxa"/>
          </w:tcPr>
          <w:p w14:paraId="76930F77" w14:textId="77777777" w:rsidR="006B1090" w:rsidRPr="0027789B" w:rsidRDefault="006B1090" w:rsidP="00D5646C">
            <w:pPr>
              <w:spacing w:after="0"/>
              <w:ind w:left="101"/>
              <w:rPr>
                <w:color w:val="000000" w:themeColor="text1"/>
              </w:rPr>
            </w:pPr>
          </w:p>
        </w:tc>
      </w:tr>
      <w:tr w:rsidR="006B1090" w:rsidRPr="0027789B" w14:paraId="5ABCBAB5" w14:textId="77777777" w:rsidTr="00CB0170">
        <w:tc>
          <w:tcPr>
            <w:tcW w:w="4623" w:type="dxa"/>
          </w:tcPr>
          <w:p w14:paraId="620BE397" w14:textId="77777777" w:rsidR="006B1090" w:rsidRPr="0027789B" w:rsidRDefault="006B1090" w:rsidP="00D5646C">
            <w:pPr>
              <w:spacing w:after="0"/>
              <w:ind w:left="224"/>
              <w:rPr>
                <w:bCs/>
                <w:color w:val="000000" w:themeColor="text1"/>
              </w:rPr>
            </w:pPr>
            <w:r w:rsidRPr="0027789B">
              <w:rPr>
                <w:bCs/>
                <w:color w:val="000000" w:themeColor="text1"/>
              </w:rPr>
              <w:t>Rated Power Capacity (MW)</w:t>
            </w:r>
          </w:p>
        </w:tc>
        <w:tc>
          <w:tcPr>
            <w:tcW w:w="4614" w:type="dxa"/>
          </w:tcPr>
          <w:p w14:paraId="7D26F61D" w14:textId="77777777" w:rsidR="006B1090" w:rsidRPr="0027789B" w:rsidRDefault="006B1090" w:rsidP="00D5646C">
            <w:pPr>
              <w:spacing w:after="0"/>
              <w:ind w:left="101"/>
              <w:rPr>
                <w:color w:val="000000" w:themeColor="text1"/>
              </w:rPr>
            </w:pPr>
            <w:r w:rsidRPr="0027789B">
              <w:rPr>
                <w:color w:val="000000" w:themeColor="text1"/>
              </w:rPr>
              <w:t> </w:t>
            </w:r>
          </w:p>
        </w:tc>
      </w:tr>
      <w:tr w:rsidR="006B1090" w:rsidRPr="0027789B" w14:paraId="3334100A" w14:textId="77777777" w:rsidTr="00CB0170">
        <w:tc>
          <w:tcPr>
            <w:tcW w:w="4623" w:type="dxa"/>
          </w:tcPr>
          <w:p w14:paraId="15539B7B" w14:textId="77777777" w:rsidR="006B1090" w:rsidRPr="0027789B" w:rsidRDefault="006B1090" w:rsidP="00D5646C">
            <w:pPr>
              <w:spacing w:after="0"/>
              <w:ind w:left="224"/>
              <w:rPr>
                <w:bCs/>
                <w:color w:val="000000" w:themeColor="text1"/>
              </w:rPr>
            </w:pPr>
            <w:r w:rsidRPr="0027789B">
              <w:rPr>
                <w:bCs/>
                <w:color w:val="000000" w:themeColor="text1"/>
              </w:rPr>
              <w:t>Inverter Limit (MW)</w:t>
            </w:r>
          </w:p>
        </w:tc>
        <w:tc>
          <w:tcPr>
            <w:tcW w:w="4614" w:type="dxa"/>
          </w:tcPr>
          <w:p w14:paraId="43807C79" w14:textId="77777777" w:rsidR="006B1090" w:rsidRPr="0027789B" w:rsidRDefault="006B1090" w:rsidP="00D5646C">
            <w:pPr>
              <w:spacing w:after="0"/>
              <w:ind w:left="101"/>
              <w:rPr>
                <w:color w:val="000000" w:themeColor="text1"/>
              </w:rPr>
            </w:pPr>
          </w:p>
        </w:tc>
      </w:tr>
      <w:tr w:rsidR="006B1090" w:rsidRPr="0027789B" w14:paraId="643738F6" w14:textId="77777777" w:rsidTr="00CB0170">
        <w:tc>
          <w:tcPr>
            <w:tcW w:w="4623" w:type="dxa"/>
          </w:tcPr>
          <w:p w14:paraId="6F58208E" w14:textId="77777777" w:rsidR="006B1090" w:rsidRPr="0027789B" w:rsidRDefault="006B1090" w:rsidP="00D5646C">
            <w:pPr>
              <w:spacing w:after="0"/>
              <w:ind w:left="224"/>
              <w:rPr>
                <w:bCs/>
                <w:color w:val="000000" w:themeColor="text1"/>
              </w:rPr>
            </w:pPr>
            <w:r w:rsidRPr="0027789B">
              <w:rPr>
                <w:bCs/>
                <w:color w:val="000000" w:themeColor="text1"/>
              </w:rPr>
              <w:t>CAISO Resource ID</w:t>
            </w:r>
          </w:p>
        </w:tc>
        <w:tc>
          <w:tcPr>
            <w:tcW w:w="4614" w:type="dxa"/>
          </w:tcPr>
          <w:p w14:paraId="22E5C805" w14:textId="77777777" w:rsidR="006B1090" w:rsidRPr="0027789B" w:rsidRDefault="006B1090" w:rsidP="00D5646C">
            <w:pPr>
              <w:spacing w:after="0"/>
              <w:ind w:left="101"/>
              <w:rPr>
                <w:color w:val="000000" w:themeColor="text1"/>
              </w:rPr>
            </w:pPr>
            <w:r w:rsidRPr="0027789B">
              <w:rPr>
                <w:color w:val="000000" w:themeColor="text1"/>
              </w:rPr>
              <w:t>TBD</w:t>
            </w:r>
          </w:p>
        </w:tc>
      </w:tr>
      <w:tr w:rsidR="006B1090" w:rsidRPr="0027789B" w14:paraId="75706C5C" w14:textId="77777777" w:rsidTr="00CB0170">
        <w:tc>
          <w:tcPr>
            <w:tcW w:w="4623" w:type="dxa"/>
          </w:tcPr>
          <w:p w14:paraId="35912AB5" w14:textId="77777777" w:rsidR="006B1090" w:rsidRPr="0027789B" w:rsidRDefault="006B1090" w:rsidP="00D5646C">
            <w:pPr>
              <w:spacing w:after="0"/>
              <w:ind w:left="224"/>
              <w:rPr>
                <w:bCs/>
                <w:color w:val="000000" w:themeColor="text1"/>
              </w:rPr>
            </w:pPr>
            <w:r w:rsidRPr="0027789B">
              <w:rPr>
                <w:bCs/>
                <w:color w:val="000000" w:themeColor="text1"/>
              </w:rPr>
              <w:t>Air Pollution Control District</w:t>
            </w:r>
          </w:p>
        </w:tc>
        <w:tc>
          <w:tcPr>
            <w:tcW w:w="4614" w:type="dxa"/>
          </w:tcPr>
          <w:p w14:paraId="1D202677" w14:textId="77777777" w:rsidR="006B1090" w:rsidRPr="0027789B" w:rsidRDefault="006B1090" w:rsidP="00D5646C">
            <w:pPr>
              <w:spacing w:after="0"/>
              <w:ind w:left="101"/>
              <w:rPr>
                <w:color w:val="000000" w:themeColor="text1"/>
              </w:rPr>
            </w:pPr>
            <w:r w:rsidRPr="0027789B">
              <w:rPr>
                <w:color w:val="000000" w:themeColor="text1"/>
              </w:rPr>
              <w:t>[e.g., SCAQMD]</w:t>
            </w:r>
          </w:p>
        </w:tc>
      </w:tr>
      <w:tr w:rsidR="006B1090" w:rsidRPr="0027789B" w14:paraId="1174BFAF" w14:textId="77777777" w:rsidTr="00CB0170">
        <w:tc>
          <w:tcPr>
            <w:tcW w:w="4623" w:type="dxa"/>
          </w:tcPr>
          <w:p w14:paraId="74F9EA0C" w14:textId="77777777" w:rsidR="006B1090" w:rsidRPr="0027789B" w:rsidRDefault="006B1090" w:rsidP="00D5646C">
            <w:pPr>
              <w:spacing w:after="0"/>
              <w:ind w:left="224"/>
              <w:rPr>
                <w:bCs/>
                <w:color w:val="000000" w:themeColor="text1"/>
              </w:rPr>
            </w:pPr>
            <w:r w:rsidRPr="0027789B">
              <w:rPr>
                <w:bCs/>
                <w:color w:val="000000" w:themeColor="text1"/>
              </w:rPr>
              <w:t>California Air Resources Board ID #</w:t>
            </w:r>
          </w:p>
        </w:tc>
        <w:tc>
          <w:tcPr>
            <w:tcW w:w="4614" w:type="dxa"/>
          </w:tcPr>
          <w:p w14:paraId="3294CC77" w14:textId="77777777" w:rsidR="006B1090" w:rsidRPr="0027789B" w:rsidRDefault="006B1090" w:rsidP="00D5646C">
            <w:pPr>
              <w:spacing w:after="0"/>
              <w:ind w:left="101"/>
              <w:rPr>
                <w:color w:val="000000" w:themeColor="text1"/>
              </w:rPr>
            </w:pPr>
            <w:r w:rsidRPr="0027789B">
              <w:rPr>
                <w:color w:val="000000" w:themeColor="text1"/>
              </w:rPr>
              <w:t>TBD</w:t>
            </w:r>
          </w:p>
        </w:tc>
      </w:tr>
      <w:tr w:rsidR="006B1090" w:rsidRPr="0027789B" w14:paraId="2EA1A422" w14:textId="77777777" w:rsidTr="00CB0170">
        <w:tc>
          <w:tcPr>
            <w:tcW w:w="4623" w:type="dxa"/>
          </w:tcPr>
          <w:p w14:paraId="46EA56DE" w14:textId="77777777" w:rsidR="006B1090" w:rsidRPr="0027789B" w:rsidRDefault="006B1090" w:rsidP="00D5646C">
            <w:pPr>
              <w:spacing w:after="0"/>
              <w:ind w:left="224"/>
              <w:rPr>
                <w:bCs/>
                <w:color w:val="000000" w:themeColor="text1"/>
              </w:rPr>
            </w:pPr>
            <w:r w:rsidRPr="0027789B">
              <w:rPr>
                <w:bCs/>
                <w:color w:val="000000" w:themeColor="text1"/>
              </w:rPr>
              <w:t>Resource Category for RA Counting</w:t>
            </w:r>
          </w:p>
        </w:tc>
        <w:tc>
          <w:tcPr>
            <w:tcW w:w="4614" w:type="dxa"/>
          </w:tcPr>
          <w:p w14:paraId="271368A1" w14:textId="77777777" w:rsidR="006B1090" w:rsidRPr="0027789B" w:rsidRDefault="006B1090" w:rsidP="00D5646C">
            <w:pPr>
              <w:spacing w:after="0"/>
              <w:ind w:left="101"/>
              <w:rPr>
                <w:color w:val="000000" w:themeColor="text1"/>
              </w:rPr>
            </w:pPr>
            <w:r w:rsidRPr="0027789B">
              <w:rPr>
                <w:color w:val="000000" w:themeColor="text1"/>
              </w:rPr>
              <w:t>4</w:t>
            </w:r>
          </w:p>
        </w:tc>
      </w:tr>
      <w:tr w:rsidR="006B1090" w:rsidRPr="0027789B" w14:paraId="09416588" w14:textId="77777777" w:rsidTr="00CB0170">
        <w:tc>
          <w:tcPr>
            <w:tcW w:w="4623" w:type="dxa"/>
          </w:tcPr>
          <w:p w14:paraId="0A22764F" w14:textId="77777777" w:rsidR="006B1090" w:rsidRPr="0027789B" w:rsidRDefault="006B1090" w:rsidP="00D5646C">
            <w:pPr>
              <w:spacing w:after="0"/>
              <w:ind w:left="224"/>
              <w:rPr>
                <w:bCs/>
                <w:color w:val="000000" w:themeColor="text1"/>
              </w:rPr>
            </w:pPr>
            <w:r w:rsidRPr="0027789B">
              <w:rPr>
                <w:bCs/>
                <w:color w:val="000000" w:themeColor="text1"/>
              </w:rPr>
              <w:t>Local area reliability region</w:t>
            </w:r>
          </w:p>
        </w:tc>
        <w:tc>
          <w:tcPr>
            <w:tcW w:w="4614" w:type="dxa"/>
          </w:tcPr>
          <w:p w14:paraId="672172E3" w14:textId="77777777" w:rsidR="006B1090" w:rsidRPr="0027789B" w:rsidRDefault="006B1090" w:rsidP="00D5646C">
            <w:pPr>
              <w:spacing w:after="0"/>
              <w:ind w:left="101"/>
              <w:rPr>
                <w:color w:val="000000" w:themeColor="text1"/>
              </w:rPr>
            </w:pPr>
            <w:r w:rsidRPr="0027789B">
              <w:rPr>
                <w:color w:val="000000" w:themeColor="text1"/>
              </w:rPr>
              <w:t>[e.g., Western LA Basin]</w:t>
            </w:r>
          </w:p>
        </w:tc>
      </w:tr>
      <w:tr w:rsidR="006B1090" w:rsidRPr="0027789B" w14:paraId="4B7CC434" w14:textId="77777777" w:rsidTr="00CB0170">
        <w:tc>
          <w:tcPr>
            <w:tcW w:w="4623" w:type="dxa"/>
          </w:tcPr>
          <w:p w14:paraId="2CE0B792" w14:textId="77777777" w:rsidR="006B1090" w:rsidRPr="0027789B" w:rsidRDefault="006B1090" w:rsidP="00D5646C">
            <w:pPr>
              <w:spacing w:after="0"/>
              <w:ind w:left="224"/>
              <w:rPr>
                <w:bCs/>
                <w:color w:val="000000" w:themeColor="text1"/>
              </w:rPr>
            </w:pPr>
            <w:r w:rsidRPr="0027789B">
              <w:rPr>
                <w:bCs/>
                <w:color w:val="000000" w:themeColor="text1"/>
              </w:rPr>
              <w:t>Deliverability restrictions</w:t>
            </w:r>
          </w:p>
        </w:tc>
        <w:tc>
          <w:tcPr>
            <w:tcW w:w="4614" w:type="dxa"/>
          </w:tcPr>
          <w:p w14:paraId="43EF397A" w14:textId="77777777" w:rsidR="006B1090" w:rsidRPr="0027789B" w:rsidRDefault="006B1090" w:rsidP="00D5646C">
            <w:pPr>
              <w:spacing w:after="0"/>
              <w:ind w:left="101"/>
              <w:rPr>
                <w:color w:val="000000" w:themeColor="text1"/>
              </w:rPr>
            </w:pPr>
            <w:r w:rsidRPr="0027789B">
              <w:rPr>
                <w:bCs/>
                <w:color w:val="000000" w:themeColor="text1"/>
              </w:rPr>
              <w:t xml:space="preserve"> </w:t>
            </w:r>
            <w:r w:rsidRPr="0027789B">
              <w:rPr>
                <w:color w:val="000000" w:themeColor="text1"/>
              </w:rPr>
              <w:t>None </w:t>
            </w:r>
          </w:p>
        </w:tc>
      </w:tr>
      <w:tr w:rsidR="006B1090" w:rsidRPr="0027789B" w14:paraId="5815341A" w14:textId="77777777" w:rsidTr="00CB0170">
        <w:tc>
          <w:tcPr>
            <w:tcW w:w="4623" w:type="dxa"/>
          </w:tcPr>
          <w:p w14:paraId="0C7FD24A" w14:textId="77777777" w:rsidR="006B1090" w:rsidRPr="0027789B" w:rsidRDefault="006B1090" w:rsidP="00D5646C">
            <w:pPr>
              <w:spacing w:after="0"/>
              <w:ind w:left="224"/>
              <w:rPr>
                <w:bCs/>
                <w:color w:val="000000" w:themeColor="text1"/>
              </w:rPr>
            </w:pPr>
            <w:r w:rsidRPr="0027789B">
              <w:rPr>
                <w:bCs/>
                <w:color w:val="000000" w:themeColor="text1"/>
              </w:rPr>
              <w:t>Interconnection Queue Number</w:t>
            </w:r>
          </w:p>
        </w:tc>
        <w:tc>
          <w:tcPr>
            <w:tcW w:w="4614" w:type="dxa"/>
          </w:tcPr>
          <w:p w14:paraId="1EB31ABB" w14:textId="77777777" w:rsidR="006B1090" w:rsidRPr="0027789B" w:rsidRDefault="006B1090" w:rsidP="00D5646C">
            <w:pPr>
              <w:spacing w:after="0"/>
              <w:ind w:left="101"/>
              <w:rPr>
                <w:bCs/>
                <w:color w:val="000000" w:themeColor="text1"/>
              </w:rPr>
            </w:pPr>
            <w:r w:rsidRPr="0027789B">
              <w:rPr>
                <w:bCs/>
                <w:color w:val="000000" w:themeColor="text1"/>
              </w:rPr>
              <w:t xml:space="preserve">  </w:t>
            </w:r>
          </w:p>
        </w:tc>
      </w:tr>
      <w:tr w:rsidR="006B1090" w:rsidRPr="0027789B" w14:paraId="4AA0742C" w14:textId="77777777" w:rsidTr="00CB0170">
        <w:tc>
          <w:tcPr>
            <w:tcW w:w="4623" w:type="dxa"/>
          </w:tcPr>
          <w:p w14:paraId="407C9DD1" w14:textId="77777777" w:rsidR="006B1090" w:rsidRPr="0027789B" w:rsidRDefault="006B1090" w:rsidP="00D5646C">
            <w:pPr>
              <w:spacing w:after="0"/>
              <w:ind w:left="224"/>
              <w:rPr>
                <w:bCs/>
                <w:color w:val="000000" w:themeColor="text1"/>
              </w:rPr>
            </w:pPr>
            <w:r w:rsidRPr="0027789B">
              <w:rPr>
                <w:bCs/>
                <w:color w:val="000000" w:themeColor="text1"/>
              </w:rPr>
              <w:t>Interconnection Voltage (kV)</w:t>
            </w:r>
          </w:p>
        </w:tc>
        <w:tc>
          <w:tcPr>
            <w:tcW w:w="4614" w:type="dxa"/>
          </w:tcPr>
          <w:p w14:paraId="07BF22A3" w14:textId="77777777" w:rsidR="006B1090" w:rsidRPr="0027789B" w:rsidRDefault="006B1090" w:rsidP="00D5646C">
            <w:pPr>
              <w:spacing w:after="0"/>
              <w:ind w:left="101"/>
              <w:rPr>
                <w:bCs/>
                <w:color w:val="000000" w:themeColor="text1"/>
              </w:rPr>
            </w:pPr>
          </w:p>
        </w:tc>
      </w:tr>
      <w:tr w:rsidR="006B1090" w:rsidRPr="0027789B" w14:paraId="781DA76A" w14:textId="77777777" w:rsidTr="00CB0170">
        <w:tc>
          <w:tcPr>
            <w:tcW w:w="4623" w:type="dxa"/>
          </w:tcPr>
          <w:p w14:paraId="0895953A" w14:textId="77777777" w:rsidR="006B1090" w:rsidRPr="0027789B" w:rsidRDefault="006B1090" w:rsidP="00D5646C">
            <w:pPr>
              <w:spacing w:after="0"/>
              <w:ind w:left="224"/>
              <w:rPr>
                <w:bCs/>
                <w:color w:val="000000" w:themeColor="text1"/>
              </w:rPr>
            </w:pPr>
            <w:r w:rsidRPr="0027789B">
              <w:rPr>
                <w:bCs/>
                <w:color w:val="000000" w:themeColor="text1"/>
              </w:rPr>
              <w:t>A-Bank Substation</w:t>
            </w:r>
          </w:p>
        </w:tc>
        <w:tc>
          <w:tcPr>
            <w:tcW w:w="4614" w:type="dxa"/>
          </w:tcPr>
          <w:p w14:paraId="6D8A925B" w14:textId="77777777" w:rsidR="006B1090" w:rsidRPr="0027789B" w:rsidRDefault="006B1090" w:rsidP="00D5646C">
            <w:pPr>
              <w:spacing w:after="0"/>
              <w:ind w:left="101"/>
              <w:rPr>
                <w:color w:val="000000" w:themeColor="text1"/>
              </w:rPr>
            </w:pPr>
            <w:r w:rsidRPr="0027789B">
              <w:rPr>
                <w:bCs/>
                <w:color w:val="000000" w:themeColor="text1"/>
              </w:rPr>
              <w:t xml:space="preserve"> </w:t>
            </w:r>
          </w:p>
        </w:tc>
      </w:tr>
    </w:tbl>
    <w:p w14:paraId="28BDA86A" w14:textId="77777777" w:rsidR="006B1090" w:rsidRDefault="006B1090" w:rsidP="006B1090">
      <w:r>
        <w:br w:type="page"/>
      </w:r>
    </w:p>
    <w:p w14:paraId="0897A9F5" w14:textId="09CD6C3A" w:rsidR="006B1090" w:rsidRPr="00E335BC" w:rsidRDefault="006B1090" w:rsidP="006B1090">
      <w:r w:rsidRPr="00E335BC">
        <w:lastRenderedPageBreak/>
        <w:t>PART I</w:t>
      </w:r>
      <w:r>
        <w:t>I</w:t>
      </w:r>
      <w:r w:rsidRPr="00E335BC">
        <w:t>.</w:t>
      </w:r>
      <w:r w:rsidRPr="00E335BC">
        <w:tab/>
      </w:r>
      <w:r w:rsidRPr="007778A4">
        <w:t>PROJECT AND SITE DESCRIPTION</w:t>
      </w:r>
      <w:r w:rsidRPr="00E335BC">
        <w:t>.</w:t>
      </w:r>
    </w:p>
    <w:p w14:paraId="3D5FCFDB" w14:textId="77777777" w:rsidR="006B1090" w:rsidRPr="0027789B" w:rsidRDefault="006B1090" w:rsidP="006B1090">
      <w:pPr>
        <w:spacing w:before="120"/>
      </w:pPr>
      <w:r w:rsidRPr="0027789B">
        <w:t>1.</w:t>
      </w:r>
      <w:r w:rsidRPr="0027789B">
        <w:tab/>
        <w:t>Project Description</w:t>
      </w:r>
    </w:p>
    <w:p w14:paraId="1FB5D2B6" w14:textId="2F89D79D" w:rsidR="006B1090" w:rsidRPr="0027789B"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27789B">
        <w:rPr>
          <w:i/>
          <w:iCs/>
          <w:color w:val="0000FF"/>
        </w:rPr>
        <w:t xml:space="preserve">{SCE Comment: Seller </w:t>
      </w:r>
      <w:r w:rsidRPr="00DB7FE0">
        <w:rPr>
          <w:i/>
          <w:iCs/>
          <w:color w:val="0000FF"/>
        </w:rPr>
        <w:t>may</w:t>
      </w:r>
      <w:r w:rsidRPr="0027789B">
        <w:rPr>
          <w:i/>
          <w:iCs/>
          <w:color w:val="0000FF"/>
        </w:rPr>
        <w:t xml:space="preserve"> provide additional written description of the site beyond what is summarized in </w:t>
      </w:r>
      <w:r w:rsidRPr="00482B73">
        <w:rPr>
          <w:i/>
          <w:iCs/>
          <w:color w:val="0000FF"/>
        </w:rPr>
        <w:t xml:space="preserve">Part II of this Exhibit </w:t>
      </w:r>
      <w:r w:rsidR="00482B73" w:rsidRPr="00482B73">
        <w:rPr>
          <w:i/>
          <w:iCs/>
          <w:color w:val="0000FF"/>
        </w:rPr>
        <w:t>B</w:t>
      </w:r>
      <w:r w:rsidRPr="00482B73">
        <w:rPr>
          <w:i/>
          <w:iCs/>
          <w:color w:val="0000FF"/>
        </w:rPr>
        <w:t>.}</w:t>
      </w:r>
    </w:p>
    <w:p w14:paraId="1D6154E7" w14:textId="77777777" w:rsidR="006B1090" w:rsidRPr="0027789B" w:rsidRDefault="006B1090" w:rsidP="006B1090">
      <w:pPr>
        <w:spacing w:before="120"/>
      </w:pPr>
      <w:r w:rsidRPr="0027789B">
        <w:t xml:space="preserve">2. </w:t>
      </w:r>
      <w:r w:rsidRPr="0027789B">
        <w:tab/>
        <w:t>Site Plan Drawing</w:t>
      </w:r>
    </w:p>
    <w:p w14:paraId="3A02F204" w14:textId="77777777" w:rsidR="006B1090" w:rsidRPr="0027789B"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i/>
          <w:iCs/>
        </w:rPr>
      </w:pPr>
      <w:r w:rsidRPr="0027789B">
        <w:rPr>
          <w:i/>
          <w:iCs/>
          <w:color w:val="0000FF"/>
        </w:rPr>
        <w:t>{SCE Comment:  Seller must provide a depiction of the Storage Unit and where it is located on the Site. Details shall include the Interconnection Point, points of ingress and egress, adjacent roads, labels of the Storage Unit components and a legend if necessary}</w:t>
      </w:r>
    </w:p>
    <w:p w14:paraId="1E0B63F7" w14:textId="77777777" w:rsidR="006B1090" w:rsidRPr="0027789B" w:rsidRDefault="006B1090" w:rsidP="006B1090">
      <w:pPr>
        <w:spacing w:before="120"/>
      </w:pPr>
      <w:r w:rsidRPr="0027789B">
        <w:t>3.</w:t>
      </w:r>
      <w:r w:rsidRPr="0027789B">
        <w:tab/>
        <w:t>Site Legal Description</w:t>
      </w:r>
    </w:p>
    <w:p w14:paraId="3606AC69" w14:textId="77777777" w:rsidR="006B1090" w:rsidRPr="0027789B"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color w:val="000000"/>
        </w:rPr>
      </w:pPr>
      <w:r w:rsidRPr="0027789B">
        <w:rPr>
          <w:i/>
          <w:iCs/>
          <w:color w:val="0000FF"/>
        </w:rPr>
        <w:t>{SCE Comment:  Seller must provide a legal description of the site, including APN number.}</w:t>
      </w:r>
    </w:p>
    <w:p w14:paraId="3910FC08" w14:textId="77777777" w:rsidR="006B1090" w:rsidRPr="0027789B" w:rsidRDefault="006B1090" w:rsidP="006B1090">
      <w:pPr>
        <w:spacing w:before="120"/>
        <w:rPr>
          <w:iCs/>
        </w:rPr>
      </w:pPr>
      <w:r w:rsidRPr="0027789B">
        <w:rPr>
          <w:iCs/>
        </w:rPr>
        <w:t>4.</w:t>
      </w:r>
      <w:r w:rsidRPr="0027789B">
        <w:rPr>
          <w:iCs/>
        </w:rPr>
        <w:tab/>
        <w:t>Site Map</w:t>
      </w:r>
    </w:p>
    <w:p w14:paraId="5BA1881C" w14:textId="77777777" w:rsidR="006B1090" w:rsidRPr="0027789B"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27789B">
        <w:rPr>
          <w:i/>
          <w:iCs/>
          <w:color w:val="0000FF"/>
        </w:rPr>
        <w:t>{SCE Comment: Seller must provide a map of the area where the project is located. The map should indicate major highways and/or landmarks near the project as well as other roadways important to locate the site. The map should also include a latitude and longitude for the site.}</w:t>
      </w:r>
    </w:p>
    <w:p w14:paraId="04FFA3A1" w14:textId="77777777" w:rsidR="006B1090" w:rsidRDefault="006B1090" w:rsidP="006B1090">
      <w:r>
        <w:br w:type="page"/>
      </w:r>
    </w:p>
    <w:p w14:paraId="5CE9E251" w14:textId="11946552" w:rsidR="006B1090" w:rsidRPr="00E335BC" w:rsidRDefault="006B1090" w:rsidP="006B1090">
      <w:r w:rsidRPr="00E335BC">
        <w:lastRenderedPageBreak/>
        <w:t>PART I</w:t>
      </w:r>
      <w:r>
        <w:t>II</w:t>
      </w:r>
      <w:r w:rsidRPr="00E335BC">
        <w:t>.</w:t>
      </w:r>
      <w:r w:rsidRPr="00E335BC">
        <w:tab/>
      </w:r>
      <w:r w:rsidRPr="007778A4">
        <w:t>ELECTRICAL SINGLE LINE DIAGRAM</w:t>
      </w:r>
      <w:r w:rsidRPr="00E335BC">
        <w:t>.</w:t>
      </w:r>
    </w:p>
    <w:p w14:paraId="139C17B8" w14:textId="77777777" w:rsidR="006B1090" w:rsidRPr="0027789B" w:rsidRDefault="006B1090" w:rsidP="006B1090">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27789B">
        <w:rPr>
          <w:i/>
          <w:iCs/>
          <w:color w:val="0000FF"/>
        </w:rPr>
        <w:t>{SCE Comment: Seller must provide an electrical single line diagram that depicts all of the major electrical equipment that is part of the site. This includes inverters, transformers, meters, breakers, etc. Include ratings when possible. This drawing must also show the Interconnection Point and the Energy Delivery Point.}</w:t>
      </w:r>
    </w:p>
    <w:p w14:paraId="3DF2809C" w14:textId="77777777" w:rsidR="006B1090" w:rsidRDefault="006B1090" w:rsidP="006B1090">
      <w:pPr>
        <w:rPr>
          <w:b/>
        </w:rPr>
      </w:pPr>
    </w:p>
    <w:p w14:paraId="5E350ABD" w14:textId="77777777" w:rsidR="006B1090" w:rsidRDefault="006B1090" w:rsidP="006B1090">
      <w:pPr>
        <w:rPr>
          <w:b/>
        </w:rPr>
      </w:pPr>
    </w:p>
    <w:p w14:paraId="5A33B6F4" w14:textId="5E6F605E" w:rsidR="006B1090" w:rsidRDefault="006B1090" w:rsidP="006B1090">
      <w:pPr>
        <w:spacing w:before="100" w:after="100"/>
        <w:jc w:val="center"/>
        <w:rPr>
          <w:u w:val="single"/>
        </w:rPr>
      </w:pPr>
      <w:r>
        <w:rPr>
          <w:i/>
          <w:iCs/>
        </w:rPr>
        <w:t>*** End of EXHIBIT B ***</w:t>
      </w:r>
    </w:p>
    <w:p w14:paraId="0CFE89E8" w14:textId="77777777" w:rsidR="006B1090" w:rsidRDefault="006B1090" w:rsidP="006B1090"/>
    <w:p w14:paraId="33E9D7CB" w14:textId="77777777" w:rsidR="006B1090" w:rsidRPr="0027789B" w:rsidRDefault="006B1090" w:rsidP="006B1090">
      <w:pPr>
        <w:rPr>
          <w:b/>
        </w:rPr>
        <w:sectPr w:rsidR="006B1090" w:rsidRPr="0027789B">
          <w:footerReference w:type="default" r:id="rId28"/>
          <w:pgSz w:w="12240" w:h="15840"/>
          <w:pgMar w:top="1440" w:right="1440" w:bottom="1440" w:left="1440" w:header="720" w:footer="720" w:gutter="0"/>
          <w:pgNumType w:start="1"/>
          <w:cols w:space="720"/>
          <w:docGrid w:linePitch="360"/>
        </w:sectPr>
      </w:pPr>
    </w:p>
    <w:p w14:paraId="256C7B20" w14:textId="77777777" w:rsidR="00367C93" w:rsidRPr="00CF77B9" w:rsidRDefault="00367C93" w:rsidP="00367C93">
      <w:pPr>
        <w:spacing w:after="0"/>
        <w:jc w:val="center"/>
        <w:rPr>
          <w:b/>
        </w:rPr>
      </w:pPr>
      <w:bookmarkStart w:id="637" w:name="_Toc364783635"/>
      <w:bookmarkStart w:id="638" w:name="_Toc366241188"/>
      <w:bookmarkStart w:id="639" w:name="_Toc366249621"/>
      <w:r>
        <w:rPr>
          <w:b/>
        </w:rPr>
        <w:lastRenderedPageBreak/>
        <w:t>EXHIBIT C</w:t>
      </w:r>
    </w:p>
    <w:p w14:paraId="4DBC52D1" w14:textId="77777777" w:rsidR="00367C93" w:rsidRPr="00CF77B9" w:rsidRDefault="00367C93" w:rsidP="00367C93">
      <w:pPr>
        <w:spacing w:after="0"/>
        <w:jc w:val="center"/>
        <w:rPr>
          <w:b/>
        </w:rPr>
      </w:pPr>
      <w:r w:rsidRPr="00CF77B9">
        <w:rPr>
          <w:b/>
        </w:rPr>
        <w:t>TESTING PROTOCOLS</w:t>
      </w:r>
    </w:p>
    <w:p w14:paraId="4CC1EDBF" w14:textId="77777777" w:rsidR="00367C93" w:rsidRPr="00CF77B9" w:rsidRDefault="00367C93" w:rsidP="00367C93">
      <w:pPr>
        <w:spacing w:after="0"/>
        <w:jc w:val="center"/>
        <w:rPr>
          <w:b/>
        </w:rPr>
      </w:pPr>
    </w:p>
    <w:p w14:paraId="46CA9FB6" w14:textId="77777777" w:rsidR="00367C93" w:rsidRPr="00CF77B9" w:rsidRDefault="00367C93" w:rsidP="00367C93">
      <w:pPr>
        <w:spacing w:after="0"/>
        <w:jc w:val="center"/>
        <w:rPr>
          <w:b/>
        </w:rPr>
      </w:pPr>
      <w:r w:rsidRPr="00CF77B9">
        <w:rPr>
          <w:b/>
        </w:rPr>
        <w:t>INITIAL COMMERCIAL OPERATION and</w:t>
      </w:r>
    </w:p>
    <w:p w14:paraId="665DF576" w14:textId="77777777" w:rsidR="00367C93" w:rsidRPr="00CF77B9" w:rsidRDefault="00367C93" w:rsidP="00367C93">
      <w:pPr>
        <w:spacing w:after="120"/>
        <w:jc w:val="center"/>
        <w:rPr>
          <w:b/>
        </w:rPr>
      </w:pPr>
      <w:r w:rsidRPr="00CF77B9">
        <w:rPr>
          <w:b/>
        </w:rPr>
        <w:t>CONTRACT CAPACITY &amp; ANCILLARY SERVICES TESTS</w:t>
      </w:r>
    </w:p>
    <w:p w14:paraId="3D9EA2BC" w14:textId="77777777" w:rsidR="00367C93" w:rsidRPr="00CF77B9" w:rsidRDefault="00367C93" w:rsidP="00367C93">
      <w:pPr>
        <w:spacing w:after="120"/>
        <w:jc w:val="center"/>
        <w:rPr>
          <w:i/>
        </w:rPr>
      </w:pPr>
      <w:r w:rsidRPr="00DB7FE0">
        <w:rPr>
          <w:bCs/>
          <w:i/>
          <w:noProof/>
          <w:color w:val="0000FF"/>
        </w:rPr>
        <w:t>[SCE Note: Protocols may need to be adjusted based on storage process technology]</w:t>
      </w:r>
    </w:p>
    <w:p w14:paraId="09D5CB3C" w14:textId="77777777" w:rsidR="00367C93" w:rsidRPr="0027789B" w:rsidRDefault="00367C93" w:rsidP="00367C93">
      <w:pPr>
        <w:jc w:val="center"/>
        <w:rPr>
          <w:i/>
        </w:rPr>
      </w:pPr>
      <w:r w:rsidRPr="00CF77B9">
        <w:rPr>
          <w:i/>
        </w:rPr>
        <w:t>Storage Unit</w:t>
      </w:r>
    </w:p>
    <w:p w14:paraId="69E27477" w14:textId="77777777" w:rsidR="00367C93" w:rsidRPr="00CF77B9" w:rsidRDefault="00367C93" w:rsidP="00367C93">
      <w:r w:rsidRPr="00CF77B9">
        <w:t xml:space="preserve">This </w:t>
      </w:r>
      <w:r>
        <w:rPr>
          <w:u w:val="single"/>
        </w:rPr>
        <w:t>Exhibit C</w:t>
      </w:r>
      <w:r w:rsidRPr="00CF77B9">
        <w:t xml:space="preserve"> sets forth the protocols for (i) the Initial Commercial Operation Test that each Storage Unit must successfully complete in order to achieve Commercial Operation and which sets the level of SU Contract Capacity for such Storage Unit, and (ii) the Contract Capacity &amp; Ancillary Services Test. The Initial Commercial Operation Test and the Contract Capacity &amp; Ancillary Services Tests are sometimes referred to in this Exhibit individually as a “</w:t>
      </w:r>
      <w:r w:rsidRPr="00CF77B9">
        <w:rPr>
          <w:u w:val="single"/>
        </w:rPr>
        <w:t>Test</w:t>
      </w:r>
      <w:r w:rsidRPr="00CF77B9">
        <w:t>” and jointly as the “</w:t>
      </w:r>
      <w:r w:rsidRPr="00CF77B9">
        <w:rPr>
          <w:u w:val="single"/>
        </w:rPr>
        <w:t>Tests</w:t>
      </w:r>
      <w:r w:rsidRPr="00CF77B9">
        <w:t>.”</w:t>
      </w:r>
    </w:p>
    <w:p w14:paraId="2F9AF7DC" w14:textId="77777777" w:rsidR="00367C93" w:rsidRPr="00CF77B9" w:rsidRDefault="00367C93" w:rsidP="00367C93">
      <w:r w:rsidRPr="00CF77B9">
        <w:t>PART I.</w:t>
      </w:r>
      <w:r w:rsidRPr="00CF77B9">
        <w:tab/>
        <w:t>GENERAL.</w:t>
      </w:r>
    </w:p>
    <w:p w14:paraId="67238BB6" w14:textId="77777777" w:rsidR="00367C93" w:rsidRPr="0027789B" w:rsidRDefault="00367C93" w:rsidP="00367C93">
      <w:r w:rsidRPr="00CF77B9">
        <w:t xml:space="preserve">The Initial Commercial Operation Test and each Contract Capacity &amp; Ancillary Services Test shall be conducted in accordance with Prudent Electrical Practices and the provisions of this </w:t>
      </w:r>
      <w:r>
        <w:rPr>
          <w:u w:val="single"/>
        </w:rPr>
        <w:t>Exhibit C</w:t>
      </w:r>
      <w:r w:rsidRPr="00CF77B9">
        <w:t xml:space="preserve">. </w:t>
      </w:r>
    </w:p>
    <w:p w14:paraId="59B3A852" w14:textId="77777777" w:rsidR="00367C93" w:rsidRPr="0027789B" w:rsidRDefault="00367C93" w:rsidP="00367C93">
      <w:r w:rsidRPr="0027789B">
        <w:t>PART II.</w:t>
      </w:r>
      <w:r w:rsidRPr="0027789B">
        <w:tab/>
        <w:t>REQUIREMENTS APPLICABLE TO ALL TESTS.</w:t>
      </w:r>
    </w:p>
    <w:p w14:paraId="5C4D3E82" w14:textId="77777777" w:rsidR="00367C93" w:rsidRPr="0027789B" w:rsidRDefault="00367C93" w:rsidP="00367C93">
      <w:pPr>
        <w:ind w:left="1440" w:hanging="720"/>
      </w:pPr>
      <w:r w:rsidRPr="0027789B">
        <w:t>A.</w:t>
      </w:r>
      <w:r w:rsidRPr="0027789B">
        <w:tab/>
      </w:r>
      <w:r w:rsidRPr="0027789B">
        <w:rPr>
          <w:u w:val="single"/>
        </w:rPr>
        <w:t>Test Elements</w:t>
      </w:r>
      <w:r>
        <w:t xml:space="preserve">. </w:t>
      </w:r>
      <w:r w:rsidRPr="0027789B">
        <w:t>The Test shall include the following test elements (unless SCE otherwise agrees in writing in its sole discretion):</w:t>
      </w:r>
    </w:p>
    <w:p w14:paraId="1A63F093" w14:textId="77777777" w:rsidR="00367C93" w:rsidRPr="0027789B" w:rsidRDefault="00367C93" w:rsidP="00367C93">
      <w:pPr>
        <w:numPr>
          <w:ilvl w:val="0"/>
          <w:numId w:val="44"/>
        </w:numPr>
        <w:tabs>
          <w:tab w:val="clear" w:pos="1440"/>
        </w:tabs>
        <w:ind w:left="2160" w:hanging="720"/>
      </w:pPr>
      <w:r w:rsidRPr="0027789B">
        <w:t>Electrical output at PMAX and/or Maximum Discharge (kW)</w:t>
      </w:r>
    </w:p>
    <w:p w14:paraId="0710E7BC" w14:textId="77777777" w:rsidR="00367C93" w:rsidRPr="0027789B" w:rsidRDefault="00367C93" w:rsidP="00367C93">
      <w:pPr>
        <w:numPr>
          <w:ilvl w:val="0"/>
          <w:numId w:val="44"/>
        </w:numPr>
        <w:tabs>
          <w:tab w:val="clear" w:pos="1440"/>
        </w:tabs>
        <w:ind w:left="2160" w:hanging="720"/>
      </w:pPr>
      <w:r w:rsidRPr="0027789B">
        <w:t>Electrical input at PMIN and/or Maximum Charge (kW)</w:t>
      </w:r>
    </w:p>
    <w:p w14:paraId="2E96D0D8" w14:textId="77777777" w:rsidR="00367C93" w:rsidRPr="0027789B" w:rsidRDefault="00367C93" w:rsidP="00367C93">
      <w:pPr>
        <w:numPr>
          <w:ilvl w:val="1"/>
          <w:numId w:val="44"/>
        </w:numPr>
        <w:tabs>
          <w:tab w:val="clear" w:pos="2160"/>
        </w:tabs>
        <w:ind w:hanging="720"/>
      </w:pPr>
      <w:r w:rsidRPr="0027789B">
        <w:t>At 100% SEP, the amount of energy discharged at a rate of PMAX and/or Maximum Discharge</w:t>
      </w:r>
    </w:p>
    <w:p w14:paraId="6AD6B520" w14:textId="77777777" w:rsidR="00367C93" w:rsidRPr="0027789B" w:rsidRDefault="00367C93" w:rsidP="00367C93">
      <w:pPr>
        <w:numPr>
          <w:ilvl w:val="1"/>
          <w:numId w:val="44"/>
        </w:numPr>
        <w:tabs>
          <w:tab w:val="clear" w:pos="2160"/>
        </w:tabs>
        <w:ind w:hanging="720"/>
      </w:pPr>
      <w:r w:rsidRPr="0027789B">
        <w:t>At 0% SEP, the amount of energy charged at a rate of PMIN and/or Maximum Charge</w:t>
      </w:r>
    </w:p>
    <w:p w14:paraId="49EF717A" w14:textId="77777777" w:rsidR="00367C93" w:rsidRPr="0027789B" w:rsidRDefault="00367C93" w:rsidP="00367C93">
      <w:pPr>
        <w:numPr>
          <w:ilvl w:val="1"/>
          <w:numId w:val="44"/>
        </w:numPr>
        <w:tabs>
          <w:tab w:val="clear" w:pos="2160"/>
        </w:tabs>
        <w:ind w:hanging="720"/>
      </w:pPr>
      <w:r>
        <w:t>“</w:t>
      </w:r>
      <w:r w:rsidRPr="00DB7FE0">
        <w:rPr>
          <w:u w:val="single"/>
        </w:rPr>
        <w:t>Regulation Ramp Rates</w:t>
      </w:r>
      <w:r>
        <w:t>,” as defined by the CAISO Tariff</w:t>
      </w:r>
    </w:p>
    <w:p w14:paraId="01E1420C" w14:textId="77777777" w:rsidR="00367C93" w:rsidRPr="0027789B" w:rsidRDefault="00367C93" w:rsidP="00367C93">
      <w:pPr>
        <w:numPr>
          <w:ilvl w:val="1"/>
          <w:numId w:val="44"/>
        </w:numPr>
        <w:tabs>
          <w:tab w:val="clear" w:pos="2160"/>
        </w:tabs>
        <w:ind w:hanging="720"/>
      </w:pPr>
      <w:r w:rsidRPr="0027789B">
        <w:lastRenderedPageBreak/>
        <w:t>Amount of time between being in the state of off-line to PMAX and/or Maximum Discharge</w:t>
      </w:r>
    </w:p>
    <w:p w14:paraId="39AF68FA" w14:textId="77777777" w:rsidR="00367C93" w:rsidRPr="0027789B" w:rsidRDefault="00367C93" w:rsidP="00367C93">
      <w:pPr>
        <w:numPr>
          <w:ilvl w:val="1"/>
          <w:numId w:val="44"/>
        </w:numPr>
        <w:tabs>
          <w:tab w:val="clear" w:pos="2160"/>
        </w:tabs>
        <w:ind w:hanging="720"/>
      </w:pPr>
      <w:r w:rsidRPr="0027789B">
        <w:t>Amount of time between being in the state of off-line to PMIN and/or Maximum Charge</w:t>
      </w:r>
    </w:p>
    <w:p w14:paraId="195B1584" w14:textId="77777777" w:rsidR="00367C93" w:rsidRPr="0027789B" w:rsidRDefault="00367C93" w:rsidP="00367C93">
      <w:pPr>
        <w:numPr>
          <w:ilvl w:val="1"/>
          <w:numId w:val="44"/>
        </w:numPr>
        <w:tabs>
          <w:tab w:val="clear" w:pos="2160"/>
        </w:tabs>
        <w:ind w:hanging="720"/>
      </w:pPr>
      <w:r w:rsidRPr="0027789B">
        <w:t>Amount of energy required to go from 0% SEP to 100% SEP charging at a rate equal to the Charging Capacity</w:t>
      </w:r>
    </w:p>
    <w:p w14:paraId="56553980" w14:textId="77777777" w:rsidR="00367C93" w:rsidRPr="0027789B" w:rsidRDefault="00367C93" w:rsidP="00367C93">
      <w:pPr>
        <w:numPr>
          <w:ilvl w:val="1"/>
          <w:numId w:val="44"/>
        </w:numPr>
        <w:tabs>
          <w:tab w:val="clear" w:pos="2160"/>
        </w:tabs>
        <w:ind w:hanging="720"/>
      </w:pPr>
      <w:r w:rsidRPr="0027789B">
        <w:t>Energy loss over time</w:t>
      </w:r>
    </w:p>
    <w:p w14:paraId="1E8BC775" w14:textId="77777777" w:rsidR="00367C93" w:rsidRPr="0027789B" w:rsidRDefault="00367C93" w:rsidP="00367C93">
      <w:pPr>
        <w:ind w:left="1440" w:hanging="720"/>
        <w:rPr>
          <w:bCs/>
          <w:noProof/>
          <w:color w:val="000000"/>
        </w:rPr>
      </w:pPr>
      <w:r w:rsidRPr="0027789B">
        <w:t>B.</w:t>
      </w:r>
      <w:r w:rsidRPr="0027789B">
        <w:tab/>
      </w:r>
      <w:r w:rsidRPr="0027789B">
        <w:rPr>
          <w:u w:val="single"/>
        </w:rPr>
        <w:t>Parameters</w:t>
      </w:r>
      <w:r>
        <w:t>.</w:t>
      </w:r>
      <w:r w:rsidRPr="00FF157D">
        <w:t xml:space="preserve"> </w:t>
      </w:r>
      <w:r w:rsidRPr="0027789B">
        <w:rPr>
          <w:bCs/>
          <w:noProof/>
          <w:color w:val="000000"/>
        </w:rPr>
        <w:t>During any Test, at a minimum, the following parameters shall be measured and recorded simultaneously for each Storage Unit at least every one (1) minute:</w:t>
      </w:r>
    </w:p>
    <w:p w14:paraId="736F92D1" w14:textId="77777777" w:rsidR="00367C93" w:rsidRPr="0027789B" w:rsidRDefault="00367C93" w:rsidP="00367C93">
      <w:pPr>
        <w:ind w:left="2160" w:hanging="720"/>
        <w:rPr>
          <w:bCs/>
          <w:noProof/>
          <w:color w:val="000000"/>
        </w:rPr>
      </w:pPr>
      <w:r w:rsidRPr="0027789B">
        <w:rPr>
          <w:bCs/>
          <w:noProof/>
          <w:color w:val="000000"/>
        </w:rPr>
        <w:t>(1)</w:t>
      </w:r>
      <w:r w:rsidRPr="0027789B">
        <w:rPr>
          <w:bCs/>
          <w:noProof/>
          <w:color w:val="000000"/>
        </w:rPr>
        <w:tab/>
        <w:t xml:space="preserve">Time; </w:t>
      </w:r>
    </w:p>
    <w:p w14:paraId="1A60486D" w14:textId="77777777" w:rsidR="00367C93" w:rsidRPr="0027789B" w:rsidRDefault="00367C93" w:rsidP="00367C93">
      <w:pPr>
        <w:ind w:left="2160" w:hanging="720"/>
        <w:rPr>
          <w:bCs/>
          <w:noProof/>
          <w:color w:val="000000"/>
        </w:rPr>
      </w:pPr>
      <w:r w:rsidRPr="0027789B">
        <w:rPr>
          <w:bCs/>
          <w:noProof/>
          <w:color w:val="000000"/>
        </w:rPr>
        <w:t>(2)</w:t>
      </w:r>
      <w:r w:rsidRPr="0027789B">
        <w:rPr>
          <w:bCs/>
          <w:noProof/>
          <w:color w:val="000000"/>
        </w:rPr>
        <w:tab/>
        <w:t xml:space="preserve">Net electrical energy output to the Energy Delivery Point (kWh); </w:t>
      </w:r>
    </w:p>
    <w:p w14:paraId="7AC731AB" w14:textId="77777777" w:rsidR="00367C93" w:rsidRPr="0027789B" w:rsidRDefault="00367C93" w:rsidP="00367C93">
      <w:pPr>
        <w:ind w:left="2160" w:hanging="720"/>
        <w:rPr>
          <w:bCs/>
          <w:noProof/>
          <w:color w:val="000000"/>
        </w:rPr>
      </w:pPr>
      <w:r w:rsidRPr="0027789B">
        <w:rPr>
          <w:bCs/>
          <w:noProof/>
          <w:color w:val="000000"/>
        </w:rPr>
        <w:t>(3)</w:t>
      </w:r>
      <w:r w:rsidRPr="0027789B">
        <w:rPr>
          <w:bCs/>
          <w:noProof/>
          <w:color w:val="000000"/>
        </w:rPr>
        <w:tab/>
        <w:t xml:space="preserve">Net electrical energy input from the Energy Delivery Point (kWh); </w:t>
      </w:r>
    </w:p>
    <w:p w14:paraId="46C9768A" w14:textId="77777777" w:rsidR="00367C93" w:rsidRPr="0027789B" w:rsidRDefault="00367C93" w:rsidP="00367C93">
      <w:pPr>
        <w:ind w:left="2160" w:hanging="720"/>
        <w:rPr>
          <w:bCs/>
          <w:noProof/>
          <w:color w:val="000000"/>
        </w:rPr>
      </w:pPr>
      <w:r w:rsidRPr="0027789B">
        <w:rPr>
          <w:bCs/>
          <w:noProof/>
          <w:color w:val="000000"/>
        </w:rPr>
        <w:t>(4)</w:t>
      </w:r>
      <w:r w:rsidRPr="0027789B">
        <w:rPr>
          <w:bCs/>
          <w:noProof/>
          <w:color w:val="000000"/>
        </w:rPr>
        <w:tab/>
        <w:t xml:space="preserve">Reactive power (VARS); </w:t>
      </w:r>
    </w:p>
    <w:p w14:paraId="39D56B11" w14:textId="77777777" w:rsidR="00367C93" w:rsidRPr="0027789B" w:rsidRDefault="00367C93" w:rsidP="00367C93">
      <w:pPr>
        <w:ind w:left="2160" w:hanging="720"/>
        <w:rPr>
          <w:bCs/>
          <w:noProof/>
          <w:color w:val="000000"/>
        </w:rPr>
      </w:pPr>
      <w:r w:rsidRPr="0027789B">
        <w:rPr>
          <w:bCs/>
          <w:noProof/>
          <w:color w:val="000000"/>
        </w:rPr>
        <w:t>(5)</w:t>
      </w:r>
      <w:r w:rsidRPr="0027789B">
        <w:rPr>
          <w:bCs/>
          <w:noProof/>
          <w:color w:val="000000"/>
        </w:rPr>
        <w:tab/>
        <w:t xml:space="preserve">Stored Energy Level (MWh); </w:t>
      </w:r>
    </w:p>
    <w:p w14:paraId="4B794A56" w14:textId="77777777" w:rsidR="00367C93" w:rsidRPr="0027789B" w:rsidRDefault="00367C93" w:rsidP="00367C93">
      <w:pPr>
        <w:ind w:left="2160" w:hanging="720"/>
        <w:rPr>
          <w:bCs/>
          <w:noProof/>
          <w:color w:val="000000"/>
        </w:rPr>
      </w:pPr>
      <w:r w:rsidRPr="0027789B">
        <w:rPr>
          <w:bCs/>
          <w:noProof/>
          <w:color w:val="000000"/>
        </w:rPr>
        <w:t>(6)</w:t>
      </w:r>
      <w:r w:rsidRPr="0027789B">
        <w:rPr>
          <w:bCs/>
          <w:noProof/>
          <w:color w:val="000000"/>
        </w:rPr>
        <w:tab/>
        <w:t xml:space="preserve">Emissions data required by air permit (if applicable); and </w:t>
      </w:r>
    </w:p>
    <w:p w14:paraId="072592F2" w14:textId="77777777" w:rsidR="00367C93" w:rsidRPr="0027789B" w:rsidRDefault="00367C93" w:rsidP="00367C93">
      <w:pPr>
        <w:ind w:left="2160" w:hanging="720"/>
        <w:rPr>
          <w:bCs/>
          <w:noProof/>
          <w:color w:val="000000"/>
        </w:rPr>
      </w:pPr>
      <w:r w:rsidRPr="0027789B">
        <w:rPr>
          <w:bCs/>
          <w:noProof/>
          <w:color w:val="000000"/>
        </w:rPr>
        <w:t>(7)</w:t>
      </w:r>
      <w:r w:rsidRPr="0027789B">
        <w:rPr>
          <w:bCs/>
          <w:noProof/>
          <w:color w:val="000000"/>
        </w:rPr>
        <w:tab/>
      </w:r>
      <w:r w:rsidRPr="00DB7FE0">
        <w:rPr>
          <w:bCs/>
          <w:i/>
          <w:noProof/>
          <w:color w:val="0000FF"/>
        </w:rPr>
        <w:t>[SCE Note: Any other parameter specific to the storage process technology.]</w:t>
      </w:r>
    </w:p>
    <w:p w14:paraId="47830F40" w14:textId="77777777" w:rsidR="00367C93" w:rsidRPr="0027789B" w:rsidRDefault="00367C93" w:rsidP="00367C93">
      <w:pPr>
        <w:tabs>
          <w:tab w:val="left" w:pos="0"/>
        </w:tabs>
        <w:ind w:left="1440"/>
        <w:rPr>
          <w:bCs/>
          <w:noProof/>
          <w:color w:val="000000"/>
        </w:rPr>
      </w:pPr>
      <w:r w:rsidRPr="0027789B">
        <w:rPr>
          <w:bCs/>
          <w:noProof/>
          <w:color w:val="000000"/>
        </w:rPr>
        <w:t>During any Test, at a minimum, the following parameters shall be measured and recorded simultaneously for each Storage Unit at least every thirty (30) minutes:</w:t>
      </w:r>
    </w:p>
    <w:p w14:paraId="09ECF314" w14:textId="77777777" w:rsidR="00367C93" w:rsidRPr="0027789B" w:rsidRDefault="00367C93" w:rsidP="00367C93">
      <w:pPr>
        <w:ind w:left="2160" w:hanging="720"/>
        <w:rPr>
          <w:bCs/>
          <w:noProof/>
          <w:color w:val="000000"/>
        </w:rPr>
      </w:pPr>
      <w:r w:rsidRPr="0027789B">
        <w:rPr>
          <w:bCs/>
          <w:noProof/>
          <w:color w:val="000000"/>
        </w:rPr>
        <w:t>(1)</w:t>
      </w:r>
      <w:r w:rsidRPr="0027789B">
        <w:rPr>
          <w:bCs/>
          <w:noProof/>
          <w:color w:val="000000"/>
        </w:rPr>
        <w:tab/>
        <w:t>Relative humidity (%);</w:t>
      </w:r>
    </w:p>
    <w:p w14:paraId="6235FE29" w14:textId="77777777" w:rsidR="00367C93" w:rsidRPr="0027789B" w:rsidRDefault="00367C93" w:rsidP="00367C93">
      <w:pPr>
        <w:ind w:left="2160" w:hanging="720"/>
        <w:rPr>
          <w:bCs/>
          <w:noProof/>
          <w:color w:val="000000"/>
        </w:rPr>
      </w:pPr>
      <w:r w:rsidRPr="0027789B">
        <w:rPr>
          <w:bCs/>
          <w:noProof/>
          <w:color w:val="000000"/>
        </w:rPr>
        <w:t>(2)</w:t>
      </w:r>
      <w:r w:rsidRPr="0027789B">
        <w:rPr>
          <w:bCs/>
          <w:noProof/>
          <w:color w:val="000000"/>
        </w:rPr>
        <w:tab/>
        <w:t>Barometric pressure (inches Hg) near the horizontal centerline of the Storage Unit; and</w:t>
      </w:r>
    </w:p>
    <w:p w14:paraId="4C645811" w14:textId="77777777" w:rsidR="00367C93" w:rsidRPr="0027789B" w:rsidRDefault="00367C93" w:rsidP="00367C93">
      <w:pPr>
        <w:ind w:left="2160" w:hanging="720"/>
        <w:rPr>
          <w:bCs/>
          <w:noProof/>
          <w:color w:val="000000"/>
        </w:rPr>
      </w:pPr>
      <w:r w:rsidRPr="0027789B">
        <w:rPr>
          <w:bCs/>
          <w:noProof/>
          <w:color w:val="000000"/>
        </w:rPr>
        <w:t>(3)</w:t>
      </w:r>
      <w:r w:rsidRPr="0027789B">
        <w:rPr>
          <w:bCs/>
          <w:noProof/>
          <w:color w:val="000000"/>
        </w:rPr>
        <w:tab/>
        <w:t>Temperature (°F).</w:t>
      </w:r>
    </w:p>
    <w:p w14:paraId="4093509A" w14:textId="77777777" w:rsidR="00367C93" w:rsidRPr="0027789B" w:rsidRDefault="00367C93" w:rsidP="00367C93">
      <w:pPr>
        <w:ind w:left="1440" w:hanging="720"/>
        <w:rPr>
          <w:noProof/>
        </w:rPr>
      </w:pPr>
      <w:r w:rsidRPr="0027789B">
        <w:rPr>
          <w:noProof/>
          <w:color w:val="000000"/>
        </w:rPr>
        <w:lastRenderedPageBreak/>
        <w:t>C.</w:t>
      </w:r>
      <w:r w:rsidRPr="0027789B">
        <w:rPr>
          <w:noProof/>
          <w:color w:val="000000"/>
        </w:rPr>
        <w:tab/>
      </w:r>
      <w:r w:rsidRPr="0027789B">
        <w:rPr>
          <w:bCs/>
          <w:noProof/>
          <w:color w:val="000000"/>
          <w:u w:val="single"/>
        </w:rPr>
        <w:t>Test Showing</w:t>
      </w:r>
      <w:r>
        <w:rPr>
          <w:noProof/>
          <w:color w:val="000000"/>
        </w:rPr>
        <w:t xml:space="preserve">. </w:t>
      </w:r>
      <w:r w:rsidRPr="0027789B">
        <w:rPr>
          <w:noProof/>
        </w:rPr>
        <w:t xml:space="preserve">Seller must demonstrate to SCE’s reasonable satisfaction, that the Storage Unit:  </w:t>
      </w:r>
    </w:p>
    <w:p w14:paraId="6E880846" w14:textId="77777777" w:rsidR="00367C93" w:rsidRPr="00482B73" w:rsidRDefault="00367C93" w:rsidP="00367C93">
      <w:pPr>
        <w:ind w:left="2160" w:hanging="720"/>
        <w:rPr>
          <w:noProof/>
        </w:rPr>
      </w:pPr>
      <w:r w:rsidRPr="0027789B">
        <w:rPr>
          <w:noProof/>
        </w:rPr>
        <w:t>(1)</w:t>
      </w:r>
      <w:r w:rsidRPr="0027789B">
        <w:rPr>
          <w:noProof/>
        </w:rPr>
        <w:tab/>
        <w:t xml:space="preserve">successfully started in </w:t>
      </w:r>
      <w:r w:rsidRPr="00DB7FE0">
        <w:rPr>
          <w:bCs/>
          <w:i/>
          <w:noProof/>
          <w:color w:val="0000FF"/>
        </w:rPr>
        <w:t xml:space="preserve">[SCE Note:TBD based on storage process technology and operating restrictions set forth in </w:t>
      </w:r>
      <w:r>
        <w:rPr>
          <w:bCs/>
          <w:i/>
          <w:noProof/>
          <w:color w:val="0000FF"/>
        </w:rPr>
        <w:t>Exhibit D</w:t>
      </w:r>
      <w:r w:rsidRPr="00DB7FE0">
        <w:rPr>
          <w:bCs/>
          <w:i/>
          <w:noProof/>
          <w:color w:val="0000FF"/>
        </w:rPr>
        <w:t>]</w:t>
      </w:r>
      <w:r w:rsidRPr="00482B73">
        <w:rPr>
          <w:noProof/>
        </w:rPr>
        <w:t xml:space="preserve">; </w:t>
      </w:r>
    </w:p>
    <w:p w14:paraId="73B24795" w14:textId="77777777" w:rsidR="00367C93" w:rsidRPr="00482B73" w:rsidRDefault="00367C93" w:rsidP="00367C93">
      <w:pPr>
        <w:ind w:left="2160" w:hanging="720"/>
        <w:rPr>
          <w:noProof/>
        </w:rPr>
      </w:pPr>
      <w:r w:rsidRPr="00482B73">
        <w:rPr>
          <w:noProof/>
        </w:rPr>
        <w:t>(2)</w:t>
      </w:r>
      <w:r w:rsidRPr="00482B73">
        <w:rPr>
          <w:noProof/>
        </w:rPr>
        <w:tab/>
        <w:t xml:space="preserve">operated for at least </w:t>
      </w:r>
      <w:r w:rsidRPr="00DB7FE0">
        <w:rPr>
          <w:bCs/>
          <w:i/>
          <w:noProof/>
          <w:color w:val="0000FF"/>
        </w:rPr>
        <w:t xml:space="preserve">[SCE Note:TBD based on storage process technology and operating restrictions set forth in </w:t>
      </w:r>
      <w:r>
        <w:rPr>
          <w:bCs/>
          <w:i/>
          <w:noProof/>
          <w:color w:val="0000FF"/>
        </w:rPr>
        <w:t>Exhibit D</w:t>
      </w:r>
      <w:r w:rsidRPr="00DB7FE0">
        <w:rPr>
          <w:bCs/>
          <w:i/>
          <w:noProof/>
          <w:color w:val="0000FF"/>
        </w:rPr>
        <w:t>]</w:t>
      </w:r>
      <w:r w:rsidRPr="00DB7FE0">
        <w:rPr>
          <w:noProof/>
          <w:color w:val="0000FF"/>
        </w:rPr>
        <w:t xml:space="preserve"> </w:t>
      </w:r>
      <w:r w:rsidRPr="00482B73">
        <w:rPr>
          <w:noProof/>
        </w:rPr>
        <w:t xml:space="preserve">at Maximum Discharge; </w:t>
      </w:r>
    </w:p>
    <w:p w14:paraId="19711D89" w14:textId="77777777" w:rsidR="00367C93" w:rsidRPr="0027789B" w:rsidRDefault="00367C93" w:rsidP="00367C93">
      <w:pPr>
        <w:ind w:left="2160" w:hanging="720"/>
        <w:rPr>
          <w:noProof/>
        </w:rPr>
      </w:pPr>
      <w:r w:rsidRPr="00482B73">
        <w:rPr>
          <w:noProof/>
        </w:rPr>
        <w:t>(3)</w:t>
      </w:r>
      <w:r w:rsidRPr="00482B73">
        <w:rPr>
          <w:noProof/>
        </w:rPr>
        <w:tab/>
        <w:t xml:space="preserve">operated for at least </w:t>
      </w:r>
      <w:r w:rsidRPr="00DB7FE0">
        <w:rPr>
          <w:bCs/>
          <w:i/>
          <w:noProof/>
          <w:color w:val="0000FF"/>
        </w:rPr>
        <w:t xml:space="preserve">[SCE Note:TBD based on storage process technology and operating restrictions set forth in </w:t>
      </w:r>
      <w:r>
        <w:rPr>
          <w:bCs/>
          <w:i/>
          <w:noProof/>
          <w:color w:val="0000FF"/>
        </w:rPr>
        <w:t>Exhibit D</w:t>
      </w:r>
      <w:r w:rsidRPr="00DB7FE0">
        <w:rPr>
          <w:bCs/>
          <w:i/>
          <w:noProof/>
          <w:color w:val="0000FF"/>
        </w:rPr>
        <w:t>]</w:t>
      </w:r>
      <w:r w:rsidRPr="00C600E0">
        <w:rPr>
          <w:noProof/>
        </w:rPr>
        <w:t xml:space="preserve"> at Maximu</w:t>
      </w:r>
      <w:r w:rsidRPr="0027789B">
        <w:rPr>
          <w:noProof/>
        </w:rPr>
        <w:t xml:space="preserve">m Charge; </w:t>
      </w:r>
    </w:p>
    <w:p w14:paraId="2386D4BB" w14:textId="77777777" w:rsidR="00367C93" w:rsidRPr="0027789B" w:rsidRDefault="00367C93" w:rsidP="00367C93">
      <w:pPr>
        <w:ind w:left="2160" w:hanging="720"/>
      </w:pPr>
      <w:r w:rsidRPr="0027789B">
        <w:rPr>
          <w:noProof/>
        </w:rPr>
        <w:t xml:space="preserve">(4) </w:t>
      </w:r>
      <w:r w:rsidRPr="0027789B">
        <w:rPr>
          <w:noProof/>
        </w:rPr>
        <w:tab/>
        <w:t xml:space="preserve">has a Storage Capacity of an amount that is, at least, equal to the </w:t>
      </w:r>
      <w:r w:rsidRPr="0027789B">
        <w:t xml:space="preserve">Maximum Storage Level; and </w:t>
      </w:r>
    </w:p>
    <w:p w14:paraId="069BDA1C" w14:textId="7A51E2BA" w:rsidR="00367C93" w:rsidRPr="0027789B" w:rsidRDefault="00367C93" w:rsidP="00367C93">
      <w:pPr>
        <w:ind w:left="2160" w:hanging="720"/>
        <w:rPr>
          <w:noProof/>
        </w:rPr>
      </w:pPr>
      <w:r w:rsidRPr="0027789B">
        <w:rPr>
          <w:noProof/>
        </w:rPr>
        <w:t xml:space="preserve">(5) </w:t>
      </w:r>
      <w:r w:rsidRPr="0027789B">
        <w:rPr>
          <w:noProof/>
        </w:rPr>
        <w:tab/>
      </w:r>
      <w:r w:rsidRPr="0027789B">
        <w:rPr>
          <w:bCs/>
          <w:noProof/>
        </w:rPr>
        <w:t xml:space="preserve">Can deliver energy to the Interconnection Point for </w:t>
      </w:r>
      <w:r w:rsidR="009A1328" w:rsidRPr="00B57986">
        <w:rPr>
          <w:bCs/>
          <w:i/>
          <w:noProof/>
          <w:color w:val="0000FF"/>
        </w:rPr>
        <w:t>[</w:t>
      </w:r>
      <w:r w:rsidRPr="00B57986">
        <w:rPr>
          <w:bCs/>
          <w:i/>
          <w:noProof/>
          <w:color w:val="0000FF"/>
        </w:rPr>
        <w:t>four (4) consecutive hours</w:t>
      </w:r>
      <w:r w:rsidR="009A1328" w:rsidRPr="00B57986">
        <w:rPr>
          <w:bCs/>
          <w:i/>
          <w:noProof/>
          <w:color w:val="0000FF"/>
        </w:rPr>
        <w:t>] [____(_) consecutive hours]</w:t>
      </w:r>
      <w:r w:rsidRPr="0027789B">
        <w:rPr>
          <w:bCs/>
          <w:noProof/>
        </w:rPr>
        <w:t xml:space="preserve"> at a </w:t>
      </w:r>
      <w:r w:rsidRPr="0027789B">
        <w:t>rate equal to the Contract Capacity</w:t>
      </w:r>
      <w:r w:rsidRPr="0027789B">
        <w:rPr>
          <w:bCs/>
          <w:noProof/>
        </w:rPr>
        <w:t xml:space="preserve"> (as established </w:t>
      </w:r>
      <w:r w:rsidRPr="00484686">
        <w:rPr>
          <w:bCs/>
          <w:noProof/>
        </w:rPr>
        <w:t xml:space="preserve">under Part </w:t>
      </w:r>
      <w:r w:rsidRPr="0027789B">
        <w:rPr>
          <w:bCs/>
          <w:noProof/>
        </w:rPr>
        <w:t xml:space="preserve">III.E. of </w:t>
      </w:r>
      <w:r w:rsidRPr="00C600E0">
        <w:rPr>
          <w:bCs/>
          <w:noProof/>
        </w:rPr>
        <w:t xml:space="preserve">this </w:t>
      </w:r>
      <w:r>
        <w:rPr>
          <w:u w:val="single"/>
        </w:rPr>
        <w:t>Exhibit C</w:t>
      </w:r>
      <w:r w:rsidRPr="00CF77B9">
        <w:rPr>
          <w:bCs/>
          <w:noProof/>
        </w:rPr>
        <w:t>).</w:t>
      </w:r>
      <w:r>
        <w:rPr>
          <w:bCs/>
          <w:noProof/>
        </w:rPr>
        <w:t xml:space="preserve"> </w:t>
      </w:r>
      <w:r w:rsidR="002B23E6" w:rsidRPr="00DB7FE0">
        <w:rPr>
          <w:bCs/>
          <w:i/>
          <w:noProof/>
          <w:color w:val="0000FF"/>
        </w:rPr>
        <w:t>[</w:t>
      </w:r>
      <w:r w:rsidR="009B37A5" w:rsidRPr="00DB7FE0">
        <w:rPr>
          <w:bCs/>
          <w:i/>
          <w:noProof/>
          <w:color w:val="0000FF"/>
        </w:rPr>
        <w:t>SCE Note:</w:t>
      </w:r>
      <w:r w:rsidR="009B37A5">
        <w:rPr>
          <w:bCs/>
          <w:i/>
          <w:noProof/>
          <w:color w:val="0000FF"/>
        </w:rPr>
        <w:t xml:space="preserve">TBD based on </w:t>
      </w:r>
      <w:r w:rsidR="009B37A5" w:rsidRPr="00DB7FE0">
        <w:rPr>
          <w:bCs/>
          <w:i/>
          <w:noProof/>
          <w:color w:val="0000FF"/>
        </w:rPr>
        <w:t xml:space="preserve">storage process technology and operating restrictions set forth in </w:t>
      </w:r>
      <w:r w:rsidR="009B37A5">
        <w:rPr>
          <w:bCs/>
          <w:i/>
          <w:noProof/>
          <w:color w:val="0000FF"/>
        </w:rPr>
        <w:t>Exhibit D</w:t>
      </w:r>
      <w:r w:rsidR="009B37A5" w:rsidRPr="00DB7FE0">
        <w:rPr>
          <w:bCs/>
          <w:i/>
          <w:noProof/>
          <w:color w:val="0000FF"/>
        </w:rPr>
        <w:t>]</w:t>
      </w:r>
    </w:p>
    <w:p w14:paraId="240B2549" w14:textId="77777777" w:rsidR="00367C93" w:rsidRPr="0027789B" w:rsidRDefault="00367C93" w:rsidP="00367C93">
      <w:pPr>
        <w:ind w:left="1440" w:hanging="720"/>
        <w:rPr>
          <w:noProof/>
        </w:rPr>
      </w:pPr>
      <w:r w:rsidRPr="0027789B">
        <w:rPr>
          <w:noProof/>
        </w:rPr>
        <w:t>D.</w:t>
      </w:r>
      <w:r w:rsidRPr="0027789B">
        <w:rPr>
          <w:noProof/>
        </w:rPr>
        <w:tab/>
      </w:r>
      <w:r w:rsidRPr="0027789B">
        <w:rPr>
          <w:noProof/>
          <w:u w:val="single"/>
        </w:rPr>
        <w:t>Test Conditions</w:t>
      </w:r>
      <w:r>
        <w:rPr>
          <w:noProof/>
        </w:rPr>
        <w:t xml:space="preserve">. </w:t>
      </w:r>
    </w:p>
    <w:p w14:paraId="5AA23570" w14:textId="77777777" w:rsidR="00367C93" w:rsidRPr="0027789B" w:rsidRDefault="00367C93" w:rsidP="00367C93">
      <w:pPr>
        <w:pStyle w:val="ListParagraph"/>
        <w:widowControl/>
        <w:numPr>
          <w:ilvl w:val="0"/>
          <w:numId w:val="49"/>
        </w:numPr>
        <w:spacing w:after="240" w:line="240" w:lineRule="auto"/>
        <w:ind w:left="2160" w:hanging="720"/>
        <w:jc w:val="left"/>
        <w:rPr>
          <w:rFonts w:ascii="Times New Roman" w:hAnsi="Times New Roman" w:cs="Times New Roman"/>
          <w:noProof/>
          <w:sz w:val="24"/>
          <w:szCs w:val="24"/>
        </w:rPr>
      </w:pPr>
      <w:r w:rsidRPr="0027789B">
        <w:rPr>
          <w:rFonts w:ascii="Times New Roman" w:hAnsi="Times New Roman" w:cs="Times New Roman"/>
          <w:noProof/>
          <w:sz w:val="24"/>
          <w:szCs w:val="24"/>
        </w:rPr>
        <w:t>At all times during a Test, the Storage Unit(s), including all auxillary equipment, shall be operated in compliance with the Test Plan, Prudent Electrical Practices and all operating protocols recommended, required or established by the manufacturer for operation at PMAX and PMIN.</w:t>
      </w:r>
    </w:p>
    <w:p w14:paraId="1BE8F450" w14:textId="77777777" w:rsidR="00367C93" w:rsidRPr="0027789B" w:rsidRDefault="00367C93" w:rsidP="00367C93">
      <w:pPr>
        <w:pStyle w:val="ListParagraph"/>
        <w:widowControl/>
        <w:numPr>
          <w:ilvl w:val="0"/>
          <w:numId w:val="49"/>
        </w:numPr>
        <w:spacing w:after="240" w:line="240" w:lineRule="auto"/>
        <w:ind w:left="2160" w:hanging="720"/>
        <w:jc w:val="left"/>
        <w:rPr>
          <w:rFonts w:ascii="Times New Roman" w:hAnsi="Times New Roman" w:cs="Times New Roman"/>
          <w:noProof/>
          <w:sz w:val="24"/>
          <w:szCs w:val="24"/>
        </w:rPr>
      </w:pPr>
      <w:r w:rsidRPr="0027789B">
        <w:rPr>
          <w:rFonts w:ascii="Times New Roman" w:hAnsi="Times New Roman" w:cs="Times New Roman"/>
          <w:noProof/>
          <w:sz w:val="24"/>
          <w:szCs w:val="24"/>
        </w:rPr>
        <w:t>SCE in its sole descretion may elect to shorten the run periods or waive a particular portion of a Test at any time</w:t>
      </w:r>
      <w:r>
        <w:rPr>
          <w:rFonts w:ascii="Times New Roman" w:hAnsi="Times New Roman" w:cs="Times New Roman"/>
          <w:noProof/>
          <w:sz w:val="24"/>
          <w:szCs w:val="24"/>
        </w:rPr>
        <w:t xml:space="preserve">. </w:t>
      </w:r>
      <w:r w:rsidRPr="0027789B">
        <w:rPr>
          <w:rFonts w:ascii="Times New Roman" w:hAnsi="Times New Roman" w:cs="Times New Roman"/>
          <w:noProof/>
          <w:sz w:val="24"/>
          <w:szCs w:val="24"/>
        </w:rPr>
        <w:t>Such election or waiver during one Test does not shorten any run period or waive any portion of any subsequent Test.</w:t>
      </w:r>
    </w:p>
    <w:p w14:paraId="52F166BF" w14:textId="77777777" w:rsidR="00367C93" w:rsidRPr="0027789B" w:rsidRDefault="00367C93" w:rsidP="00367C93">
      <w:pPr>
        <w:pStyle w:val="ListParagraph"/>
        <w:widowControl/>
        <w:numPr>
          <w:ilvl w:val="0"/>
          <w:numId w:val="49"/>
        </w:numPr>
        <w:spacing w:after="240" w:line="240" w:lineRule="auto"/>
        <w:ind w:left="2160" w:hanging="720"/>
        <w:jc w:val="left"/>
        <w:rPr>
          <w:rFonts w:ascii="Times New Roman" w:hAnsi="Times New Roman" w:cs="Times New Roman"/>
          <w:noProof/>
          <w:sz w:val="24"/>
          <w:szCs w:val="24"/>
        </w:rPr>
      </w:pPr>
      <w:r w:rsidRPr="00484686">
        <w:rPr>
          <w:rFonts w:ascii="Times New Roman" w:hAnsi="Times New Roman" w:cs="Times New Roman"/>
          <w:noProof/>
          <w:sz w:val="24"/>
          <w:szCs w:val="24"/>
          <w:u w:val="single"/>
        </w:rPr>
        <w:t>Abnormal Conditions</w:t>
      </w:r>
      <w:r w:rsidRPr="00484686">
        <w:rPr>
          <w:rFonts w:ascii="Times New Roman" w:hAnsi="Times New Roman" w:cs="Times New Roman"/>
          <w:noProof/>
          <w:sz w:val="24"/>
          <w:szCs w:val="24"/>
        </w:rPr>
        <w:t xml:space="preserve">. If abnormal operating conditions occur during a Test, SCE may postpone or reschedule all or part of such Test in its reasonable discretion in accordance with </w:t>
      </w:r>
      <w:r w:rsidRPr="00484686">
        <w:rPr>
          <w:rFonts w:ascii="Times New Roman" w:hAnsi="Times New Roman" w:cs="Times New Roman"/>
          <w:sz w:val="24"/>
          <w:szCs w:val="24"/>
        </w:rPr>
        <w:t>Part II</w:t>
      </w:r>
      <w:r w:rsidRPr="00484686">
        <w:rPr>
          <w:rFonts w:ascii="Times New Roman" w:hAnsi="Times New Roman" w:cs="Times New Roman"/>
          <w:noProof/>
          <w:sz w:val="24"/>
          <w:szCs w:val="24"/>
        </w:rPr>
        <w:t xml:space="preserve">.F. or </w:t>
      </w:r>
      <w:r w:rsidRPr="00484686">
        <w:rPr>
          <w:rFonts w:ascii="Times New Roman" w:hAnsi="Times New Roman" w:cs="Times New Roman"/>
          <w:sz w:val="24"/>
          <w:szCs w:val="24"/>
        </w:rPr>
        <w:t>Part II</w:t>
      </w:r>
      <w:r w:rsidRPr="00484686">
        <w:rPr>
          <w:rFonts w:ascii="Times New Roman" w:hAnsi="Times New Roman" w:cs="Times New Roman"/>
          <w:noProof/>
          <w:sz w:val="24"/>
          <w:szCs w:val="24"/>
        </w:rPr>
        <w:t>.</w:t>
      </w:r>
      <w:r w:rsidRPr="0027789B">
        <w:rPr>
          <w:rFonts w:ascii="Times New Roman" w:hAnsi="Times New Roman" w:cs="Times New Roman"/>
          <w:noProof/>
          <w:sz w:val="24"/>
          <w:szCs w:val="24"/>
        </w:rPr>
        <w:t>G., below.</w:t>
      </w:r>
    </w:p>
    <w:p w14:paraId="11FF8462" w14:textId="77777777" w:rsidR="00367C93" w:rsidRPr="0027789B" w:rsidRDefault="00367C93" w:rsidP="00367C93">
      <w:pPr>
        <w:pStyle w:val="ListParagraph"/>
        <w:widowControl/>
        <w:numPr>
          <w:ilvl w:val="0"/>
          <w:numId w:val="49"/>
        </w:numPr>
        <w:spacing w:after="240" w:line="240" w:lineRule="auto"/>
        <w:ind w:left="2160" w:hanging="720"/>
        <w:jc w:val="left"/>
        <w:rPr>
          <w:rFonts w:ascii="Times New Roman" w:hAnsi="Times New Roman" w:cs="Times New Roman"/>
          <w:noProof/>
          <w:sz w:val="24"/>
          <w:szCs w:val="24"/>
        </w:rPr>
      </w:pPr>
      <w:r w:rsidRPr="0027789B">
        <w:rPr>
          <w:rFonts w:ascii="Times New Roman" w:hAnsi="Times New Roman" w:cs="Times New Roman"/>
          <w:bCs/>
          <w:noProof/>
          <w:color w:val="000000"/>
          <w:sz w:val="24"/>
          <w:szCs w:val="24"/>
          <w:u w:val="single"/>
        </w:rPr>
        <w:t>Applicable Laws and Permits</w:t>
      </w:r>
      <w:r>
        <w:rPr>
          <w:rFonts w:ascii="Times New Roman" w:hAnsi="Times New Roman" w:cs="Times New Roman"/>
          <w:bCs/>
          <w:noProof/>
          <w:color w:val="000000"/>
          <w:sz w:val="24"/>
          <w:szCs w:val="24"/>
        </w:rPr>
        <w:t xml:space="preserve">. </w:t>
      </w:r>
      <w:r w:rsidRPr="0027789B">
        <w:rPr>
          <w:rFonts w:ascii="Times New Roman" w:hAnsi="Times New Roman" w:cs="Times New Roman"/>
          <w:bCs/>
          <w:noProof/>
          <w:color w:val="000000"/>
          <w:sz w:val="24"/>
          <w:szCs w:val="24"/>
        </w:rPr>
        <w:t xml:space="preserve">The Storage Unit(s) shall be operated in compliance with all Applicable Laws and </w:t>
      </w:r>
      <w:r>
        <w:rPr>
          <w:rFonts w:ascii="Times New Roman" w:hAnsi="Times New Roman" w:cs="Times New Roman"/>
          <w:bCs/>
          <w:noProof/>
          <w:color w:val="000000"/>
          <w:sz w:val="24"/>
          <w:szCs w:val="24"/>
        </w:rPr>
        <w:t>P</w:t>
      </w:r>
      <w:r w:rsidRPr="0027789B">
        <w:rPr>
          <w:rFonts w:ascii="Times New Roman" w:hAnsi="Times New Roman" w:cs="Times New Roman"/>
          <w:bCs/>
          <w:noProof/>
          <w:color w:val="000000"/>
          <w:sz w:val="24"/>
          <w:szCs w:val="24"/>
        </w:rPr>
        <w:t>ermits, including those governing safety, noise, air and water emissions during any Test.</w:t>
      </w:r>
    </w:p>
    <w:p w14:paraId="128652A9" w14:textId="77777777" w:rsidR="00367C93" w:rsidRPr="0027789B" w:rsidRDefault="00367C93" w:rsidP="00367C93">
      <w:pPr>
        <w:pStyle w:val="ListParagraph"/>
        <w:widowControl/>
        <w:numPr>
          <w:ilvl w:val="0"/>
          <w:numId w:val="49"/>
        </w:numPr>
        <w:spacing w:after="240" w:line="240" w:lineRule="auto"/>
        <w:ind w:left="2160" w:hanging="720"/>
        <w:jc w:val="left"/>
        <w:rPr>
          <w:rFonts w:ascii="Times New Roman" w:hAnsi="Times New Roman" w:cs="Times New Roman"/>
          <w:noProof/>
          <w:sz w:val="24"/>
          <w:szCs w:val="24"/>
        </w:rPr>
      </w:pPr>
      <w:r w:rsidRPr="0027789B">
        <w:rPr>
          <w:rFonts w:ascii="Times New Roman" w:hAnsi="Times New Roman" w:cs="Times New Roman"/>
          <w:bCs/>
          <w:noProof/>
          <w:color w:val="000000"/>
          <w:sz w:val="24"/>
          <w:szCs w:val="24"/>
          <w:u w:val="single"/>
        </w:rPr>
        <w:lastRenderedPageBreak/>
        <w:t>Instrumentation and Metering</w:t>
      </w:r>
      <w:r>
        <w:rPr>
          <w:rFonts w:ascii="Times New Roman" w:hAnsi="Times New Roman" w:cs="Times New Roman"/>
          <w:bCs/>
          <w:noProof/>
          <w:color w:val="000000"/>
          <w:sz w:val="24"/>
          <w:szCs w:val="24"/>
        </w:rPr>
        <w:t>.</w:t>
      </w:r>
      <w:r w:rsidRPr="00FF157D">
        <w:rPr>
          <w:rFonts w:ascii="Times New Roman" w:hAnsi="Times New Roman"/>
          <w:color w:val="000000"/>
          <w:sz w:val="24"/>
        </w:rPr>
        <w:t xml:space="preserve"> </w:t>
      </w:r>
      <w:r w:rsidRPr="0027789B">
        <w:rPr>
          <w:rFonts w:ascii="Times New Roman" w:hAnsi="Times New Roman" w:cs="Times New Roman"/>
          <w:bCs/>
          <w:noProof/>
          <w:color w:val="000000"/>
          <w:sz w:val="24"/>
          <w:szCs w:val="24"/>
        </w:rPr>
        <w:t>Seller shall provide all instrumentation, metering and data collection equipment required to perform the Test</w:t>
      </w:r>
      <w:r>
        <w:rPr>
          <w:rFonts w:ascii="Times New Roman" w:hAnsi="Times New Roman" w:cs="Times New Roman"/>
          <w:bCs/>
          <w:noProof/>
          <w:color w:val="000000"/>
          <w:sz w:val="24"/>
          <w:szCs w:val="24"/>
        </w:rPr>
        <w:t xml:space="preserve">. </w:t>
      </w:r>
      <w:r w:rsidRPr="0027789B">
        <w:rPr>
          <w:rFonts w:ascii="Times New Roman" w:hAnsi="Times New Roman" w:cs="Times New Roman"/>
          <w:bCs/>
          <w:noProof/>
          <w:color w:val="000000"/>
          <w:sz w:val="24"/>
          <w:szCs w:val="24"/>
        </w:rPr>
        <w:t>Seller shall calibrate or cause to be calibrated all such instrumentation, metering and data collection equipment no more than three (3) months prior to the date of the Test</w:t>
      </w:r>
      <w:r>
        <w:rPr>
          <w:rFonts w:ascii="Times New Roman" w:hAnsi="Times New Roman" w:cs="Times New Roman"/>
          <w:bCs/>
          <w:noProof/>
          <w:color w:val="000000"/>
          <w:sz w:val="24"/>
          <w:szCs w:val="24"/>
        </w:rPr>
        <w:t xml:space="preserve">. </w:t>
      </w:r>
      <w:r w:rsidRPr="0027789B">
        <w:rPr>
          <w:rFonts w:ascii="Times New Roman" w:hAnsi="Times New Roman" w:cs="Times New Roman"/>
          <w:bCs/>
          <w:noProof/>
          <w:color w:val="000000"/>
          <w:sz w:val="24"/>
          <w:szCs w:val="24"/>
        </w:rPr>
        <w:t>All electrical metering for the Tests shall utilize the Storage Unit(s)’ CAISO metering equipment or other metering deemed acceptable by SCE in its sole discretion</w:t>
      </w:r>
      <w:r>
        <w:rPr>
          <w:rFonts w:ascii="Times New Roman" w:hAnsi="Times New Roman" w:cs="Times New Roman"/>
          <w:bCs/>
          <w:noProof/>
          <w:color w:val="000000"/>
          <w:sz w:val="24"/>
          <w:szCs w:val="24"/>
        </w:rPr>
        <w:t xml:space="preserve">. </w:t>
      </w:r>
      <w:r w:rsidRPr="0027789B">
        <w:rPr>
          <w:rFonts w:ascii="Times New Roman" w:hAnsi="Times New Roman" w:cs="Times New Roman"/>
          <w:bCs/>
          <w:noProof/>
          <w:color w:val="000000"/>
          <w:sz w:val="24"/>
          <w:szCs w:val="24"/>
        </w:rPr>
        <w:t>These electrical meters shall be calibrated to CAISO standards</w:t>
      </w:r>
      <w:r>
        <w:rPr>
          <w:rFonts w:ascii="Times New Roman" w:hAnsi="Times New Roman" w:cs="Times New Roman"/>
          <w:bCs/>
          <w:noProof/>
          <w:color w:val="000000"/>
          <w:sz w:val="24"/>
          <w:szCs w:val="24"/>
        </w:rPr>
        <w:t xml:space="preserve">. </w:t>
      </w:r>
      <w:r w:rsidRPr="0027789B">
        <w:rPr>
          <w:rFonts w:ascii="Times New Roman" w:hAnsi="Times New Roman" w:cs="Times New Roman"/>
          <w:bCs/>
          <w:noProof/>
          <w:color w:val="000000"/>
          <w:sz w:val="24"/>
          <w:szCs w:val="24"/>
        </w:rPr>
        <w:t>Copies of all calbration sheets shall be provided to SCE at least five (5) Business Days prior to the Test</w:t>
      </w:r>
      <w:r>
        <w:rPr>
          <w:rFonts w:ascii="Times New Roman" w:hAnsi="Times New Roman" w:cs="Times New Roman"/>
          <w:bCs/>
          <w:noProof/>
          <w:color w:val="000000"/>
          <w:sz w:val="24"/>
          <w:szCs w:val="24"/>
        </w:rPr>
        <w:t>.</w:t>
      </w:r>
      <w:r w:rsidRPr="00FF157D">
        <w:rPr>
          <w:rFonts w:ascii="Times New Roman" w:hAnsi="Times New Roman"/>
          <w:color w:val="000000"/>
          <w:sz w:val="24"/>
        </w:rPr>
        <w:t xml:space="preserve"> </w:t>
      </w:r>
    </w:p>
    <w:p w14:paraId="461DD391" w14:textId="77777777" w:rsidR="00367C93" w:rsidRPr="0027789B" w:rsidRDefault="00367C93" w:rsidP="00367C93">
      <w:pPr>
        <w:pStyle w:val="ListParagraph"/>
        <w:widowControl/>
        <w:spacing w:after="240" w:line="240" w:lineRule="auto"/>
        <w:ind w:left="2160"/>
        <w:jc w:val="left"/>
        <w:rPr>
          <w:rFonts w:ascii="Times New Roman" w:hAnsi="Times New Roman" w:cs="Times New Roman"/>
          <w:noProof/>
          <w:sz w:val="24"/>
          <w:szCs w:val="24"/>
        </w:rPr>
      </w:pPr>
      <w:r w:rsidRPr="0027789B">
        <w:rPr>
          <w:rFonts w:ascii="Times New Roman" w:hAnsi="Times New Roman" w:cs="Times New Roman"/>
          <w:sz w:val="24"/>
          <w:szCs w:val="24"/>
        </w:rPr>
        <w:t>Permanently installed instruments shall include but not be limited to revenue metering devices located in the switchyard where the Project is located</w:t>
      </w:r>
      <w:r>
        <w:rPr>
          <w:rFonts w:ascii="Times New Roman" w:hAnsi="Times New Roman" w:cs="Times New Roman"/>
          <w:sz w:val="24"/>
          <w:szCs w:val="24"/>
        </w:rPr>
        <w:t xml:space="preserve">. </w:t>
      </w:r>
      <w:r w:rsidRPr="0027789B">
        <w:rPr>
          <w:rFonts w:ascii="Times New Roman" w:hAnsi="Times New Roman" w:cs="Times New Roman"/>
          <w:sz w:val="24"/>
          <w:szCs w:val="24"/>
        </w:rPr>
        <w:t>Whenever possible, all data will be accessed through the Storage Unit’s DCS.</w:t>
      </w:r>
    </w:p>
    <w:p w14:paraId="014A4808" w14:textId="77777777" w:rsidR="00367C93" w:rsidRPr="0027789B" w:rsidRDefault="00367C93" w:rsidP="00367C93">
      <w:pPr>
        <w:ind w:left="1440" w:hanging="720"/>
        <w:rPr>
          <w:bCs/>
          <w:noProof/>
          <w:color w:val="000000"/>
        </w:rPr>
      </w:pPr>
      <w:r w:rsidRPr="00484686">
        <w:rPr>
          <w:bCs/>
          <w:noProof/>
          <w:color w:val="000000"/>
        </w:rPr>
        <w:t>E.</w:t>
      </w:r>
      <w:r w:rsidRPr="00484686">
        <w:rPr>
          <w:b/>
          <w:bCs/>
          <w:noProof/>
          <w:color w:val="000000"/>
        </w:rPr>
        <w:tab/>
      </w:r>
      <w:r w:rsidRPr="00484686">
        <w:rPr>
          <w:bCs/>
          <w:noProof/>
          <w:color w:val="000000"/>
          <w:u w:val="single"/>
        </w:rPr>
        <w:t>Test Records</w:t>
      </w:r>
      <w:r w:rsidRPr="00484686">
        <w:rPr>
          <w:bCs/>
          <w:noProof/>
          <w:color w:val="000000"/>
        </w:rPr>
        <w:t>. Seller shall provide all records associated with Part II.A. through C. no later than four (4) Business Days following completion of a Test. The records shall include copies of the raw data taken during the Test.</w:t>
      </w:r>
    </w:p>
    <w:p w14:paraId="19BA1308" w14:textId="77777777" w:rsidR="00367C93" w:rsidRPr="0027789B" w:rsidRDefault="00367C93" w:rsidP="00367C93">
      <w:pPr>
        <w:ind w:left="1440" w:hanging="720"/>
      </w:pPr>
      <w:r w:rsidRPr="0027789B">
        <w:t>F.</w:t>
      </w:r>
      <w:r w:rsidRPr="0027789B">
        <w:tab/>
      </w:r>
      <w:r w:rsidRPr="00433444">
        <w:rPr>
          <w:bCs/>
          <w:noProof/>
          <w:color w:val="000000"/>
          <w:u w:val="single"/>
        </w:rPr>
        <w:t>Incomplete Test</w:t>
      </w:r>
      <w:r>
        <w:rPr>
          <w:bCs/>
          <w:noProof/>
          <w:color w:val="000000"/>
        </w:rPr>
        <w:t xml:space="preserve">. </w:t>
      </w:r>
      <w:r w:rsidRPr="0027789B">
        <w:rPr>
          <w:bCs/>
          <w:noProof/>
          <w:color w:val="000000"/>
        </w:rPr>
        <w:t>If any Test is not completed in accordance herewith, SCE may in its sole discretion: (i) accept the Test results up to the time the Test stopped (other than in the case such Test is an Initial Commercial Operation Test); (ii) require that the portion of the Test not completed, be completed within a reasonable specified time period; or (iii) require that the Test be entirely repeated</w:t>
      </w:r>
      <w:r>
        <w:rPr>
          <w:bCs/>
          <w:noProof/>
          <w:color w:val="000000"/>
        </w:rPr>
        <w:t xml:space="preserve">. </w:t>
      </w:r>
      <w:r w:rsidRPr="0027789B">
        <w:rPr>
          <w:bCs/>
          <w:noProof/>
          <w:color w:val="000000"/>
        </w:rPr>
        <w:t xml:space="preserve">Notwithstanding the above, if Seller is unable to complete a Test due to a Seller’s Force Majeure or the actions or inactions of SCE or </w:t>
      </w:r>
      <w:r w:rsidRPr="002D26FA">
        <w:rPr>
          <w:bCs/>
          <w:noProof/>
          <w:color w:val="000000"/>
        </w:rPr>
        <w:t>the CAISO, Seller shall be permitted to reconduct such Test as a Seller Initiated Test under Section</w:t>
      </w:r>
      <w:r w:rsidRPr="00FD0EDB">
        <w:rPr>
          <w:bCs/>
          <w:noProof/>
          <w:color w:val="000000"/>
        </w:rPr>
        <w:t xml:space="preserve"> </w:t>
      </w:r>
      <w:r w:rsidRPr="00EE1708">
        <w:rPr>
          <w:bCs/>
          <w:noProof/>
          <w:color w:val="000000"/>
        </w:rPr>
        <w:t>5.03(c)(iii)</w:t>
      </w:r>
      <w:r w:rsidRPr="0027789B">
        <w:rPr>
          <w:bCs/>
          <w:noProof/>
          <w:color w:val="000000"/>
        </w:rPr>
        <w:t xml:space="preserve"> on dates and at times reasonably acceptable to SCE.</w:t>
      </w:r>
      <w:r w:rsidRPr="0027789B">
        <w:t xml:space="preserve"> </w:t>
      </w:r>
    </w:p>
    <w:p w14:paraId="1278CF42" w14:textId="77777777" w:rsidR="00367C93" w:rsidRPr="0027789B" w:rsidRDefault="00367C93" w:rsidP="00367C93">
      <w:pPr>
        <w:ind w:left="1440" w:hanging="720"/>
        <w:rPr>
          <w:bCs/>
          <w:noProof/>
          <w:color w:val="000000"/>
        </w:rPr>
      </w:pPr>
      <w:r w:rsidRPr="0027789B">
        <w:rPr>
          <w:bCs/>
          <w:noProof/>
          <w:color w:val="000000"/>
        </w:rPr>
        <w:t>G.</w:t>
      </w:r>
      <w:r w:rsidRPr="0027789B">
        <w:rPr>
          <w:bCs/>
          <w:noProof/>
          <w:color w:val="000000"/>
        </w:rPr>
        <w:tab/>
      </w:r>
      <w:r w:rsidRPr="0027789B">
        <w:rPr>
          <w:bCs/>
          <w:noProof/>
          <w:color w:val="000000"/>
          <w:u w:val="single"/>
        </w:rPr>
        <w:t>Retest</w:t>
      </w:r>
      <w:r>
        <w:rPr>
          <w:bCs/>
          <w:noProof/>
          <w:color w:val="000000"/>
        </w:rPr>
        <w:t xml:space="preserve">. </w:t>
      </w:r>
      <w:r w:rsidRPr="0027789B">
        <w:rPr>
          <w:bCs/>
          <w:noProof/>
          <w:color w:val="000000"/>
        </w:rPr>
        <w:t>After the successful completion of a Test, Seller has the right, for any reason, to conduct a maximum of two (2) “</w:t>
      </w:r>
      <w:r w:rsidRPr="0027789B">
        <w:rPr>
          <w:bCs/>
          <w:noProof/>
          <w:color w:val="000000"/>
          <w:u w:val="single"/>
        </w:rPr>
        <w:t>Retests</w:t>
      </w:r>
      <w:r w:rsidRPr="0027789B">
        <w:rPr>
          <w:bCs/>
          <w:noProof/>
          <w:color w:val="000000"/>
        </w:rPr>
        <w:t>” at Seller’s sole expense including cost of charging the Storage Unit(s)</w:t>
      </w:r>
      <w:r>
        <w:rPr>
          <w:bCs/>
          <w:noProof/>
          <w:color w:val="000000"/>
        </w:rPr>
        <w:t xml:space="preserve">. </w:t>
      </w:r>
      <w:r w:rsidRPr="0027789B">
        <w:rPr>
          <w:bCs/>
          <w:noProof/>
          <w:color w:val="000000"/>
        </w:rPr>
        <w:t>For the avoidance of doubt, the limitation on retesting set forth in the preceding sentence does not apply to any testing of a Storage Unit other than an Initial Commercial Operation Test or Contract Capacity &amp; Ancillary Services Test.</w:t>
      </w:r>
    </w:p>
    <w:p w14:paraId="3FB3E28B" w14:textId="77777777" w:rsidR="00367C93" w:rsidRPr="0027789B" w:rsidRDefault="00367C93" w:rsidP="00367C93">
      <w:pPr>
        <w:ind w:left="1440"/>
        <w:rPr>
          <w:bCs/>
          <w:noProof/>
          <w:color w:val="000000"/>
        </w:rPr>
      </w:pPr>
      <w:r w:rsidRPr="00FD0EDB">
        <w:rPr>
          <w:bCs/>
          <w:noProof/>
          <w:color w:val="000000"/>
        </w:rPr>
        <w:t xml:space="preserve">If the </w:t>
      </w:r>
      <w:r>
        <w:rPr>
          <w:bCs/>
          <w:noProof/>
          <w:color w:val="000000"/>
        </w:rPr>
        <w:t>t</w:t>
      </w:r>
      <w:r w:rsidRPr="00FD0EDB">
        <w:rPr>
          <w:bCs/>
          <w:noProof/>
          <w:color w:val="000000"/>
        </w:rPr>
        <w:t xml:space="preserve">est </w:t>
      </w:r>
      <w:r>
        <w:rPr>
          <w:bCs/>
          <w:noProof/>
          <w:color w:val="000000"/>
        </w:rPr>
        <w:t>r</w:t>
      </w:r>
      <w:r w:rsidRPr="00FD0EDB">
        <w:rPr>
          <w:bCs/>
          <w:noProof/>
          <w:color w:val="000000"/>
        </w:rPr>
        <w:t>ecords</w:t>
      </w:r>
      <w:r>
        <w:rPr>
          <w:bCs/>
          <w:noProof/>
          <w:color w:val="000000"/>
        </w:rPr>
        <w:t xml:space="preserve"> and data</w:t>
      </w:r>
      <w:r w:rsidRPr="00FD0EDB">
        <w:rPr>
          <w:bCs/>
          <w:noProof/>
          <w:color w:val="000000"/>
        </w:rPr>
        <w:t xml:space="preserve"> provided by Seller to SCE in accordance with </w:t>
      </w:r>
      <w:r w:rsidRPr="00FD0EDB">
        <w:t>Part II</w:t>
      </w:r>
      <w:r w:rsidRPr="00FD0EDB">
        <w:rPr>
          <w:bCs/>
          <w:noProof/>
          <w:color w:val="000000"/>
        </w:rPr>
        <w:t>.E. are not in accord with the records and notes of the SCE representative</w:t>
      </w:r>
      <w:r w:rsidRPr="0027789B">
        <w:rPr>
          <w:bCs/>
          <w:noProof/>
          <w:color w:val="000000"/>
        </w:rPr>
        <w:t xml:space="preserve"> who attended such Test on SCE’s behalf, SCE may require the Test to be repeated or </w:t>
      </w:r>
      <w:r w:rsidRPr="0027789B">
        <w:rPr>
          <w:bCs/>
          <w:noProof/>
          <w:color w:val="000000"/>
        </w:rPr>
        <w:lastRenderedPageBreak/>
        <w:t>conducted by SCE or a testing firm of SCE’s choice and attended by Seller’s representatives at Seller’s expense.</w:t>
      </w:r>
    </w:p>
    <w:p w14:paraId="7306BC3B" w14:textId="77777777" w:rsidR="00367C93" w:rsidRPr="0027789B" w:rsidRDefault="00367C93" w:rsidP="00367C93">
      <w:pPr>
        <w:ind w:left="1440"/>
        <w:rPr>
          <w:bCs/>
          <w:noProof/>
          <w:color w:val="000000"/>
        </w:rPr>
      </w:pPr>
      <w:r w:rsidRPr="0027789B">
        <w:rPr>
          <w:bCs/>
          <w:noProof/>
          <w:color w:val="000000"/>
        </w:rPr>
        <w:t>The records from any Retest shall be used to determine Storage Unit performance as of the date of the original Test being repeated.</w:t>
      </w:r>
    </w:p>
    <w:p w14:paraId="647021C3" w14:textId="77777777" w:rsidR="00367C93" w:rsidRPr="0027789B" w:rsidRDefault="00367C93" w:rsidP="00367C93">
      <w:pPr>
        <w:ind w:left="1440" w:hanging="720"/>
        <w:rPr>
          <w:bCs/>
          <w:noProof/>
          <w:color w:val="000000"/>
        </w:rPr>
      </w:pPr>
      <w:r w:rsidRPr="0027789B">
        <w:rPr>
          <w:bCs/>
          <w:noProof/>
          <w:color w:val="000000"/>
        </w:rPr>
        <w:t>H.</w:t>
      </w:r>
      <w:r w:rsidRPr="0027789B">
        <w:rPr>
          <w:bCs/>
          <w:noProof/>
          <w:color w:val="000000"/>
        </w:rPr>
        <w:tab/>
      </w:r>
      <w:r w:rsidRPr="0027789B">
        <w:rPr>
          <w:bCs/>
          <w:noProof/>
          <w:color w:val="000000"/>
          <w:u w:val="single"/>
        </w:rPr>
        <w:t>Final Report</w:t>
      </w:r>
      <w:r>
        <w:rPr>
          <w:bCs/>
          <w:noProof/>
          <w:color w:val="000000"/>
        </w:rPr>
        <w:t xml:space="preserve">. </w:t>
      </w:r>
      <w:r w:rsidRPr="0027789B">
        <w:rPr>
          <w:bCs/>
          <w:noProof/>
          <w:color w:val="000000"/>
        </w:rPr>
        <w:t>Within fifteen (15) Business Days after the completion of a Test (including a Retest), Seller shall prepare and submit to SCE a written report of the Test</w:t>
      </w:r>
      <w:r>
        <w:rPr>
          <w:bCs/>
          <w:noProof/>
          <w:color w:val="000000"/>
        </w:rPr>
        <w:t xml:space="preserve">. </w:t>
      </w:r>
      <w:r w:rsidRPr="0027789B">
        <w:rPr>
          <w:bCs/>
          <w:noProof/>
          <w:color w:val="000000"/>
        </w:rPr>
        <w:t>At a minimum, the report shall include:</w:t>
      </w:r>
    </w:p>
    <w:p w14:paraId="3CCC1945" w14:textId="77777777" w:rsidR="00367C93" w:rsidRPr="0027789B" w:rsidRDefault="00367C93" w:rsidP="00367C93">
      <w:pPr>
        <w:ind w:left="2160" w:hanging="720"/>
        <w:rPr>
          <w:bCs/>
          <w:noProof/>
          <w:color w:val="000000"/>
        </w:rPr>
      </w:pPr>
      <w:r w:rsidRPr="0027789B">
        <w:rPr>
          <w:bCs/>
          <w:noProof/>
          <w:color w:val="000000"/>
        </w:rPr>
        <w:t>(1)</w:t>
      </w:r>
      <w:r w:rsidRPr="0027789B">
        <w:rPr>
          <w:bCs/>
          <w:noProof/>
          <w:color w:val="000000"/>
        </w:rPr>
        <w:tab/>
        <w:t>a record of the personnel present during all or any part of the Test, whether serving in an operating, testing, monitoring or other such participatory role;</w:t>
      </w:r>
    </w:p>
    <w:p w14:paraId="7CF24753" w14:textId="77777777" w:rsidR="00367C93" w:rsidRPr="0027789B" w:rsidRDefault="00367C93" w:rsidP="00367C93">
      <w:pPr>
        <w:ind w:left="2160" w:hanging="720"/>
        <w:rPr>
          <w:bCs/>
          <w:noProof/>
          <w:color w:val="000000"/>
        </w:rPr>
      </w:pPr>
      <w:r w:rsidRPr="0027789B">
        <w:rPr>
          <w:bCs/>
          <w:noProof/>
          <w:color w:val="000000"/>
        </w:rPr>
        <w:t>(2)</w:t>
      </w:r>
      <w:r w:rsidRPr="0027789B">
        <w:rPr>
          <w:bCs/>
          <w:noProof/>
          <w:color w:val="000000"/>
        </w:rPr>
        <w:tab/>
        <w:t>a record of any unusual or abnormal conditions or events that occurred during the Test and any actions taken in response thereto;</w:t>
      </w:r>
    </w:p>
    <w:p w14:paraId="75A7447E" w14:textId="77777777" w:rsidR="00367C93" w:rsidRPr="0027789B" w:rsidRDefault="00367C93" w:rsidP="00367C93">
      <w:pPr>
        <w:ind w:left="2160" w:hanging="720"/>
        <w:rPr>
          <w:bCs/>
          <w:noProof/>
          <w:color w:val="000000"/>
        </w:rPr>
      </w:pPr>
      <w:r w:rsidRPr="0027789B">
        <w:rPr>
          <w:bCs/>
          <w:noProof/>
          <w:color w:val="000000"/>
        </w:rPr>
        <w:t>(3)</w:t>
      </w:r>
      <w:r w:rsidRPr="0027789B">
        <w:rPr>
          <w:bCs/>
          <w:noProof/>
          <w:color w:val="000000"/>
        </w:rPr>
        <w:tab/>
        <w:t>the measured Test data for each aspect of the Test;</w:t>
      </w:r>
    </w:p>
    <w:p w14:paraId="2CFB9407" w14:textId="77777777" w:rsidR="00367C93" w:rsidRPr="0027789B" w:rsidRDefault="00367C93" w:rsidP="00367C93">
      <w:pPr>
        <w:ind w:left="2160" w:hanging="720"/>
        <w:rPr>
          <w:bCs/>
          <w:noProof/>
          <w:color w:val="000000"/>
        </w:rPr>
      </w:pPr>
      <w:r w:rsidRPr="0027789B">
        <w:rPr>
          <w:bCs/>
          <w:noProof/>
          <w:color w:val="000000"/>
        </w:rPr>
        <w:t>(4)</w:t>
      </w:r>
      <w:r w:rsidRPr="0027789B">
        <w:rPr>
          <w:bCs/>
          <w:noProof/>
          <w:color w:val="000000"/>
        </w:rPr>
        <w:tab/>
        <w:t>the level of Contract Capacity, Charging Capacity, Discharging Capacity and Storage Capacity determined by the Test, including supporting calculations; and</w:t>
      </w:r>
    </w:p>
    <w:p w14:paraId="4A6AACEE" w14:textId="77777777" w:rsidR="00367C93" w:rsidRPr="0027789B" w:rsidRDefault="00367C93" w:rsidP="00367C93">
      <w:pPr>
        <w:ind w:left="2160" w:hanging="720"/>
        <w:rPr>
          <w:bCs/>
          <w:noProof/>
          <w:color w:val="000000"/>
        </w:rPr>
      </w:pPr>
      <w:r w:rsidRPr="0027789B">
        <w:rPr>
          <w:bCs/>
          <w:noProof/>
          <w:color w:val="000000"/>
        </w:rPr>
        <w:t>(5)</w:t>
      </w:r>
      <w:r w:rsidRPr="0027789B">
        <w:rPr>
          <w:bCs/>
          <w:noProof/>
          <w:color w:val="000000"/>
        </w:rPr>
        <w:tab/>
        <w:t>Seller’s statement of either Seller’s acceptance of the Test or Seller’s rejection of the Test results and reason(s) therefore.</w:t>
      </w:r>
    </w:p>
    <w:p w14:paraId="7978FEE0" w14:textId="77777777" w:rsidR="00367C93" w:rsidRPr="0027789B" w:rsidRDefault="00367C93" w:rsidP="00367C93">
      <w:pPr>
        <w:ind w:left="1440"/>
        <w:rPr>
          <w:bCs/>
          <w:noProof/>
          <w:color w:val="000000"/>
        </w:rPr>
      </w:pPr>
      <w:r w:rsidRPr="0027789B">
        <w:rPr>
          <w:bCs/>
          <w:noProof/>
          <w:color w:val="000000"/>
        </w:rPr>
        <w:t>Within ten (10) Business Days after receipt of such report, SCE shall notify Seller in writing of either SCE’s acceptance of the Test results or SCE’s rejection of the Test and reason(s) therefore.</w:t>
      </w:r>
    </w:p>
    <w:p w14:paraId="31D6BE1A" w14:textId="77777777" w:rsidR="00367C93" w:rsidRPr="00484686" w:rsidRDefault="00367C93" w:rsidP="00367C93">
      <w:pPr>
        <w:ind w:left="1440"/>
        <w:rPr>
          <w:bCs/>
          <w:noProof/>
          <w:color w:val="000000"/>
        </w:rPr>
      </w:pPr>
      <w:r w:rsidRPr="0027789B">
        <w:rPr>
          <w:bCs/>
          <w:noProof/>
          <w:color w:val="000000"/>
        </w:rPr>
        <w:t xml:space="preserve">If SCE rejects the results of any Test or Retest, or Seller rejects the results of the first Initial </w:t>
      </w:r>
      <w:r w:rsidRPr="00484686">
        <w:rPr>
          <w:bCs/>
          <w:noProof/>
          <w:color w:val="000000"/>
        </w:rPr>
        <w:t xml:space="preserve">Commercial Operation Test, such Test shall be repeated in accordance with </w:t>
      </w:r>
      <w:r w:rsidRPr="00484686">
        <w:t>Part II</w:t>
      </w:r>
      <w:r w:rsidRPr="00484686">
        <w:rPr>
          <w:bCs/>
          <w:noProof/>
          <w:color w:val="000000"/>
        </w:rPr>
        <w:t>.G</w:t>
      </w:r>
      <w:r w:rsidRPr="00484686">
        <w:rPr>
          <w:color w:val="000000"/>
        </w:rPr>
        <w:t>.</w:t>
      </w:r>
    </w:p>
    <w:p w14:paraId="1647C67C" w14:textId="77777777" w:rsidR="00367C93" w:rsidRPr="0027789B" w:rsidRDefault="00367C93" w:rsidP="00367C93">
      <w:pPr>
        <w:ind w:left="1440" w:hanging="720"/>
        <w:rPr>
          <w:bCs/>
          <w:noProof/>
          <w:color w:val="000000"/>
        </w:rPr>
      </w:pPr>
      <w:r w:rsidRPr="00484686">
        <w:rPr>
          <w:bCs/>
          <w:noProof/>
          <w:color w:val="000000"/>
        </w:rPr>
        <w:t>I.</w:t>
      </w:r>
      <w:r w:rsidRPr="00484686">
        <w:rPr>
          <w:b/>
          <w:bCs/>
          <w:noProof/>
          <w:color w:val="000000"/>
        </w:rPr>
        <w:tab/>
      </w:r>
      <w:r w:rsidRPr="00484686">
        <w:rPr>
          <w:bCs/>
          <w:noProof/>
          <w:color w:val="000000"/>
          <w:u w:val="single"/>
        </w:rPr>
        <w:t>Operating Personnel</w:t>
      </w:r>
      <w:r>
        <w:rPr>
          <w:bCs/>
          <w:noProof/>
          <w:color w:val="000000"/>
        </w:rPr>
        <w:t>.</w:t>
      </w:r>
      <w:r w:rsidRPr="00FF157D">
        <w:rPr>
          <w:color w:val="000000"/>
        </w:rPr>
        <w:t xml:space="preserve"> </w:t>
      </w:r>
      <w:r w:rsidRPr="0027789B">
        <w:rPr>
          <w:bCs/>
          <w:noProof/>
          <w:color w:val="000000"/>
        </w:rPr>
        <w:t>During any Test, the same operating personnel shall operate the Storage Unit(s) that Seller contemplates will operate the Storage Unit(s) during the Delivery Period.</w:t>
      </w:r>
    </w:p>
    <w:p w14:paraId="5A96511F" w14:textId="77777777" w:rsidR="00367C93" w:rsidRPr="0027789B" w:rsidRDefault="00367C93" w:rsidP="00367C93">
      <w:pPr>
        <w:ind w:left="1440" w:hanging="720"/>
      </w:pPr>
      <w:r w:rsidRPr="0027789B">
        <w:t>J.</w:t>
      </w:r>
      <w:r w:rsidRPr="0027789B">
        <w:tab/>
      </w:r>
      <w:r w:rsidRPr="0027789B">
        <w:rPr>
          <w:u w:val="single"/>
        </w:rPr>
        <w:t>SCE Representative</w:t>
      </w:r>
      <w:r>
        <w:t xml:space="preserve">. </w:t>
      </w:r>
      <w:r w:rsidRPr="0027789B">
        <w:rPr>
          <w:noProof/>
        </w:rPr>
        <w:t xml:space="preserve">SCE shall be entitled to have at least two (2) representatives from SCE and one (1) independent third party witness present to witness each </w:t>
      </w:r>
      <w:r w:rsidRPr="0027789B">
        <w:rPr>
          <w:noProof/>
        </w:rPr>
        <w:lastRenderedPageBreak/>
        <w:t>Test and shall be allowed unrestricted access to the area from where the plant is being controlled (e.g., plant control room), and unrestricted access to inspect the instrumentation necessary for Test data acquisition prior to commencement of any Test</w:t>
      </w:r>
      <w:r>
        <w:rPr>
          <w:noProof/>
        </w:rPr>
        <w:t xml:space="preserve">. </w:t>
      </w:r>
      <w:r w:rsidRPr="0027789B">
        <w:rPr>
          <w:noProof/>
        </w:rPr>
        <w:t>SCE shall be responsible for all costs, expenses and fees payable or reimbursable to the representative and the third party, if any.</w:t>
      </w:r>
    </w:p>
    <w:p w14:paraId="53B2F671" w14:textId="77777777" w:rsidR="00367C93" w:rsidRPr="0027789B" w:rsidRDefault="00367C93" w:rsidP="00367C93">
      <w:pPr>
        <w:ind w:left="1440" w:hanging="1440"/>
      </w:pPr>
      <w:r w:rsidRPr="0027789B">
        <w:t>PART III.</w:t>
      </w:r>
      <w:r w:rsidRPr="0027789B">
        <w:tab/>
        <w:t>INITIAL COMMERCIAL OPERATION TEST.</w:t>
      </w:r>
    </w:p>
    <w:p w14:paraId="13A52146" w14:textId="77777777" w:rsidR="00367C93" w:rsidRPr="00CF77B9" w:rsidRDefault="00367C93" w:rsidP="00367C93">
      <w:pPr>
        <w:pStyle w:val="ListParagraph"/>
        <w:widowControl/>
        <w:numPr>
          <w:ilvl w:val="0"/>
          <w:numId w:val="48"/>
        </w:numPr>
        <w:tabs>
          <w:tab w:val="left" w:pos="0"/>
        </w:tabs>
        <w:spacing w:after="240" w:line="240" w:lineRule="auto"/>
        <w:ind w:left="1440" w:hanging="720"/>
        <w:jc w:val="left"/>
        <w:rPr>
          <w:rFonts w:ascii="Times New Roman" w:hAnsi="Times New Roman" w:cs="Times New Roman"/>
          <w:sz w:val="24"/>
          <w:szCs w:val="24"/>
          <w:u w:val="single"/>
        </w:rPr>
      </w:pPr>
      <w:r w:rsidRPr="0027789B">
        <w:rPr>
          <w:rFonts w:ascii="Times New Roman" w:hAnsi="Times New Roman" w:cs="Times New Roman"/>
          <w:sz w:val="24"/>
          <w:szCs w:val="24"/>
          <w:u w:val="single"/>
        </w:rPr>
        <w:t>Test Plan</w:t>
      </w:r>
      <w:r>
        <w:rPr>
          <w:rFonts w:ascii="Times New Roman" w:hAnsi="Times New Roman" w:cs="Times New Roman"/>
          <w:sz w:val="24"/>
          <w:szCs w:val="24"/>
        </w:rPr>
        <w:t xml:space="preserve">. </w:t>
      </w:r>
      <w:r w:rsidRPr="0027789B">
        <w:rPr>
          <w:rFonts w:ascii="Times New Roman" w:hAnsi="Times New Roman" w:cs="Times New Roman"/>
          <w:sz w:val="24"/>
          <w:szCs w:val="24"/>
        </w:rPr>
        <w:t xml:space="preserve">The Test Plan is </w:t>
      </w:r>
      <w:r w:rsidRPr="00484686">
        <w:rPr>
          <w:rFonts w:ascii="Times New Roman" w:hAnsi="Times New Roman" w:cs="Times New Roman"/>
          <w:sz w:val="24"/>
          <w:szCs w:val="24"/>
        </w:rPr>
        <w:t>provided in Part V</w:t>
      </w:r>
      <w:r w:rsidRPr="0027789B">
        <w:rPr>
          <w:rFonts w:ascii="Times New Roman" w:hAnsi="Times New Roman" w:cs="Times New Roman"/>
          <w:sz w:val="24"/>
          <w:szCs w:val="24"/>
        </w:rPr>
        <w:t xml:space="preserve"> of </w:t>
      </w:r>
      <w:r w:rsidRPr="00CF77B9">
        <w:rPr>
          <w:rFonts w:ascii="Times New Roman" w:hAnsi="Times New Roman" w:cs="Times New Roman"/>
          <w:sz w:val="24"/>
          <w:szCs w:val="24"/>
        </w:rPr>
        <w:t xml:space="preserve">this </w:t>
      </w:r>
      <w:r>
        <w:rPr>
          <w:rFonts w:ascii="Times New Roman" w:hAnsi="Times New Roman"/>
          <w:sz w:val="24"/>
          <w:u w:val="single"/>
        </w:rPr>
        <w:t>Exhibit C</w:t>
      </w:r>
      <w:r w:rsidRPr="00CF77B9">
        <w:rPr>
          <w:rFonts w:ascii="Times New Roman" w:hAnsi="Times New Roman" w:cs="Times New Roman"/>
          <w:sz w:val="24"/>
          <w:szCs w:val="24"/>
        </w:rPr>
        <w:t>.</w:t>
      </w:r>
    </w:p>
    <w:p w14:paraId="40FA3433" w14:textId="77777777" w:rsidR="00367C93" w:rsidRPr="0027789B" w:rsidRDefault="00367C93" w:rsidP="00367C93">
      <w:pPr>
        <w:tabs>
          <w:tab w:val="left" w:pos="0"/>
        </w:tabs>
        <w:ind w:left="1440" w:hanging="720"/>
      </w:pPr>
      <w:r w:rsidRPr="0027789B">
        <w:t>B.</w:t>
      </w:r>
      <w:r w:rsidRPr="0027789B">
        <w:tab/>
      </w:r>
      <w:r w:rsidRPr="0027789B">
        <w:rPr>
          <w:u w:val="single"/>
        </w:rPr>
        <w:t>Test Duration</w:t>
      </w:r>
      <w:r>
        <w:t xml:space="preserve">. </w:t>
      </w:r>
      <w:r w:rsidRPr="0027789B">
        <w:t>The Initial Commercial Operation Test shall take place on five (5) consecutive days unless SCE determines in its sole discretion that more or less time is needed.</w:t>
      </w:r>
    </w:p>
    <w:p w14:paraId="59B16417" w14:textId="77777777" w:rsidR="00367C93" w:rsidRPr="0027789B" w:rsidRDefault="00367C93" w:rsidP="00367C93">
      <w:pPr>
        <w:tabs>
          <w:tab w:val="left" w:pos="0"/>
        </w:tabs>
        <w:ind w:left="1440" w:hanging="720"/>
      </w:pPr>
      <w:r w:rsidRPr="0027789B">
        <w:t>C.</w:t>
      </w:r>
      <w:r w:rsidRPr="0027789B">
        <w:tab/>
      </w:r>
      <w:r w:rsidRPr="0027789B">
        <w:rPr>
          <w:u w:val="single"/>
        </w:rPr>
        <w:t>Test Dates</w:t>
      </w:r>
      <w:r>
        <w:t xml:space="preserve">. </w:t>
      </w:r>
      <w:r w:rsidRPr="0027789B">
        <w:t>Seller shall provide SCE with seven (7) Business Days’ Notice of Seller’s proposed dates for the Initial Commercial Operation Test</w:t>
      </w:r>
      <w:r>
        <w:t xml:space="preserve">. </w:t>
      </w:r>
      <w:r w:rsidRPr="0027789B">
        <w:t>SCE shall confirm the dates in writing prior to the first date of the Test.</w:t>
      </w:r>
    </w:p>
    <w:p w14:paraId="05599EDA" w14:textId="77777777" w:rsidR="00367C93" w:rsidRPr="0027789B" w:rsidRDefault="00367C93" w:rsidP="00367C93">
      <w:pPr>
        <w:tabs>
          <w:tab w:val="left" w:pos="0"/>
        </w:tabs>
        <w:ind w:left="1440"/>
      </w:pPr>
      <w:r w:rsidRPr="0027789B">
        <w:t>Seller may, but is not required to, schedule the Initial Commercial Operation Test to occur during any test performed by or for the EPC Contractor.</w:t>
      </w:r>
    </w:p>
    <w:p w14:paraId="5A2FB22A" w14:textId="77777777" w:rsidR="00367C93" w:rsidRPr="0027789B" w:rsidRDefault="00367C93" w:rsidP="00367C93">
      <w:pPr>
        <w:ind w:left="1440" w:hanging="720"/>
      </w:pPr>
      <w:r w:rsidRPr="0027789B">
        <w:t>D.</w:t>
      </w:r>
      <w:r w:rsidRPr="0027789B">
        <w:tab/>
      </w:r>
      <w:r w:rsidRPr="0027789B">
        <w:rPr>
          <w:u w:val="single"/>
        </w:rPr>
        <w:t>Costs</w:t>
      </w:r>
      <w:r>
        <w:t xml:space="preserve">. </w:t>
      </w:r>
      <w:r w:rsidRPr="0027789B">
        <w:t>The Initial Commercial Operation Test is a Seller Initiated Test.</w:t>
      </w:r>
    </w:p>
    <w:p w14:paraId="72D2CC19" w14:textId="77777777" w:rsidR="00367C93" w:rsidRPr="00C600E0" w:rsidRDefault="00367C93" w:rsidP="00367C93">
      <w:pPr>
        <w:ind w:left="1440" w:hanging="720"/>
        <w:rPr>
          <w:bCs/>
          <w:noProof/>
          <w:color w:val="000000"/>
        </w:rPr>
      </w:pPr>
      <w:r w:rsidRPr="0027789B">
        <w:rPr>
          <w:noProof/>
        </w:rPr>
        <w:t>E.</w:t>
      </w:r>
      <w:r w:rsidRPr="0027789B">
        <w:rPr>
          <w:noProof/>
        </w:rPr>
        <w:tab/>
      </w:r>
      <w:r w:rsidRPr="0027789B">
        <w:rPr>
          <w:noProof/>
          <w:u w:val="single"/>
        </w:rPr>
        <w:t>Determination of Contract Capacity</w:t>
      </w:r>
      <w:r>
        <w:rPr>
          <w:noProof/>
        </w:rPr>
        <w:t xml:space="preserve">. </w:t>
      </w:r>
      <w:r w:rsidRPr="0027789B">
        <w:rPr>
          <w:noProof/>
        </w:rPr>
        <w:t>T</w:t>
      </w:r>
      <w:r w:rsidRPr="0027789B">
        <w:rPr>
          <w:bCs/>
          <w:noProof/>
          <w:color w:val="000000"/>
        </w:rPr>
        <w:t xml:space="preserve">he net kW output at the Energy Delivery Point shall be calculated for each of the </w:t>
      </w:r>
      <w:r w:rsidRPr="0027789B">
        <w:t>sixteen (16)</w:t>
      </w:r>
      <w:r w:rsidRPr="0027789B">
        <w:rPr>
          <w:bCs/>
          <w:noProof/>
          <w:color w:val="000000"/>
        </w:rPr>
        <w:t xml:space="preserve"> consecutive fifteen (15) minute intervals comprising the Test</w:t>
      </w:r>
      <w:r>
        <w:rPr>
          <w:bCs/>
          <w:noProof/>
          <w:color w:val="000000"/>
        </w:rPr>
        <w:t xml:space="preserve">. </w:t>
      </w:r>
      <w:r w:rsidRPr="0027789B">
        <w:rPr>
          <w:bCs/>
          <w:noProof/>
          <w:color w:val="000000"/>
        </w:rPr>
        <w:t xml:space="preserve">The average of the </w:t>
      </w:r>
      <w:r w:rsidRPr="0027789B">
        <w:t>sixteen (16)</w:t>
      </w:r>
      <w:r w:rsidRPr="0027789B">
        <w:rPr>
          <w:bCs/>
          <w:noProof/>
          <w:color w:val="000000"/>
        </w:rPr>
        <w:t xml:space="preserve"> average net kW values is the final SU Contract Capacity for each Stor</w:t>
      </w:r>
      <w:r w:rsidRPr="00482B73">
        <w:rPr>
          <w:bCs/>
          <w:noProof/>
          <w:color w:val="000000"/>
        </w:rPr>
        <w:t xml:space="preserve">age Unit under </w:t>
      </w:r>
      <w:r>
        <w:rPr>
          <w:u w:val="single"/>
        </w:rPr>
        <w:t>Exhibit D</w:t>
      </w:r>
      <w:r w:rsidRPr="00482B73">
        <w:rPr>
          <w:bCs/>
          <w:noProof/>
          <w:color w:val="000000"/>
        </w:rPr>
        <w:t>.</w:t>
      </w:r>
      <w:r w:rsidRPr="00C600E0">
        <w:rPr>
          <w:bCs/>
          <w:noProof/>
          <w:color w:val="000000"/>
        </w:rPr>
        <w:t xml:space="preserve"> </w:t>
      </w:r>
    </w:p>
    <w:p w14:paraId="1BECC8EE" w14:textId="77777777" w:rsidR="00367C93" w:rsidRPr="00C600E0" w:rsidRDefault="00367C93" w:rsidP="00367C93">
      <w:pPr>
        <w:tabs>
          <w:tab w:val="left" w:pos="0"/>
        </w:tabs>
        <w:ind w:hanging="720"/>
      </w:pPr>
      <w:r w:rsidRPr="00C600E0">
        <w:t>PART IV.</w:t>
      </w:r>
      <w:r w:rsidRPr="00C600E0">
        <w:tab/>
        <w:t>CONTRACT CAPACITY &amp; ANCILLARY SERVICES TEST</w:t>
      </w:r>
    </w:p>
    <w:p w14:paraId="65E51106" w14:textId="77777777" w:rsidR="00367C93" w:rsidRPr="0027789B" w:rsidRDefault="00367C93" w:rsidP="00367C93">
      <w:pPr>
        <w:tabs>
          <w:tab w:val="left" w:pos="0"/>
        </w:tabs>
        <w:ind w:left="1440" w:hanging="720"/>
      </w:pPr>
      <w:r w:rsidRPr="00C600E0">
        <w:t>A.</w:t>
      </w:r>
      <w:r w:rsidRPr="00C600E0">
        <w:tab/>
      </w:r>
      <w:r w:rsidRPr="00C600E0">
        <w:rPr>
          <w:u w:val="single"/>
        </w:rPr>
        <w:t>Test Plan</w:t>
      </w:r>
      <w:r w:rsidRPr="00C600E0">
        <w:t>. The Test Plan from the Initial Commercial Operation Test shall be used for any Contract Capacity &amp; Ancillary Services Test, unless the Parties</w:t>
      </w:r>
      <w:r w:rsidRPr="0027789B">
        <w:t xml:space="preserve"> agree otherwise in writing.</w:t>
      </w:r>
    </w:p>
    <w:p w14:paraId="1FCB06B9" w14:textId="77777777" w:rsidR="00367C93" w:rsidRPr="0027789B" w:rsidRDefault="00367C93" w:rsidP="00367C93">
      <w:pPr>
        <w:tabs>
          <w:tab w:val="left" w:pos="0"/>
        </w:tabs>
        <w:ind w:left="1440" w:hanging="720"/>
      </w:pPr>
      <w:r w:rsidRPr="0027789B">
        <w:t>B.</w:t>
      </w:r>
      <w:r w:rsidRPr="0027789B">
        <w:tab/>
      </w:r>
      <w:r w:rsidRPr="0027789B">
        <w:rPr>
          <w:u w:val="single"/>
        </w:rPr>
        <w:t>Instrumentation and Metering</w:t>
      </w:r>
      <w:r>
        <w:t xml:space="preserve">. </w:t>
      </w:r>
      <w:r w:rsidRPr="0027789B">
        <w:t>The Parties shall use the same instrumentation and metering as was used in the Initial Commercial Operation Test, unless the Parties otherwise agree in writing.</w:t>
      </w:r>
    </w:p>
    <w:p w14:paraId="4ACD9E21" w14:textId="77777777" w:rsidR="00367C93" w:rsidRPr="0027789B" w:rsidRDefault="00367C93" w:rsidP="00367C93">
      <w:pPr>
        <w:tabs>
          <w:tab w:val="left" w:pos="0"/>
        </w:tabs>
        <w:ind w:left="1440" w:hanging="720"/>
      </w:pPr>
      <w:r w:rsidRPr="0027789B">
        <w:lastRenderedPageBreak/>
        <w:t>C.</w:t>
      </w:r>
      <w:r w:rsidRPr="0027789B">
        <w:tab/>
      </w:r>
      <w:r w:rsidRPr="0027789B">
        <w:rPr>
          <w:u w:val="single"/>
        </w:rPr>
        <w:t>Test Duration</w:t>
      </w:r>
      <w:r>
        <w:t xml:space="preserve">. </w:t>
      </w:r>
      <w:r w:rsidRPr="0027789B">
        <w:t>Each Contract Capacity &amp; Ancillary Services Test shall take place on five (5) consecutive days unless SCE determines in its sole discretion that more or less time is needed.</w:t>
      </w:r>
    </w:p>
    <w:p w14:paraId="4D38374C" w14:textId="77777777" w:rsidR="00367C93" w:rsidRPr="0027789B" w:rsidRDefault="00367C93" w:rsidP="00367C93">
      <w:pPr>
        <w:tabs>
          <w:tab w:val="left" w:pos="0"/>
        </w:tabs>
        <w:ind w:left="1440" w:hanging="720"/>
      </w:pPr>
      <w:r w:rsidRPr="0027789B">
        <w:t>D.</w:t>
      </w:r>
      <w:r w:rsidRPr="0027789B">
        <w:tab/>
      </w:r>
      <w:r w:rsidRPr="0027789B">
        <w:rPr>
          <w:u w:val="single"/>
        </w:rPr>
        <w:t>Test Dates</w:t>
      </w:r>
      <w:r>
        <w:t xml:space="preserve">. </w:t>
      </w:r>
      <w:r w:rsidRPr="0027789B">
        <w:t>Seller is responsible for scheduling each Contract Capacity &amp; Ancillary Services Test on five (5) consecutive days (unless SCE determines in its sole discretion that more or less time is needed) that are acceptable to SCE and that fall between June 15 and September 30 of the Contract Year in which the Test is requested</w:t>
      </w:r>
      <w:r>
        <w:t xml:space="preserve">. </w:t>
      </w:r>
      <w:r w:rsidRPr="0027789B">
        <w:t>The date of any such Test shall be confirmed in writing by SCE to Seller prior to the date of the Test</w:t>
      </w:r>
      <w:r>
        <w:t xml:space="preserve">. </w:t>
      </w:r>
      <w:r w:rsidRPr="0027789B">
        <w:t>The Parties should attempt but are not required to schedule such Test on days that SCE will or is likely to dispatch the Storage Unit.</w:t>
      </w:r>
    </w:p>
    <w:p w14:paraId="00AE3A40" w14:textId="77777777" w:rsidR="00367C93" w:rsidRPr="0027789B" w:rsidRDefault="00367C93" w:rsidP="00367C93">
      <w:pPr>
        <w:tabs>
          <w:tab w:val="left" w:pos="0"/>
        </w:tabs>
        <w:ind w:left="1440" w:hanging="720"/>
      </w:pPr>
      <w:r w:rsidRPr="0027789B">
        <w:t>E.</w:t>
      </w:r>
      <w:r w:rsidRPr="0027789B">
        <w:tab/>
      </w:r>
      <w:r w:rsidRPr="0027789B">
        <w:rPr>
          <w:u w:val="single"/>
        </w:rPr>
        <w:t>Costs</w:t>
      </w:r>
      <w:r>
        <w:t xml:space="preserve">. </w:t>
      </w:r>
      <w:r w:rsidRPr="0027789B">
        <w:t xml:space="preserve">Responsibility for costs and allocation of income for a Contract Capacity &amp; Ancillary Services Test is as set forth </w:t>
      </w:r>
      <w:r w:rsidRPr="00484686">
        <w:t xml:space="preserve">in </w:t>
      </w:r>
      <w:r w:rsidRPr="002D26FA">
        <w:t>Section 5.03(c).</w:t>
      </w:r>
    </w:p>
    <w:p w14:paraId="36FD6259" w14:textId="77777777" w:rsidR="00367C93" w:rsidRPr="0027789B" w:rsidRDefault="00367C93" w:rsidP="00367C93">
      <w:pPr>
        <w:tabs>
          <w:tab w:val="left" w:pos="0"/>
        </w:tabs>
        <w:ind w:left="1440" w:hanging="720"/>
      </w:pPr>
      <w:r w:rsidRPr="0027789B">
        <w:t>F.</w:t>
      </w:r>
      <w:r w:rsidRPr="0027789B">
        <w:tab/>
      </w:r>
      <w:r w:rsidRPr="0027789B">
        <w:rPr>
          <w:u w:val="single"/>
        </w:rPr>
        <w:t>No Adjustment to Contract Capacity</w:t>
      </w:r>
      <w:r>
        <w:t xml:space="preserve">. </w:t>
      </w:r>
      <w:r w:rsidRPr="0027789B">
        <w:t xml:space="preserve">Notwithstanding any other provision in the Agreement, Contract Capacity shall not be adjusted to conform to the results of any Contract Capacity &amp; Ancillary Services Test. </w:t>
      </w:r>
    </w:p>
    <w:p w14:paraId="31B2B38C" w14:textId="77777777" w:rsidR="00367C93" w:rsidRPr="0027789B" w:rsidRDefault="00367C93" w:rsidP="00367C93">
      <w:pPr>
        <w:tabs>
          <w:tab w:val="left" w:pos="0"/>
        </w:tabs>
        <w:rPr>
          <w:bCs/>
          <w:noProof/>
          <w:color w:val="000000"/>
        </w:rPr>
      </w:pPr>
      <w:r w:rsidRPr="0027789B">
        <w:rPr>
          <w:bCs/>
          <w:noProof/>
          <w:color w:val="000000"/>
        </w:rPr>
        <w:t>PART V.</w:t>
      </w:r>
      <w:r w:rsidRPr="0027789B">
        <w:rPr>
          <w:bCs/>
          <w:noProof/>
          <w:color w:val="000000"/>
        </w:rPr>
        <w:tab/>
        <w:t>TEST PLAN.</w:t>
      </w:r>
    </w:p>
    <w:p w14:paraId="2F9EBE2E" w14:textId="77777777" w:rsidR="00367C93" w:rsidRPr="0027789B" w:rsidRDefault="00367C93" w:rsidP="00367C93">
      <w:pPr>
        <w:rPr>
          <w:bCs/>
          <w:noProof/>
          <w:color w:val="000000"/>
        </w:rPr>
      </w:pPr>
      <w:r w:rsidRPr="0027789B">
        <w:rPr>
          <w:bCs/>
          <w:noProof/>
          <w:color w:val="000000"/>
        </w:rPr>
        <w:t xml:space="preserve">Any Test shall be performed according to the provisions of </w:t>
      </w:r>
      <w:r w:rsidRPr="00C600E0">
        <w:rPr>
          <w:bCs/>
          <w:noProof/>
          <w:color w:val="000000"/>
        </w:rPr>
        <w:t xml:space="preserve">this </w:t>
      </w:r>
      <w:r>
        <w:rPr>
          <w:color w:val="000000"/>
          <w:u w:val="single"/>
        </w:rPr>
        <w:t>Exhibit C</w:t>
      </w:r>
      <w:r w:rsidRPr="00CF77B9">
        <w:rPr>
          <w:bCs/>
          <w:noProof/>
          <w:color w:val="000000"/>
        </w:rPr>
        <w:t>, and</w:t>
      </w:r>
      <w:r w:rsidRPr="0027789B">
        <w:rPr>
          <w:bCs/>
          <w:noProof/>
          <w:color w:val="000000"/>
        </w:rPr>
        <w:t xml:space="preserve"> the test plan (“</w:t>
      </w:r>
      <w:r w:rsidRPr="0027789B">
        <w:rPr>
          <w:bCs/>
          <w:noProof/>
          <w:color w:val="000000"/>
          <w:u w:val="single"/>
        </w:rPr>
        <w:t>Test Plan</w:t>
      </w:r>
      <w:r w:rsidRPr="0027789B">
        <w:rPr>
          <w:bCs/>
          <w:noProof/>
          <w:color w:val="000000"/>
        </w:rPr>
        <w:t>”) below</w:t>
      </w:r>
      <w:r>
        <w:rPr>
          <w:bCs/>
          <w:noProof/>
          <w:color w:val="000000"/>
        </w:rPr>
        <w:t xml:space="preserve">. </w:t>
      </w:r>
    </w:p>
    <w:p w14:paraId="77F2A6A7" w14:textId="77777777" w:rsidR="00367C93" w:rsidRPr="0027789B" w:rsidRDefault="00367C93" w:rsidP="00367C93">
      <w:pPr>
        <w:rPr>
          <w:bCs/>
          <w:noProof/>
          <w:color w:val="000000"/>
        </w:rPr>
      </w:pPr>
      <w:r w:rsidRPr="0027789B">
        <w:rPr>
          <w:bCs/>
          <w:noProof/>
          <w:color w:val="000000"/>
        </w:rPr>
        <w:t>STEP 1:  Test begins when the Storage Unit has reached 100% SEP.</w:t>
      </w:r>
    </w:p>
    <w:p w14:paraId="32F03A7F" w14:textId="77777777" w:rsidR="00367C93" w:rsidRPr="0027789B" w:rsidRDefault="00367C93" w:rsidP="00367C93">
      <w:pPr>
        <w:rPr>
          <w:bCs/>
          <w:noProof/>
          <w:color w:val="000000"/>
        </w:rPr>
      </w:pPr>
      <w:r w:rsidRPr="0027789B">
        <w:rPr>
          <w:bCs/>
          <w:noProof/>
          <w:color w:val="000000"/>
        </w:rPr>
        <w:t>STEP 2:  Increase power output to Maximum Discharge at maximum ramp rate</w:t>
      </w:r>
    </w:p>
    <w:p w14:paraId="4500EE48"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Measure: time and power output (kW)</w:t>
      </w:r>
    </w:p>
    <w:p w14:paraId="4FC21952"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2 ends when Maximum Discharge is reached</w:t>
      </w:r>
    </w:p>
    <w:p w14:paraId="64523E78" w14:textId="77777777" w:rsidR="00367C93" w:rsidRPr="0027789B" w:rsidRDefault="00367C93" w:rsidP="00367C93">
      <w:pPr>
        <w:rPr>
          <w:bCs/>
          <w:noProof/>
          <w:color w:val="000000"/>
        </w:rPr>
      </w:pPr>
      <w:r w:rsidRPr="0027789B">
        <w:rPr>
          <w:bCs/>
          <w:noProof/>
          <w:color w:val="000000"/>
        </w:rPr>
        <w:t xml:space="preserve">STEP 3:  Hold at highest power output, not exceeding Maximum Discharge, for as long as supported by the Storage Unit </w:t>
      </w:r>
    </w:p>
    <w:p w14:paraId="42338013"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Measure: time and energy delivered to the Energy Delivery Point</w:t>
      </w:r>
    </w:p>
    <w:p w14:paraId="4CC523C1"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 xml:space="preserve">Step 3 ends when Storage Unit reaches 0% SEP </w:t>
      </w:r>
    </w:p>
    <w:p w14:paraId="41F98E90" w14:textId="77777777" w:rsidR="00367C93" w:rsidRPr="0027789B" w:rsidRDefault="00367C93" w:rsidP="00367C93">
      <w:pPr>
        <w:rPr>
          <w:bCs/>
          <w:noProof/>
          <w:color w:val="000000"/>
        </w:rPr>
      </w:pPr>
      <w:r w:rsidRPr="0027789B">
        <w:rPr>
          <w:bCs/>
          <w:noProof/>
          <w:color w:val="000000"/>
        </w:rPr>
        <w:lastRenderedPageBreak/>
        <w:t xml:space="preserve">STEP 4: Immediately following the completion of Step 3, begin charging the Storage Unit at </w:t>
      </w:r>
      <w:r w:rsidRPr="0027789B">
        <w:t>Maximum Charge</w:t>
      </w:r>
      <w:r w:rsidRPr="0027789B">
        <w:rPr>
          <w:bCs/>
          <w:noProof/>
          <w:color w:val="000000"/>
        </w:rPr>
        <w:t xml:space="preserve"> rate</w:t>
      </w:r>
    </w:p>
    <w:p w14:paraId="1DDEEFEC"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Measure: time, charging energy and Stored Energy Level</w:t>
      </w:r>
    </w:p>
    <w:p w14:paraId="0CA700C3"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4 ends when Storage Unit reaches 100% SEP</w:t>
      </w:r>
    </w:p>
    <w:p w14:paraId="7DD4EC03" w14:textId="77777777" w:rsidR="00367C93" w:rsidRPr="0027789B"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5: Do not charge or discharge the Storage Unit for 24 hours</w:t>
      </w:r>
    </w:p>
    <w:p w14:paraId="6C6F319D"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Measure: time and Stored Energy Level</w:t>
      </w:r>
    </w:p>
    <w:p w14:paraId="00CF3E10"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5 ends after 24 hours</w:t>
      </w:r>
    </w:p>
    <w:p w14:paraId="298CA030" w14:textId="77777777" w:rsidR="00367C93" w:rsidRPr="0027789B" w:rsidRDefault="00367C93" w:rsidP="00367C93">
      <w:pPr>
        <w:rPr>
          <w:bCs/>
          <w:noProof/>
          <w:color w:val="000000"/>
        </w:rPr>
      </w:pPr>
      <w:r w:rsidRPr="0027789B">
        <w:rPr>
          <w:bCs/>
          <w:noProof/>
          <w:color w:val="000000"/>
        </w:rPr>
        <w:t>STEP 6: Increase power output to Maximum Discharge at maximum ramp rate</w:t>
      </w:r>
    </w:p>
    <w:p w14:paraId="12EA2A02"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Measure: time and power output</w:t>
      </w:r>
    </w:p>
    <w:p w14:paraId="3C5A422A"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6 ends when Maximum Discharge is reached</w:t>
      </w:r>
    </w:p>
    <w:p w14:paraId="6DA926A0" w14:textId="77777777" w:rsidR="00367C93" w:rsidRPr="0027789B" w:rsidRDefault="00367C93" w:rsidP="00367C93">
      <w:pPr>
        <w:rPr>
          <w:bCs/>
          <w:noProof/>
          <w:color w:val="000000"/>
        </w:rPr>
      </w:pPr>
      <w:r w:rsidRPr="0027789B">
        <w:rPr>
          <w:bCs/>
          <w:noProof/>
          <w:color w:val="000000"/>
        </w:rPr>
        <w:t xml:space="preserve">STEP 7: Hold at highest power output, not exceeding Maximum Discharge, for as long as supported by the Storage Unit </w:t>
      </w:r>
    </w:p>
    <w:p w14:paraId="0D3BB6B9"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Measure: time and energy delivered to the Energy Delivery Point</w:t>
      </w:r>
    </w:p>
    <w:p w14:paraId="46DD8E94" w14:textId="77777777" w:rsidR="00367C93" w:rsidRPr="0027789B"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7 ends when Storage Unit reaches 0% SEP</w:t>
      </w:r>
    </w:p>
    <w:p w14:paraId="3CB3A686" w14:textId="77777777" w:rsidR="00367C93" w:rsidRPr="00482B73" w:rsidRDefault="00367C93" w:rsidP="00367C93">
      <w:pPr>
        <w:rPr>
          <w:bCs/>
          <w:noProof/>
          <w:color w:val="000000"/>
        </w:rPr>
      </w:pPr>
      <w:r w:rsidRPr="0027789B">
        <w:rPr>
          <w:bCs/>
          <w:noProof/>
          <w:color w:val="000000"/>
        </w:rPr>
        <w:t xml:space="preserve">STEP 8: Begin charging the Storage Unit at Maximum Charge rate; once </w:t>
      </w:r>
      <w:r w:rsidRPr="00DB7FE0">
        <w:rPr>
          <w:bCs/>
          <w:i/>
          <w:noProof/>
          <w:color w:val="0000FF"/>
        </w:rPr>
        <w:t xml:space="preserve">[SCE Note: insert “Maximum SEP (%)” from “Configuration 1” of Section C of </w:t>
      </w:r>
      <w:r>
        <w:rPr>
          <w:bCs/>
          <w:i/>
          <w:noProof/>
          <w:color w:val="0000FF"/>
        </w:rPr>
        <w:t>Exhibit D</w:t>
      </w:r>
      <w:r w:rsidRPr="00DB7FE0">
        <w:rPr>
          <w:bCs/>
          <w:i/>
          <w:noProof/>
          <w:color w:val="0000FF"/>
        </w:rPr>
        <w:t>]</w:t>
      </w:r>
      <w:r w:rsidRPr="00482B73">
        <w:rPr>
          <w:bCs/>
          <w:noProof/>
          <w:color w:val="000000"/>
        </w:rPr>
        <w:t xml:space="preserve"> SEP is reached, do not charge or discharge for ten (10) minutes</w:t>
      </w:r>
    </w:p>
    <w:p w14:paraId="53082597"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Measure: time, charging energy to the Energy Delivery Point and Stored Energy Level</w:t>
      </w:r>
    </w:p>
    <w:p w14:paraId="7A96F38F"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Step 8 ends at the end of the ten (10) minute rest period</w:t>
      </w:r>
    </w:p>
    <w:p w14:paraId="0C0AAFC3" w14:textId="77777777" w:rsidR="00367C93" w:rsidRPr="00482B7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 xml:space="preserve">STEP 9: Begin charging the Storage Unit at Maximum Charge rate; once </w:t>
      </w:r>
      <w:r w:rsidRPr="00DB7FE0">
        <w:rPr>
          <w:rFonts w:ascii="Times New Roman" w:hAnsi="Times New Roman" w:cs="Times New Roman"/>
          <w:bCs/>
          <w:i/>
          <w:noProof/>
          <w:color w:val="0000FF"/>
          <w:sz w:val="24"/>
          <w:szCs w:val="24"/>
        </w:rPr>
        <w:t xml:space="preserve">[SCE Note: insert “Maximum SEP (%)” from “Configuration 2” of Section C of </w:t>
      </w:r>
      <w:r>
        <w:rPr>
          <w:rFonts w:ascii="Times New Roman" w:hAnsi="Times New Roman" w:cs="Times New Roman"/>
          <w:bCs/>
          <w:i/>
          <w:noProof/>
          <w:color w:val="0000FF"/>
          <w:sz w:val="24"/>
          <w:szCs w:val="24"/>
        </w:rPr>
        <w:t>Exhibit D</w:t>
      </w:r>
      <w:r w:rsidRPr="00DB7FE0">
        <w:rPr>
          <w:rFonts w:ascii="Times New Roman" w:hAnsi="Times New Roman" w:cs="Times New Roman"/>
          <w:bCs/>
          <w:i/>
          <w:noProof/>
          <w:color w:val="0000FF"/>
          <w:sz w:val="24"/>
          <w:szCs w:val="24"/>
        </w:rPr>
        <w:t>]</w:t>
      </w:r>
      <w:r w:rsidRPr="00482B73">
        <w:rPr>
          <w:rFonts w:ascii="Times New Roman" w:hAnsi="Times New Roman" w:cs="Times New Roman"/>
          <w:bCs/>
          <w:noProof/>
          <w:color w:val="000000"/>
          <w:sz w:val="24"/>
          <w:szCs w:val="24"/>
        </w:rPr>
        <w:t xml:space="preserve"> SEP is reached, do not charge or discharge for ten (10) minutes</w:t>
      </w:r>
    </w:p>
    <w:p w14:paraId="1105743B"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Measure: time, charging energy to the Energy Delivery Point and Stored Energy Level</w:t>
      </w:r>
    </w:p>
    <w:p w14:paraId="1948AB3E"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lastRenderedPageBreak/>
        <w:t>Step 9 ends at the end of the ten (10) minute period</w:t>
      </w:r>
    </w:p>
    <w:p w14:paraId="13DE18A8" w14:textId="77777777" w:rsidR="00367C93" w:rsidRPr="001E217F"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 xml:space="preserve">STEP 10: Begin charging the Storage Unit at Maximum Charge rate; once </w:t>
      </w:r>
      <w:r w:rsidRPr="00DB7FE0">
        <w:rPr>
          <w:rFonts w:ascii="Times New Roman" w:hAnsi="Times New Roman" w:cs="Times New Roman"/>
          <w:bCs/>
          <w:i/>
          <w:noProof/>
          <w:color w:val="0000FF"/>
          <w:sz w:val="24"/>
          <w:szCs w:val="24"/>
        </w:rPr>
        <w:t xml:space="preserve">[SCE Note: insert “Maximum SEP (%)” from “Configuration 3” of Section C of </w:t>
      </w:r>
      <w:r>
        <w:rPr>
          <w:rFonts w:ascii="Times New Roman" w:hAnsi="Times New Roman" w:cs="Times New Roman"/>
          <w:bCs/>
          <w:i/>
          <w:noProof/>
          <w:color w:val="0000FF"/>
          <w:sz w:val="24"/>
          <w:szCs w:val="24"/>
        </w:rPr>
        <w:t>Exhibit D</w:t>
      </w:r>
      <w:r w:rsidRPr="00DB7FE0">
        <w:rPr>
          <w:rFonts w:ascii="Times New Roman" w:hAnsi="Times New Roman" w:cs="Times New Roman"/>
          <w:bCs/>
          <w:i/>
          <w:noProof/>
          <w:color w:val="0000FF"/>
          <w:sz w:val="24"/>
          <w:szCs w:val="24"/>
        </w:rPr>
        <w:t>]</w:t>
      </w:r>
      <w:r w:rsidRPr="001E217F">
        <w:rPr>
          <w:rFonts w:ascii="Times New Roman" w:hAnsi="Times New Roman" w:cs="Times New Roman"/>
          <w:bCs/>
          <w:noProof/>
          <w:color w:val="000000"/>
          <w:sz w:val="24"/>
          <w:szCs w:val="24"/>
        </w:rPr>
        <w:t xml:space="preserve"> SEP is reached, do not charge or discharge for ten (10) minutes</w:t>
      </w:r>
    </w:p>
    <w:p w14:paraId="4A64A22C"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Measure: time, charging energy to the Energy Delivery Point and Stored Energy Level</w:t>
      </w:r>
    </w:p>
    <w:p w14:paraId="11AE5438"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10 ends at the end of the ten (10) minute period</w:t>
      </w:r>
    </w:p>
    <w:p w14:paraId="67E1A0D6" w14:textId="77777777" w:rsidR="00367C93" w:rsidRPr="001E217F"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11: Begin charging the Storage Unit at Maximum Charge rate; once 100% SEP is reached, do not charge or discharge for ten (10) minutes</w:t>
      </w:r>
    </w:p>
    <w:p w14:paraId="55E4304C"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Measure: time, charging energy to the Energy Delivery Point and Stored Energy Level</w:t>
      </w:r>
    </w:p>
    <w:p w14:paraId="2E1DA56F"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11 ends at the end of the ten (10) minute period</w:t>
      </w:r>
    </w:p>
    <w:p w14:paraId="4260544A" w14:textId="77777777" w:rsidR="00367C93" w:rsidRPr="00482B7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 xml:space="preserve">STEP 12: Begin discharging the Storage Unit at </w:t>
      </w:r>
      <w:r w:rsidRPr="00482B73">
        <w:rPr>
          <w:rFonts w:ascii="Times New Roman" w:hAnsi="Times New Roman" w:cs="Times New Roman"/>
          <w:bCs/>
          <w:noProof/>
          <w:color w:val="000000"/>
          <w:sz w:val="24"/>
          <w:szCs w:val="24"/>
        </w:rPr>
        <w:t xml:space="preserve">Maximum Discharge rate; once </w:t>
      </w:r>
      <w:r w:rsidRPr="00DB7FE0">
        <w:rPr>
          <w:rFonts w:ascii="Times New Roman" w:hAnsi="Times New Roman" w:cs="Times New Roman"/>
          <w:bCs/>
          <w:i/>
          <w:noProof/>
          <w:color w:val="0000FF"/>
          <w:sz w:val="24"/>
          <w:szCs w:val="24"/>
        </w:rPr>
        <w:t xml:space="preserve">[SCE Note: insert “Maximum SEP (%)” from “Configuration 3” of Section C of </w:t>
      </w:r>
      <w:r>
        <w:rPr>
          <w:rFonts w:ascii="Times New Roman" w:hAnsi="Times New Roman" w:cs="Times New Roman"/>
          <w:bCs/>
          <w:i/>
          <w:noProof/>
          <w:color w:val="0000FF"/>
          <w:sz w:val="24"/>
          <w:szCs w:val="24"/>
        </w:rPr>
        <w:t>Exhibit D</w:t>
      </w:r>
      <w:r w:rsidRPr="00DB7FE0">
        <w:rPr>
          <w:rFonts w:ascii="Times New Roman" w:hAnsi="Times New Roman" w:cs="Times New Roman"/>
          <w:bCs/>
          <w:i/>
          <w:noProof/>
          <w:color w:val="0000FF"/>
          <w:sz w:val="24"/>
          <w:szCs w:val="24"/>
        </w:rPr>
        <w:t>]</w:t>
      </w:r>
      <w:r w:rsidRPr="00482B73">
        <w:rPr>
          <w:rFonts w:ascii="Times New Roman" w:hAnsi="Times New Roman" w:cs="Times New Roman"/>
          <w:bCs/>
          <w:noProof/>
          <w:color w:val="000000"/>
          <w:sz w:val="24"/>
          <w:szCs w:val="24"/>
        </w:rPr>
        <w:t xml:space="preserve"> SEP is reached, do not charge or discharge for ten (10) minutes</w:t>
      </w:r>
    </w:p>
    <w:p w14:paraId="048E60DF"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Measure: time, energy delivered to the Energy Delivery Point and Stored Energy Level</w:t>
      </w:r>
    </w:p>
    <w:p w14:paraId="6526F126"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Step 12 ends at the end of the ten (10) minute period</w:t>
      </w:r>
    </w:p>
    <w:p w14:paraId="21FE2A1B" w14:textId="77777777" w:rsidR="00367C93" w:rsidRPr="00482B73"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 xml:space="preserve">STEP 13: Begin discharging the Storage Unit at Maximum Discharge rate; once </w:t>
      </w:r>
      <w:r w:rsidRPr="00DB7FE0">
        <w:rPr>
          <w:rFonts w:ascii="Times New Roman" w:hAnsi="Times New Roman" w:cs="Times New Roman"/>
          <w:bCs/>
          <w:i/>
          <w:noProof/>
          <w:color w:val="0000FF"/>
          <w:sz w:val="24"/>
          <w:szCs w:val="24"/>
        </w:rPr>
        <w:t xml:space="preserve">[SCE Note: insert “Maximum SEP (%)” from “Configuration 2” of Section C of </w:t>
      </w:r>
      <w:r>
        <w:rPr>
          <w:rFonts w:ascii="Times New Roman" w:hAnsi="Times New Roman" w:cs="Times New Roman"/>
          <w:bCs/>
          <w:i/>
          <w:noProof/>
          <w:color w:val="0000FF"/>
          <w:sz w:val="24"/>
          <w:szCs w:val="24"/>
        </w:rPr>
        <w:t>Exhibit D</w:t>
      </w:r>
      <w:r w:rsidRPr="00DB7FE0">
        <w:rPr>
          <w:rFonts w:ascii="Times New Roman" w:hAnsi="Times New Roman" w:cs="Times New Roman"/>
          <w:bCs/>
          <w:i/>
          <w:noProof/>
          <w:color w:val="0000FF"/>
          <w:sz w:val="24"/>
          <w:szCs w:val="24"/>
        </w:rPr>
        <w:t>]</w:t>
      </w:r>
      <w:r w:rsidRPr="00482B73">
        <w:rPr>
          <w:rFonts w:ascii="Times New Roman" w:hAnsi="Times New Roman" w:cs="Times New Roman"/>
          <w:bCs/>
          <w:noProof/>
          <w:color w:val="000000"/>
          <w:sz w:val="24"/>
          <w:szCs w:val="24"/>
        </w:rPr>
        <w:t xml:space="preserve"> SEP is reached, do not charge or discharge for ten (10) minutes</w:t>
      </w:r>
    </w:p>
    <w:p w14:paraId="2EA2057B"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Measure: time, energy delivered to the Energy Delivery Point and Stored Energy Level</w:t>
      </w:r>
    </w:p>
    <w:p w14:paraId="18B917F4" w14:textId="77777777" w:rsidR="00367C93" w:rsidRPr="00482B73"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Step 13 ends at the end of the ten (10) minute period</w:t>
      </w:r>
    </w:p>
    <w:p w14:paraId="0FD89E12" w14:textId="77777777" w:rsidR="00367C93" w:rsidRPr="001E217F"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482B73">
        <w:rPr>
          <w:rFonts w:ascii="Times New Roman" w:hAnsi="Times New Roman" w:cs="Times New Roman"/>
          <w:bCs/>
          <w:noProof/>
          <w:color w:val="000000"/>
          <w:sz w:val="24"/>
          <w:szCs w:val="24"/>
        </w:rPr>
        <w:t xml:space="preserve">STEP 14: Begin discharging the Storage Unit at Maximum Discharge rate; once </w:t>
      </w:r>
      <w:r w:rsidRPr="00DB7FE0">
        <w:rPr>
          <w:rFonts w:ascii="Times New Roman" w:hAnsi="Times New Roman" w:cs="Times New Roman"/>
          <w:bCs/>
          <w:i/>
          <w:noProof/>
          <w:color w:val="0000FF"/>
          <w:sz w:val="24"/>
          <w:szCs w:val="24"/>
        </w:rPr>
        <w:t xml:space="preserve">[SCE Note: insert “Maximum SEP (%)” from “Configuration 1” of Section C of </w:t>
      </w:r>
      <w:r>
        <w:rPr>
          <w:rFonts w:ascii="Times New Roman" w:hAnsi="Times New Roman" w:cs="Times New Roman"/>
          <w:bCs/>
          <w:i/>
          <w:noProof/>
          <w:color w:val="0000FF"/>
          <w:sz w:val="24"/>
          <w:szCs w:val="24"/>
        </w:rPr>
        <w:t>Exhibit D</w:t>
      </w:r>
      <w:r w:rsidRPr="00DB7FE0">
        <w:rPr>
          <w:rFonts w:ascii="Times New Roman" w:hAnsi="Times New Roman" w:cs="Times New Roman"/>
          <w:bCs/>
          <w:i/>
          <w:noProof/>
          <w:color w:val="0000FF"/>
          <w:sz w:val="24"/>
          <w:szCs w:val="24"/>
        </w:rPr>
        <w:t>]</w:t>
      </w:r>
      <w:r w:rsidRPr="001E217F">
        <w:rPr>
          <w:rFonts w:ascii="Times New Roman" w:hAnsi="Times New Roman" w:cs="Times New Roman"/>
          <w:bCs/>
          <w:noProof/>
          <w:color w:val="000000"/>
          <w:sz w:val="24"/>
          <w:szCs w:val="24"/>
        </w:rPr>
        <w:t xml:space="preserve"> SEP is reached, do not charge or discharge for ten (10) minutes</w:t>
      </w:r>
    </w:p>
    <w:p w14:paraId="0434D563"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lastRenderedPageBreak/>
        <w:t>Measure: time, energy delivered to the Energy Delivery Point and Stored Energy Level</w:t>
      </w:r>
    </w:p>
    <w:p w14:paraId="79EAD6F5"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14 ends at the end of the ten (10) minute period</w:t>
      </w:r>
    </w:p>
    <w:p w14:paraId="41456459" w14:textId="77777777" w:rsidR="00367C93" w:rsidRPr="001E217F"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15: Begin discharging the Storage Unit at Maximum Discharge rate; once 0% SEP is reached, do not charge or discharge for ten (10) minutes</w:t>
      </w:r>
    </w:p>
    <w:p w14:paraId="1E27812D"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Measure: time, energy delivered to the Energy Delivery Point and Stored Energy Level</w:t>
      </w:r>
    </w:p>
    <w:p w14:paraId="6C9362D4" w14:textId="77777777" w:rsidR="00367C93" w:rsidRPr="001E217F" w:rsidRDefault="00367C93" w:rsidP="00367C93">
      <w:pPr>
        <w:pStyle w:val="ListParagraph"/>
        <w:widowControl/>
        <w:numPr>
          <w:ilvl w:val="0"/>
          <w:numId w:val="52"/>
        </w:numPr>
        <w:spacing w:after="240" w:line="240" w:lineRule="auto"/>
        <w:ind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15 ends at the end of the ten (10) minute period</w:t>
      </w:r>
    </w:p>
    <w:p w14:paraId="6D4343CB" w14:textId="77777777" w:rsidR="00367C93" w:rsidRPr="001E217F" w:rsidRDefault="00367C93" w:rsidP="00367C93">
      <w:pPr>
        <w:pStyle w:val="ListParagraph"/>
        <w:widowControl/>
        <w:spacing w:after="240" w:line="240" w:lineRule="auto"/>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16: Begin charging the Storage Unit at Maximum Charge rate</w:t>
      </w:r>
    </w:p>
    <w:p w14:paraId="488CA86C" w14:textId="77777777" w:rsidR="00367C93" w:rsidRPr="001E217F"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Measure: time, charging energy and Stored Energy Level</w:t>
      </w:r>
    </w:p>
    <w:p w14:paraId="572623CE" w14:textId="77777777" w:rsidR="00367C93" w:rsidRPr="001E217F" w:rsidRDefault="00367C93" w:rsidP="00367C93">
      <w:pPr>
        <w:pStyle w:val="ListParagraph"/>
        <w:widowControl/>
        <w:numPr>
          <w:ilvl w:val="0"/>
          <w:numId w:val="51"/>
        </w:numPr>
        <w:spacing w:after="240" w:line="240" w:lineRule="auto"/>
        <w:ind w:left="1440" w:hanging="54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16 ends when Storage Unit reaches 50% SEP</w:t>
      </w:r>
    </w:p>
    <w:p w14:paraId="6D38773E" w14:textId="77777777" w:rsidR="00367C93" w:rsidRPr="001E217F" w:rsidRDefault="00367C93" w:rsidP="00367C93">
      <w:pPr>
        <w:rPr>
          <w:bCs/>
          <w:noProof/>
          <w:color w:val="000000"/>
        </w:rPr>
      </w:pPr>
      <w:r w:rsidRPr="001E217F">
        <w:rPr>
          <w:bCs/>
          <w:noProof/>
          <w:color w:val="000000"/>
        </w:rPr>
        <w:t>STEP 17: Ramp from Maximum Charge to Maximum Discharge at a ramp rate that is constant for ten (10) consecutive minutes, and hold at Maximum Discharge for ten (10) minutes</w:t>
      </w:r>
    </w:p>
    <w:p w14:paraId="2A436476"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 xml:space="preserve">Measure: time, Stored Energy Level and power output </w:t>
      </w:r>
    </w:p>
    <w:p w14:paraId="7671BBBC"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17 ends at end of the ten (10) minute hold period</w:t>
      </w:r>
    </w:p>
    <w:p w14:paraId="043C1655" w14:textId="77777777" w:rsidR="00367C93" w:rsidRPr="001E217F" w:rsidRDefault="00367C93" w:rsidP="00367C93">
      <w:pPr>
        <w:rPr>
          <w:bCs/>
          <w:noProof/>
          <w:color w:val="000000"/>
        </w:rPr>
      </w:pPr>
      <w:r w:rsidRPr="001E217F">
        <w:rPr>
          <w:bCs/>
          <w:noProof/>
          <w:color w:val="000000"/>
        </w:rPr>
        <w:t>STEP 18: Ramp from Maximum Discharge to Maximum Charge at a ramp rate that is constant for ten (10) consecutive minutes, and hold at Maximum Charge for ten (10) minutes</w:t>
      </w:r>
    </w:p>
    <w:p w14:paraId="10317840"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 xml:space="preserve">Measure: time, Stored Energy Level and power output </w:t>
      </w:r>
    </w:p>
    <w:p w14:paraId="54DED9A9"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18 ends at end of the ten (10) minute hold period</w:t>
      </w:r>
    </w:p>
    <w:p w14:paraId="0450FAE5" w14:textId="77777777" w:rsidR="00367C93" w:rsidRPr="001E217F" w:rsidRDefault="00367C93" w:rsidP="00367C93">
      <w:pPr>
        <w:rPr>
          <w:bCs/>
          <w:noProof/>
          <w:color w:val="000000"/>
        </w:rPr>
      </w:pPr>
      <w:r w:rsidRPr="001E217F">
        <w:rPr>
          <w:bCs/>
          <w:noProof/>
          <w:color w:val="000000"/>
        </w:rPr>
        <w:t>STEP 19: Ramp from Maximum Charge to Maximum Discharge at a ramp rate that is constant for five (5) consecutive minutes, and hold at Maximum Discharge for ten (10) minutes</w:t>
      </w:r>
    </w:p>
    <w:p w14:paraId="31B5D625"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 xml:space="preserve">Measure: time, Stored Energy Level and power output </w:t>
      </w:r>
    </w:p>
    <w:p w14:paraId="27E510B3"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19 ends at end of the ten (10) minute hold period</w:t>
      </w:r>
    </w:p>
    <w:p w14:paraId="19BE72E7" w14:textId="77777777" w:rsidR="00367C93" w:rsidRPr="001E217F" w:rsidRDefault="00367C93" w:rsidP="00367C93">
      <w:pPr>
        <w:rPr>
          <w:bCs/>
          <w:noProof/>
          <w:color w:val="000000"/>
        </w:rPr>
      </w:pPr>
      <w:r w:rsidRPr="001E217F">
        <w:rPr>
          <w:bCs/>
          <w:noProof/>
          <w:color w:val="000000"/>
        </w:rPr>
        <w:t>STEP 20: Ramp from Maximum Discharge to Maximum Charge at a ramp rate that is constant for five (5) consecutive minutes, and hold at Maximum Charge for ten (10) minutes</w:t>
      </w:r>
    </w:p>
    <w:p w14:paraId="3A4AD385"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lastRenderedPageBreak/>
        <w:t xml:space="preserve">Measure: time, Stored Energy Level and power output </w:t>
      </w:r>
    </w:p>
    <w:p w14:paraId="63A179B8" w14:textId="77777777" w:rsidR="00367C93" w:rsidRPr="001E217F"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1E217F">
        <w:rPr>
          <w:rFonts w:ascii="Times New Roman" w:hAnsi="Times New Roman" w:cs="Times New Roman"/>
          <w:bCs/>
          <w:noProof/>
          <w:color w:val="000000"/>
          <w:sz w:val="24"/>
          <w:szCs w:val="24"/>
        </w:rPr>
        <w:t>Step 20 ends at end of the ten (10) minute hold period</w:t>
      </w:r>
    </w:p>
    <w:p w14:paraId="44C770F8" w14:textId="77777777" w:rsidR="00367C93" w:rsidRPr="0027789B" w:rsidRDefault="00367C93" w:rsidP="00367C93">
      <w:pPr>
        <w:rPr>
          <w:bCs/>
          <w:noProof/>
          <w:color w:val="000000"/>
        </w:rPr>
      </w:pPr>
      <w:r w:rsidRPr="001E217F">
        <w:rPr>
          <w:bCs/>
          <w:noProof/>
          <w:color w:val="000000"/>
        </w:rPr>
        <w:t>STEP 21: Ramp from Maximum Charge to Maximum Discharge at a ramp rate that is constant for one (1) minute, and hold at Maximum Discharge for ten (10) minutes</w:t>
      </w:r>
    </w:p>
    <w:p w14:paraId="3245ADDD" w14:textId="77777777" w:rsidR="00367C93" w:rsidRPr="0027789B"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 xml:space="preserve">Measure: time, Stored Energy Level and power output </w:t>
      </w:r>
    </w:p>
    <w:p w14:paraId="362BD3F9" w14:textId="77777777" w:rsidR="00367C93" w:rsidRPr="0027789B"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21 ends at end of the ten (10) minute hold period</w:t>
      </w:r>
    </w:p>
    <w:p w14:paraId="4A6FC562" w14:textId="77777777" w:rsidR="00367C93" w:rsidRPr="0027789B" w:rsidRDefault="00367C93" w:rsidP="00367C93">
      <w:pPr>
        <w:rPr>
          <w:bCs/>
          <w:noProof/>
          <w:color w:val="000000"/>
        </w:rPr>
      </w:pPr>
      <w:r w:rsidRPr="0027789B">
        <w:rPr>
          <w:bCs/>
          <w:noProof/>
          <w:color w:val="000000"/>
        </w:rPr>
        <w:t>STEP 22: Ramp from Maximum Discharge to Maximum Charge at a ramp rate that is constant for one (1) minute, and hold at Maximum Charge for ten (10) minutes</w:t>
      </w:r>
    </w:p>
    <w:p w14:paraId="3CF416D8" w14:textId="77777777" w:rsidR="00367C93" w:rsidRPr="0027789B"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 xml:space="preserve">Measure: time, Stored Energy Level and power output </w:t>
      </w:r>
    </w:p>
    <w:p w14:paraId="7B1D38ED" w14:textId="77777777" w:rsidR="00367C93" w:rsidRPr="0027789B"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22 ends at end of the ten (10) minute hold period</w:t>
      </w:r>
    </w:p>
    <w:p w14:paraId="2B1DE1D9" w14:textId="77777777" w:rsidR="00367C93" w:rsidRPr="0027789B" w:rsidRDefault="00367C93" w:rsidP="00367C93">
      <w:pPr>
        <w:rPr>
          <w:bCs/>
          <w:noProof/>
          <w:color w:val="000000"/>
        </w:rPr>
      </w:pPr>
      <w:r w:rsidRPr="0027789B">
        <w:rPr>
          <w:bCs/>
          <w:noProof/>
          <w:color w:val="000000"/>
        </w:rPr>
        <w:t>STEP 23: Ramp from Maximum Charge to Maximum Discharge at the maximum ramp rate, and hold at Maximum Discharge for ten (10) minutes</w:t>
      </w:r>
    </w:p>
    <w:p w14:paraId="346DFE26" w14:textId="77777777" w:rsidR="00367C93" w:rsidRPr="0027789B"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Measure: time, Stored Energy Level, and power output</w:t>
      </w:r>
    </w:p>
    <w:p w14:paraId="7ABBDA1B" w14:textId="77777777" w:rsidR="00367C93" w:rsidRPr="0027789B"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Step 23 ends at end of the ten (10) minute hold period</w:t>
      </w:r>
    </w:p>
    <w:p w14:paraId="13AB4A01" w14:textId="77777777" w:rsidR="00367C93" w:rsidRPr="0027789B" w:rsidRDefault="00367C93" w:rsidP="00367C93">
      <w:pPr>
        <w:rPr>
          <w:bCs/>
          <w:noProof/>
          <w:color w:val="000000"/>
        </w:rPr>
      </w:pPr>
      <w:r w:rsidRPr="0027789B">
        <w:rPr>
          <w:bCs/>
          <w:noProof/>
          <w:color w:val="000000"/>
        </w:rPr>
        <w:t>STEP 24: Ramp to zero (0) power output at maximum rate</w:t>
      </w:r>
    </w:p>
    <w:p w14:paraId="2D42B625" w14:textId="77777777" w:rsidR="00367C93" w:rsidRPr="0027789B" w:rsidRDefault="00367C93" w:rsidP="00367C93">
      <w:pPr>
        <w:pStyle w:val="ListParagraph"/>
        <w:widowControl/>
        <w:numPr>
          <w:ilvl w:val="2"/>
          <w:numId w:val="50"/>
        </w:numPr>
        <w:spacing w:after="240" w:line="240" w:lineRule="auto"/>
        <w:ind w:left="1260" w:hanging="360"/>
        <w:jc w:val="left"/>
        <w:rPr>
          <w:rFonts w:ascii="Times New Roman" w:hAnsi="Times New Roman" w:cs="Times New Roman"/>
          <w:bCs/>
          <w:noProof/>
          <w:color w:val="000000"/>
          <w:sz w:val="24"/>
          <w:szCs w:val="24"/>
        </w:rPr>
      </w:pPr>
      <w:r w:rsidRPr="0027789B">
        <w:rPr>
          <w:rFonts w:ascii="Times New Roman" w:hAnsi="Times New Roman" w:cs="Times New Roman"/>
          <w:bCs/>
          <w:noProof/>
          <w:color w:val="000000"/>
          <w:sz w:val="24"/>
          <w:szCs w:val="24"/>
        </w:rPr>
        <w:t>Test ends once the Storage Units’s power output is zero (0)</w:t>
      </w:r>
    </w:p>
    <w:p w14:paraId="7352829A" w14:textId="77777777" w:rsidR="00367C93" w:rsidRDefault="00367C93" w:rsidP="00367C93"/>
    <w:p w14:paraId="3F6953FE" w14:textId="77777777" w:rsidR="00367C93" w:rsidRDefault="00367C93" w:rsidP="00367C93"/>
    <w:p w14:paraId="46C80F77" w14:textId="77777777" w:rsidR="00367C93" w:rsidRDefault="00367C93" w:rsidP="00367C93">
      <w:pPr>
        <w:spacing w:before="100" w:after="100"/>
        <w:jc w:val="center"/>
        <w:rPr>
          <w:u w:val="single"/>
        </w:rPr>
      </w:pPr>
      <w:r>
        <w:rPr>
          <w:i/>
          <w:iCs/>
        </w:rPr>
        <w:t>*** End of EXHIBIT C ***</w:t>
      </w:r>
    </w:p>
    <w:p w14:paraId="04061A0E" w14:textId="77777777" w:rsidR="00367C93" w:rsidRDefault="00367C93" w:rsidP="00367C93"/>
    <w:p w14:paraId="79224C0C" w14:textId="77777777" w:rsidR="00367C93" w:rsidRDefault="00367C93" w:rsidP="00367C93"/>
    <w:p w14:paraId="33CC54B5" w14:textId="77777777" w:rsidR="00367C93" w:rsidRPr="0027789B" w:rsidRDefault="00367C93" w:rsidP="00367C93">
      <w:pPr>
        <w:sectPr w:rsidR="00367C93" w:rsidRPr="0027789B">
          <w:footerReference w:type="default" r:id="rId29"/>
          <w:pgSz w:w="12240" w:h="15840"/>
          <w:pgMar w:top="1440" w:right="1440" w:bottom="1440" w:left="1440" w:header="720" w:footer="720" w:gutter="0"/>
          <w:pgNumType w:start="1"/>
          <w:cols w:space="720"/>
          <w:docGrid w:linePitch="360"/>
        </w:sectPr>
      </w:pPr>
    </w:p>
    <w:p w14:paraId="77E523F4" w14:textId="77777777" w:rsidR="00367C93" w:rsidRPr="00CF77B9" w:rsidRDefault="00367C93" w:rsidP="00367C93">
      <w:pPr>
        <w:spacing w:after="0"/>
        <w:jc w:val="center"/>
        <w:rPr>
          <w:b/>
        </w:rPr>
      </w:pPr>
      <w:r>
        <w:rPr>
          <w:b/>
        </w:rPr>
        <w:lastRenderedPageBreak/>
        <w:t>EXHIBIT D</w:t>
      </w:r>
    </w:p>
    <w:p w14:paraId="2CA1387C" w14:textId="77777777" w:rsidR="00367C93" w:rsidRPr="00CF77B9" w:rsidRDefault="00367C93" w:rsidP="00367C93">
      <w:pPr>
        <w:spacing w:after="0"/>
        <w:jc w:val="center"/>
        <w:rPr>
          <w:b/>
        </w:rPr>
      </w:pPr>
      <w:r w:rsidRPr="00CF77B9">
        <w:rPr>
          <w:b/>
        </w:rPr>
        <w:t>CAPACITY AND ANCILLARY SERVICES OPERATING RESTRICTIONS</w:t>
      </w:r>
    </w:p>
    <w:p w14:paraId="4000B5CD" w14:textId="77777777" w:rsidR="00367C93" w:rsidRPr="00CF77B9" w:rsidRDefault="00367C93" w:rsidP="00367C93">
      <w:pPr>
        <w:spacing w:after="120"/>
        <w:jc w:val="center"/>
      </w:pPr>
    </w:p>
    <w:p w14:paraId="764B619F" w14:textId="77777777" w:rsidR="00367C93" w:rsidRPr="002B4516" w:rsidRDefault="00367C93" w:rsidP="00367C93">
      <w:pPr>
        <w:spacing w:after="0"/>
        <w:jc w:val="center"/>
        <w:rPr>
          <w:i/>
          <w:color w:val="0000FF"/>
        </w:rPr>
      </w:pPr>
      <w:r w:rsidRPr="002B4516">
        <w:rPr>
          <w:i/>
          <w:color w:val="0000FF"/>
        </w:rPr>
        <w:t>{SCE Note: This information is for one storage unit. If the offer consists of more than one energy storage unit, please complete a separate form for each unit.}</w:t>
      </w:r>
    </w:p>
    <w:p w14:paraId="44ECFD08" w14:textId="77777777" w:rsidR="00367C93" w:rsidRDefault="00367C93" w:rsidP="00367C93">
      <w:pPr>
        <w:spacing w:after="0"/>
        <w:jc w:val="center"/>
        <w:rPr>
          <w:b/>
        </w:rPr>
      </w:pPr>
    </w:p>
    <w:p w14:paraId="52B407E1" w14:textId="77777777" w:rsidR="00367C93" w:rsidRPr="00CF77B9" w:rsidRDefault="00367C93" w:rsidP="00367C93">
      <w:pPr>
        <w:spacing w:after="0"/>
        <w:jc w:val="center"/>
        <w:rPr>
          <w:b/>
        </w:rPr>
      </w:pPr>
    </w:p>
    <w:tbl>
      <w:tblPr>
        <w:tblStyle w:val="TableGrid"/>
        <w:tblW w:w="9355" w:type="dxa"/>
        <w:tblLayout w:type="fixed"/>
        <w:tblLook w:val="04A0" w:firstRow="1" w:lastRow="0" w:firstColumn="1" w:lastColumn="0" w:noHBand="0" w:noVBand="1"/>
      </w:tblPr>
      <w:tblGrid>
        <w:gridCol w:w="1615"/>
        <w:gridCol w:w="1395"/>
        <w:gridCol w:w="45"/>
        <w:gridCol w:w="720"/>
        <w:gridCol w:w="495"/>
        <w:gridCol w:w="1260"/>
        <w:gridCol w:w="2160"/>
        <w:gridCol w:w="1665"/>
      </w:tblGrid>
      <w:tr w:rsidR="00367C93" w:rsidRPr="002B4516" w14:paraId="2A3F1167" w14:textId="77777777" w:rsidTr="00267BB5">
        <w:tc>
          <w:tcPr>
            <w:tcW w:w="3775" w:type="dxa"/>
            <w:gridSpan w:val="4"/>
          </w:tcPr>
          <w:p w14:paraId="5F9F12C3" w14:textId="77777777" w:rsidR="00367C93" w:rsidRPr="002B4516" w:rsidRDefault="00367C93" w:rsidP="00267BB5">
            <w:pPr>
              <w:autoSpaceDE w:val="0"/>
              <w:autoSpaceDN w:val="0"/>
              <w:spacing w:after="0" w:line="240" w:lineRule="atLeast"/>
              <w:rPr>
                <w:b/>
                <w:sz w:val="20"/>
                <w:szCs w:val="20"/>
              </w:rPr>
            </w:pPr>
            <w:r w:rsidRPr="002B4516">
              <w:rPr>
                <w:b/>
                <w:sz w:val="20"/>
                <w:szCs w:val="20"/>
              </w:rPr>
              <w:t>File Update Date:</w:t>
            </w:r>
          </w:p>
        </w:tc>
        <w:tc>
          <w:tcPr>
            <w:tcW w:w="5580" w:type="dxa"/>
            <w:gridSpan w:val="4"/>
          </w:tcPr>
          <w:p w14:paraId="749F9C60" w14:textId="77777777" w:rsidR="00367C93" w:rsidRPr="002B4516" w:rsidRDefault="00367C93" w:rsidP="00267BB5">
            <w:pPr>
              <w:autoSpaceDE w:val="0"/>
              <w:autoSpaceDN w:val="0"/>
              <w:spacing w:after="0" w:line="240" w:lineRule="atLeast"/>
              <w:rPr>
                <w:b/>
                <w:color w:val="0000FF"/>
                <w:sz w:val="20"/>
                <w:szCs w:val="20"/>
              </w:rPr>
            </w:pPr>
            <w:r w:rsidRPr="00712B76">
              <w:rPr>
                <w:b/>
                <w:color w:val="0000FF"/>
                <w:sz w:val="20"/>
                <w:szCs w:val="20"/>
              </w:rPr>
              <w:t>[</w:t>
            </w:r>
            <w:r>
              <w:rPr>
                <w:b/>
                <w:color w:val="0000FF"/>
                <w:sz w:val="20"/>
                <w:szCs w:val="20"/>
              </w:rPr>
              <w:t>XX/XX/20XX</w:t>
            </w:r>
            <w:r w:rsidRPr="00712B76">
              <w:rPr>
                <w:b/>
                <w:color w:val="0000FF"/>
                <w:sz w:val="20"/>
                <w:szCs w:val="20"/>
              </w:rPr>
              <w:t>]</w:t>
            </w:r>
          </w:p>
        </w:tc>
      </w:tr>
      <w:tr w:rsidR="00367C93" w:rsidRPr="002B4516" w14:paraId="0D76B110" w14:textId="77777777" w:rsidTr="00267BB5">
        <w:tc>
          <w:tcPr>
            <w:tcW w:w="3775" w:type="dxa"/>
            <w:gridSpan w:val="4"/>
          </w:tcPr>
          <w:p w14:paraId="508B6014" w14:textId="77777777" w:rsidR="00367C93" w:rsidRPr="002B4516" w:rsidRDefault="00367C93" w:rsidP="00267BB5">
            <w:pPr>
              <w:autoSpaceDE w:val="0"/>
              <w:autoSpaceDN w:val="0"/>
              <w:spacing w:after="0" w:line="240" w:lineRule="atLeast"/>
              <w:rPr>
                <w:b/>
                <w:sz w:val="20"/>
                <w:szCs w:val="20"/>
              </w:rPr>
            </w:pPr>
            <w:r w:rsidRPr="002B4516">
              <w:rPr>
                <w:b/>
                <w:sz w:val="20"/>
                <w:szCs w:val="20"/>
              </w:rPr>
              <w:t>Technology:</w:t>
            </w:r>
          </w:p>
        </w:tc>
        <w:tc>
          <w:tcPr>
            <w:tcW w:w="5580" w:type="dxa"/>
            <w:gridSpan w:val="4"/>
          </w:tcPr>
          <w:p w14:paraId="0DF1B9EF" w14:textId="77777777" w:rsidR="00367C93" w:rsidRPr="002B4516" w:rsidRDefault="00367C93" w:rsidP="00267BB5">
            <w:pPr>
              <w:autoSpaceDE w:val="0"/>
              <w:autoSpaceDN w:val="0"/>
              <w:spacing w:after="0" w:line="240" w:lineRule="atLeast"/>
              <w:rPr>
                <w:b/>
                <w:color w:val="0000FF"/>
                <w:sz w:val="20"/>
                <w:szCs w:val="20"/>
              </w:rPr>
            </w:pPr>
            <w:r w:rsidRPr="00712B76">
              <w:rPr>
                <w:b/>
                <w:color w:val="0000FF"/>
                <w:sz w:val="20"/>
                <w:szCs w:val="20"/>
              </w:rPr>
              <w:t>[</w:t>
            </w:r>
            <w:r>
              <w:rPr>
                <w:b/>
                <w:color w:val="0000FF"/>
                <w:sz w:val="20"/>
                <w:szCs w:val="20"/>
              </w:rPr>
              <w:t>Technology</w:t>
            </w:r>
            <w:r w:rsidRPr="00712B76">
              <w:rPr>
                <w:b/>
                <w:color w:val="0000FF"/>
                <w:sz w:val="20"/>
                <w:szCs w:val="20"/>
              </w:rPr>
              <w:t>]</w:t>
            </w:r>
          </w:p>
        </w:tc>
      </w:tr>
      <w:tr w:rsidR="00367C93" w:rsidRPr="002B4516" w14:paraId="45EF8BCD" w14:textId="77777777" w:rsidTr="00267BB5">
        <w:tc>
          <w:tcPr>
            <w:tcW w:w="3775" w:type="dxa"/>
            <w:gridSpan w:val="4"/>
          </w:tcPr>
          <w:p w14:paraId="1D735EDF" w14:textId="77777777" w:rsidR="00367C93" w:rsidRPr="002B4516" w:rsidRDefault="00367C93" w:rsidP="00267BB5">
            <w:pPr>
              <w:autoSpaceDE w:val="0"/>
              <w:autoSpaceDN w:val="0"/>
              <w:spacing w:after="0" w:line="240" w:lineRule="atLeast"/>
              <w:rPr>
                <w:b/>
                <w:sz w:val="20"/>
                <w:szCs w:val="20"/>
              </w:rPr>
            </w:pPr>
            <w:r w:rsidRPr="002B4516">
              <w:rPr>
                <w:b/>
                <w:sz w:val="20"/>
                <w:szCs w:val="20"/>
              </w:rPr>
              <w:t>Storage Unit Name:</w:t>
            </w:r>
          </w:p>
        </w:tc>
        <w:tc>
          <w:tcPr>
            <w:tcW w:w="5580" w:type="dxa"/>
            <w:gridSpan w:val="4"/>
          </w:tcPr>
          <w:p w14:paraId="6E0B635B" w14:textId="77777777" w:rsidR="00367C93" w:rsidRPr="002B4516" w:rsidRDefault="00367C93" w:rsidP="00267BB5">
            <w:pPr>
              <w:autoSpaceDE w:val="0"/>
              <w:autoSpaceDN w:val="0"/>
              <w:spacing w:after="0" w:line="240" w:lineRule="atLeast"/>
              <w:rPr>
                <w:b/>
                <w:sz w:val="20"/>
                <w:szCs w:val="20"/>
              </w:rPr>
            </w:pPr>
            <w:r w:rsidRPr="002B4516">
              <w:rPr>
                <w:b/>
                <w:color w:val="0000FF"/>
                <w:sz w:val="20"/>
                <w:szCs w:val="20"/>
              </w:rPr>
              <w:t>[Unit Name and Number]</w:t>
            </w:r>
          </w:p>
        </w:tc>
      </w:tr>
      <w:tr w:rsidR="00367C93" w:rsidRPr="002B4516" w14:paraId="67C50D52" w14:textId="77777777" w:rsidTr="00267BB5">
        <w:tc>
          <w:tcPr>
            <w:tcW w:w="9355" w:type="dxa"/>
            <w:gridSpan w:val="8"/>
            <w:shd w:val="clear" w:color="auto" w:fill="92D050"/>
          </w:tcPr>
          <w:p w14:paraId="11D30720" w14:textId="77777777" w:rsidR="00367C93" w:rsidRPr="002B4516" w:rsidRDefault="00367C93" w:rsidP="00267BB5">
            <w:pPr>
              <w:pStyle w:val="ListParagraph"/>
              <w:numPr>
                <w:ilvl w:val="0"/>
                <w:numId w:val="121"/>
              </w:numPr>
              <w:autoSpaceDE w:val="0"/>
              <w:autoSpaceDN w:val="0"/>
              <w:spacing w:line="240" w:lineRule="atLeast"/>
              <w:jc w:val="left"/>
              <w:rPr>
                <w:rFonts w:ascii="Times New Roman" w:hAnsi="Times New Roman" w:cs="Times New Roman"/>
                <w:b/>
              </w:rPr>
            </w:pPr>
            <w:r w:rsidRPr="002B4516">
              <w:rPr>
                <w:rFonts w:ascii="Times New Roman" w:hAnsi="Times New Roman" w:cs="Times New Roman"/>
                <w:b/>
              </w:rPr>
              <w:t>Contract Capacity</w:t>
            </w:r>
          </w:p>
        </w:tc>
      </w:tr>
      <w:tr w:rsidR="00367C93" w:rsidRPr="002B4516" w14:paraId="430AA40D" w14:textId="77777777" w:rsidTr="00267BB5">
        <w:tc>
          <w:tcPr>
            <w:tcW w:w="3055" w:type="dxa"/>
            <w:gridSpan w:val="3"/>
          </w:tcPr>
          <w:p w14:paraId="0D9CF38F"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Expected Contract Capacity (MW):</w:t>
            </w:r>
          </w:p>
        </w:tc>
        <w:tc>
          <w:tcPr>
            <w:tcW w:w="1215" w:type="dxa"/>
            <w:gridSpan w:val="2"/>
          </w:tcPr>
          <w:p w14:paraId="59387696"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c>
          <w:tcPr>
            <w:tcW w:w="3420" w:type="dxa"/>
            <w:gridSpan w:val="2"/>
          </w:tcPr>
          <w:p w14:paraId="662A36D3"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Contract Capacity (MW):</w:t>
            </w:r>
          </w:p>
        </w:tc>
        <w:tc>
          <w:tcPr>
            <w:tcW w:w="1665" w:type="dxa"/>
          </w:tcPr>
          <w:p w14:paraId="7C8630CA"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7DDCF319" w14:textId="77777777" w:rsidTr="00267BB5">
        <w:tc>
          <w:tcPr>
            <w:tcW w:w="9355" w:type="dxa"/>
            <w:gridSpan w:val="8"/>
            <w:shd w:val="clear" w:color="auto" w:fill="92D050"/>
          </w:tcPr>
          <w:p w14:paraId="0A446B81" w14:textId="77777777" w:rsidR="00367C93" w:rsidRPr="002B4516" w:rsidRDefault="00367C93" w:rsidP="00267BB5">
            <w:pPr>
              <w:pStyle w:val="ListParagraph"/>
              <w:numPr>
                <w:ilvl w:val="0"/>
                <w:numId w:val="121"/>
              </w:numPr>
              <w:autoSpaceDE w:val="0"/>
              <w:autoSpaceDN w:val="0"/>
              <w:spacing w:line="240" w:lineRule="atLeast"/>
              <w:jc w:val="left"/>
              <w:rPr>
                <w:rFonts w:ascii="Times New Roman" w:hAnsi="Times New Roman" w:cs="Times New Roman"/>
                <w:b/>
              </w:rPr>
            </w:pPr>
            <w:r>
              <w:rPr>
                <w:rFonts w:ascii="Times New Roman" w:hAnsi="Times New Roman" w:cs="Times New Roman"/>
                <w:b/>
              </w:rPr>
              <w:t>Total Unit Dispatchable Range Information</w:t>
            </w:r>
          </w:p>
        </w:tc>
      </w:tr>
      <w:tr w:rsidR="00367C93" w:rsidRPr="002B4516" w14:paraId="26BEC802" w14:textId="77777777" w:rsidTr="00267BB5">
        <w:tc>
          <w:tcPr>
            <w:tcW w:w="3055" w:type="dxa"/>
            <w:gridSpan w:val="3"/>
          </w:tcPr>
          <w:p w14:paraId="206711FA"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Maximum Storage Level (MWh):</w:t>
            </w:r>
          </w:p>
        </w:tc>
        <w:tc>
          <w:tcPr>
            <w:tcW w:w="6300" w:type="dxa"/>
            <w:gridSpan w:val="5"/>
          </w:tcPr>
          <w:p w14:paraId="2D295C18"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78E9FF5C" w14:textId="77777777" w:rsidTr="00267BB5">
        <w:tc>
          <w:tcPr>
            <w:tcW w:w="3055" w:type="dxa"/>
            <w:gridSpan w:val="3"/>
          </w:tcPr>
          <w:p w14:paraId="000BAC8D"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Minimum Storage Level (MWh):</w:t>
            </w:r>
          </w:p>
        </w:tc>
        <w:tc>
          <w:tcPr>
            <w:tcW w:w="6300" w:type="dxa"/>
            <w:gridSpan w:val="5"/>
          </w:tcPr>
          <w:p w14:paraId="5AE75D0F"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19B3505F" w14:textId="77777777" w:rsidTr="00267BB5">
        <w:tc>
          <w:tcPr>
            <w:tcW w:w="3055" w:type="dxa"/>
            <w:gridSpan w:val="3"/>
          </w:tcPr>
          <w:p w14:paraId="43F65E03"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Stored energy capability (MWh):</w:t>
            </w:r>
          </w:p>
        </w:tc>
        <w:tc>
          <w:tcPr>
            <w:tcW w:w="1215" w:type="dxa"/>
            <w:gridSpan w:val="2"/>
          </w:tcPr>
          <w:p w14:paraId="5D818104"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c>
          <w:tcPr>
            <w:tcW w:w="3420" w:type="dxa"/>
            <w:gridSpan w:val="2"/>
          </w:tcPr>
          <w:p w14:paraId="4C3F4DD2"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Qualifying Capacity for RA:</w:t>
            </w:r>
          </w:p>
        </w:tc>
        <w:tc>
          <w:tcPr>
            <w:tcW w:w="1665" w:type="dxa"/>
          </w:tcPr>
          <w:p w14:paraId="33994330"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3BBBBE87" w14:textId="77777777" w:rsidTr="00267BB5">
        <w:tc>
          <w:tcPr>
            <w:tcW w:w="3055" w:type="dxa"/>
            <w:gridSpan w:val="3"/>
          </w:tcPr>
          <w:p w14:paraId="0F1F0E61"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Maximum Discharge (MW):</w:t>
            </w:r>
          </w:p>
        </w:tc>
        <w:tc>
          <w:tcPr>
            <w:tcW w:w="6300" w:type="dxa"/>
            <w:gridSpan w:val="5"/>
          </w:tcPr>
          <w:p w14:paraId="357745C1"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28B4EC44" w14:textId="77777777" w:rsidTr="00267BB5">
        <w:tc>
          <w:tcPr>
            <w:tcW w:w="3055" w:type="dxa"/>
            <w:gridSpan w:val="3"/>
          </w:tcPr>
          <w:p w14:paraId="2C890A79"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Maximum Charge (MW):</w:t>
            </w:r>
          </w:p>
        </w:tc>
        <w:tc>
          <w:tcPr>
            <w:tcW w:w="6300" w:type="dxa"/>
            <w:gridSpan w:val="5"/>
          </w:tcPr>
          <w:p w14:paraId="20639E19"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77BBF164" w14:textId="77777777" w:rsidTr="00267BB5">
        <w:tc>
          <w:tcPr>
            <w:tcW w:w="9355" w:type="dxa"/>
            <w:gridSpan w:val="8"/>
            <w:tcBorders>
              <w:left w:val="nil"/>
              <w:right w:val="nil"/>
            </w:tcBorders>
          </w:tcPr>
          <w:p w14:paraId="3FD8B59C" w14:textId="77777777" w:rsidR="00367C93" w:rsidRPr="002B4516" w:rsidRDefault="00367C93" w:rsidP="00267BB5">
            <w:pPr>
              <w:autoSpaceDE w:val="0"/>
              <w:autoSpaceDN w:val="0"/>
              <w:adjustRightInd w:val="0"/>
              <w:spacing w:after="0" w:line="240" w:lineRule="atLeast"/>
              <w:rPr>
                <w:sz w:val="20"/>
                <w:szCs w:val="20"/>
              </w:rPr>
            </w:pPr>
          </w:p>
        </w:tc>
      </w:tr>
      <w:tr w:rsidR="00367C93" w:rsidRPr="002B4516" w14:paraId="3D1511A8" w14:textId="77777777" w:rsidTr="00267BB5">
        <w:tc>
          <w:tcPr>
            <w:tcW w:w="3055" w:type="dxa"/>
            <w:gridSpan w:val="3"/>
          </w:tcPr>
          <w:p w14:paraId="002893BA"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Guaranteed Efficiency Factor Max (GEF</w:t>
            </w:r>
            <w:r w:rsidRPr="002B4516">
              <w:rPr>
                <w:b/>
                <w:sz w:val="20"/>
                <w:szCs w:val="20"/>
                <w:vertAlign w:val="superscript"/>
              </w:rPr>
              <w:t>max</w:t>
            </w:r>
            <w:r w:rsidRPr="002B4516">
              <w:rPr>
                <w:b/>
                <w:sz w:val="20"/>
                <w:szCs w:val="20"/>
              </w:rPr>
              <w:t>)(%):</w:t>
            </w:r>
          </w:p>
        </w:tc>
        <w:tc>
          <w:tcPr>
            <w:tcW w:w="6300" w:type="dxa"/>
            <w:gridSpan w:val="5"/>
          </w:tcPr>
          <w:p w14:paraId="2FB7E691"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7C16F58F" w14:textId="77777777" w:rsidTr="00267BB5">
        <w:tc>
          <w:tcPr>
            <w:tcW w:w="3055" w:type="dxa"/>
            <w:gridSpan w:val="3"/>
          </w:tcPr>
          <w:p w14:paraId="6C533F1B"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Guaranteed Efficiency Factor Min (GEF</w:t>
            </w:r>
            <w:r w:rsidRPr="002B4516">
              <w:rPr>
                <w:b/>
                <w:sz w:val="20"/>
                <w:szCs w:val="20"/>
                <w:vertAlign w:val="superscript"/>
              </w:rPr>
              <w:t>min</w:t>
            </w:r>
            <w:r w:rsidRPr="002B4516">
              <w:rPr>
                <w:b/>
                <w:sz w:val="20"/>
                <w:szCs w:val="20"/>
              </w:rPr>
              <w:t>)(%):</w:t>
            </w:r>
          </w:p>
        </w:tc>
        <w:tc>
          <w:tcPr>
            <w:tcW w:w="6300" w:type="dxa"/>
            <w:gridSpan w:val="5"/>
          </w:tcPr>
          <w:p w14:paraId="50A8F049"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3FBE9242" w14:textId="77777777" w:rsidTr="00267BB5">
        <w:trPr>
          <w:trHeight w:val="143"/>
        </w:trPr>
        <w:tc>
          <w:tcPr>
            <w:tcW w:w="9355" w:type="dxa"/>
            <w:gridSpan w:val="8"/>
            <w:tcBorders>
              <w:left w:val="nil"/>
              <w:right w:val="nil"/>
            </w:tcBorders>
          </w:tcPr>
          <w:p w14:paraId="17D77560" w14:textId="77777777" w:rsidR="00367C93" w:rsidRPr="002B4516" w:rsidRDefault="00367C93" w:rsidP="00267BB5">
            <w:pPr>
              <w:autoSpaceDE w:val="0"/>
              <w:autoSpaceDN w:val="0"/>
              <w:adjustRightInd w:val="0"/>
              <w:spacing w:after="0" w:line="240" w:lineRule="atLeast"/>
              <w:rPr>
                <w:sz w:val="20"/>
                <w:szCs w:val="20"/>
              </w:rPr>
            </w:pPr>
          </w:p>
        </w:tc>
      </w:tr>
      <w:tr w:rsidR="00367C93" w:rsidRPr="002B4516" w14:paraId="120D3293" w14:textId="77777777" w:rsidTr="00267BB5">
        <w:trPr>
          <w:trHeight w:val="575"/>
        </w:trPr>
        <w:tc>
          <w:tcPr>
            <w:tcW w:w="3055" w:type="dxa"/>
            <w:gridSpan w:val="3"/>
          </w:tcPr>
          <w:p w14:paraId="0CFDB22A"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Base energy throughput (BET) (MWh/year):</w:t>
            </w:r>
          </w:p>
        </w:tc>
        <w:tc>
          <w:tcPr>
            <w:tcW w:w="6300" w:type="dxa"/>
            <w:gridSpan w:val="5"/>
          </w:tcPr>
          <w:p w14:paraId="7BA8B3F8"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55F665B0" w14:textId="77777777" w:rsidTr="00267BB5">
        <w:tc>
          <w:tcPr>
            <w:tcW w:w="9355" w:type="dxa"/>
            <w:gridSpan w:val="8"/>
            <w:shd w:val="clear" w:color="auto" w:fill="92D050"/>
          </w:tcPr>
          <w:p w14:paraId="1F59E016" w14:textId="77777777" w:rsidR="00367C93" w:rsidRPr="002B4516" w:rsidRDefault="00367C93" w:rsidP="00267BB5">
            <w:pPr>
              <w:pStyle w:val="ListParagraph"/>
              <w:numPr>
                <w:ilvl w:val="0"/>
                <w:numId w:val="121"/>
              </w:numPr>
              <w:autoSpaceDE w:val="0"/>
              <w:autoSpaceDN w:val="0"/>
              <w:spacing w:line="240" w:lineRule="atLeast"/>
              <w:jc w:val="left"/>
              <w:rPr>
                <w:rFonts w:ascii="Times New Roman" w:hAnsi="Times New Roman" w:cs="Times New Roman"/>
                <w:b/>
              </w:rPr>
            </w:pPr>
            <w:r w:rsidRPr="002B4516">
              <w:rPr>
                <w:rFonts w:ascii="Times New Roman" w:hAnsi="Times New Roman" w:cs="Times New Roman"/>
                <w:b/>
              </w:rPr>
              <w:t>Charge and Discharge Rates</w:t>
            </w:r>
          </w:p>
        </w:tc>
      </w:tr>
      <w:tr w:rsidR="00367C93" w:rsidRPr="002B4516" w14:paraId="38B12881" w14:textId="77777777" w:rsidTr="00267BB5">
        <w:tc>
          <w:tcPr>
            <w:tcW w:w="1615" w:type="dxa"/>
          </w:tcPr>
          <w:p w14:paraId="68A7E588"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Mode</w:t>
            </w:r>
          </w:p>
        </w:tc>
        <w:tc>
          <w:tcPr>
            <w:tcW w:w="1395" w:type="dxa"/>
          </w:tcPr>
          <w:p w14:paraId="0C1D6F05"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Maximum (MW)</w:t>
            </w:r>
          </w:p>
        </w:tc>
        <w:tc>
          <w:tcPr>
            <w:tcW w:w="1260" w:type="dxa"/>
            <w:gridSpan w:val="3"/>
          </w:tcPr>
          <w:p w14:paraId="6038D9C6"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Worst Ramp Rate (MW/min)</w:t>
            </w:r>
          </w:p>
        </w:tc>
        <w:tc>
          <w:tcPr>
            <w:tcW w:w="1260" w:type="dxa"/>
          </w:tcPr>
          <w:p w14:paraId="00075B4C"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Best Ramp Rate (MW/min)</w:t>
            </w:r>
          </w:p>
        </w:tc>
        <w:tc>
          <w:tcPr>
            <w:tcW w:w="3825" w:type="dxa"/>
            <w:gridSpan w:val="2"/>
          </w:tcPr>
          <w:p w14:paraId="35462855"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Description</w:t>
            </w:r>
          </w:p>
          <w:p w14:paraId="5F8627C9" w14:textId="77777777" w:rsidR="00367C93" w:rsidRPr="002B4516" w:rsidRDefault="00367C93" w:rsidP="00267BB5">
            <w:pPr>
              <w:autoSpaceDE w:val="0"/>
              <w:autoSpaceDN w:val="0"/>
              <w:adjustRightInd w:val="0"/>
              <w:spacing w:after="0" w:line="240" w:lineRule="atLeast"/>
              <w:rPr>
                <w:b/>
                <w:sz w:val="20"/>
                <w:szCs w:val="20"/>
              </w:rPr>
            </w:pPr>
          </w:p>
        </w:tc>
      </w:tr>
      <w:tr w:rsidR="00367C93" w:rsidRPr="002B4516" w14:paraId="65E12DF9" w14:textId="77777777" w:rsidTr="00267BB5">
        <w:trPr>
          <w:trHeight w:val="80"/>
        </w:trPr>
        <w:tc>
          <w:tcPr>
            <w:tcW w:w="1615" w:type="dxa"/>
          </w:tcPr>
          <w:p w14:paraId="7F6BB892"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Energy (Charge)</w:t>
            </w:r>
          </w:p>
        </w:tc>
        <w:tc>
          <w:tcPr>
            <w:tcW w:w="1395" w:type="dxa"/>
          </w:tcPr>
          <w:p w14:paraId="6294C5D4"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gridSpan w:val="3"/>
          </w:tcPr>
          <w:p w14:paraId="00763B8C"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tcPr>
          <w:p w14:paraId="52D7220E"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3825" w:type="dxa"/>
            <w:gridSpan w:val="2"/>
          </w:tcPr>
          <w:p w14:paraId="224255C5"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[Discharging mode]</w:t>
            </w:r>
          </w:p>
        </w:tc>
      </w:tr>
      <w:tr w:rsidR="00367C93" w:rsidRPr="002B4516" w14:paraId="333E2C68" w14:textId="77777777" w:rsidTr="00267BB5">
        <w:tc>
          <w:tcPr>
            <w:tcW w:w="1615" w:type="dxa"/>
          </w:tcPr>
          <w:p w14:paraId="0AAD8745"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Energy (Discharge)</w:t>
            </w:r>
          </w:p>
        </w:tc>
        <w:tc>
          <w:tcPr>
            <w:tcW w:w="1395" w:type="dxa"/>
          </w:tcPr>
          <w:p w14:paraId="3E2B256D"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gridSpan w:val="3"/>
          </w:tcPr>
          <w:p w14:paraId="1847ABC1"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tcPr>
          <w:p w14:paraId="1094C6D6"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3825" w:type="dxa"/>
            <w:gridSpan w:val="2"/>
          </w:tcPr>
          <w:p w14:paraId="369CAA4D"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[Discharging mode]</w:t>
            </w:r>
          </w:p>
        </w:tc>
      </w:tr>
      <w:tr w:rsidR="00367C93" w:rsidRPr="002B4516" w14:paraId="21EF3391" w14:textId="77777777" w:rsidTr="00267BB5">
        <w:tc>
          <w:tcPr>
            <w:tcW w:w="9355" w:type="dxa"/>
            <w:gridSpan w:val="8"/>
            <w:tcBorders>
              <w:left w:val="nil"/>
              <w:right w:val="nil"/>
            </w:tcBorders>
          </w:tcPr>
          <w:p w14:paraId="733A62DA" w14:textId="77777777" w:rsidR="00367C93" w:rsidRPr="002B4516" w:rsidRDefault="00367C93" w:rsidP="00267BB5">
            <w:pPr>
              <w:autoSpaceDE w:val="0"/>
              <w:autoSpaceDN w:val="0"/>
              <w:adjustRightInd w:val="0"/>
              <w:spacing w:after="0" w:line="240" w:lineRule="atLeast"/>
              <w:rPr>
                <w:b/>
                <w:sz w:val="20"/>
                <w:szCs w:val="20"/>
              </w:rPr>
            </w:pPr>
          </w:p>
        </w:tc>
      </w:tr>
      <w:tr w:rsidR="00367C93" w:rsidRPr="002B4516" w14:paraId="6094C5DA" w14:textId="77777777" w:rsidTr="00267BB5">
        <w:tc>
          <w:tcPr>
            <w:tcW w:w="9355" w:type="dxa"/>
            <w:gridSpan w:val="8"/>
            <w:shd w:val="clear" w:color="auto" w:fill="92D050"/>
          </w:tcPr>
          <w:p w14:paraId="709A0A94" w14:textId="77777777" w:rsidR="00367C93" w:rsidRPr="002B4516" w:rsidRDefault="00367C93" w:rsidP="00267BB5">
            <w:pPr>
              <w:pStyle w:val="ListParagraph"/>
              <w:numPr>
                <w:ilvl w:val="0"/>
                <w:numId w:val="121"/>
              </w:numPr>
              <w:autoSpaceDE w:val="0"/>
              <w:autoSpaceDN w:val="0"/>
              <w:spacing w:line="240" w:lineRule="atLeast"/>
              <w:jc w:val="left"/>
              <w:rPr>
                <w:rFonts w:ascii="Times New Roman" w:hAnsi="Times New Roman" w:cs="Times New Roman"/>
                <w:b/>
              </w:rPr>
            </w:pPr>
            <w:r w:rsidRPr="002B4516">
              <w:rPr>
                <w:rFonts w:ascii="Times New Roman" w:hAnsi="Times New Roman" w:cs="Times New Roman"/>
                <w:b/>
              </w:rPr>
              <w:t>Ancillary Services</w:t>
            </w:r>
          </w:p>
        </w:tc>
      </w:tr>
      <w:tr w:rsidR="00367C93" w:rsidRPr="002B4516" w14:paraId="347D553B" w14:textId="77777777" w:rsidTr="00267BB5">
        <w:tc>
          <w:tcPr>
            <w:tcW w:w="4270" w:type="dxa"/>
            <w:gridSpan w:val="5"/>
            <w:vMerge w:val="restart"/>
            <w:tcBorders>
              <w:left w:val="nil"/>
            </w:tcBorders>
          </w:tcPr>
          <w:p w14:paraId="46772039" w14:textId="77777777" w:rsidR="00367C93" w:rsidRPr="002B4516" w:rsidRDefault="00367C93" w:rsidP="00267BB5">
            <w:pPr>
              <w:autoSpaceDE w:val="0"/>
              <w:autoSpaceDN w:val="0"/>
              <w:adjustRightInd w:val="0"/>
              <w:spacing w:after="0" w:line="240" w:lineRule="atLeast"/>
              <w:rPr>
                <w:b/>
                <w:sz w:val="20"/>
                <w:szCs w:val="20"/>
              </w:rPr>
            </w:pPr>
          </w:p>
          <w:p w14:paraId="631C175A" w14:textId="77777777" w:rsidR="00367C93" w:rsidRPr="002B4516" w:rsidRDefault="00367C93" w:rsidP="00267BB5">
            <w:pPr>
              <w:autoSpaceDE w:val="0"/>
              <w:autoSpaceDN w:val="0"/>
              <w:adjustRightInd w:val="0"/>
              <w:spacing w:after="0" w:line="240" w:lineRule="atLeast"/>
              <w:rPr>
                <w:b/>
                <w:sz w:val="20"/>
                <w:szCs w:val="20"/>
              </w:rPr>
            </w:pPr>
          </w:p>
        </w:tc>
        <w:tc>
          <w:tcPr>
            <w:tcW w:w="1260" w:type="dxa"/>
          </w:tcPr>
          <w:p w14:paraId="47B8C012"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Frequency regulation is included:</w:t>
            </w:r>
          </w:p>
        </w:tc>
        <w:tc>
          <w:tcPr>
            <w:tcW w:w="3825" w:type="dxa"/>
            <w:gridSpan w:val="2"/>
          </w:tcPr>
          <w:p w14:paraId="15AD4D5B"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6B024C96" w14:textId="77777777" w:rsidTr="00267BB5">
        <w:tc>
          <w:tcPr>
            <w:tcW w:w="4270" w:type="dxa"/>
            <w:gridSpan w:val="5"/>
            <w:vMerge/>
            <w:tcBorders>
              <w:left w:val="nil"/>
            </w:tcBorders>
          </w:tcPr>
          <w:p w14:paraId="473B829D" w14:textId="77777777" w:rsidR="00367C93" w:rsidRPr="002B4516" w:rsidRDefault="00367C93" w:rsidP="00267BB5">
            <w:pPr>
              <w:autoSpaceDE w:val="0"/>
              <w:autoSpaceDN w:val="0"/>
              <w:adjustRightInd w:val="0"/>
              <w:spacing w:after="0" w:line="240" w:lineRule="atLeast"/>
              <w:rPr>
                <w:b/>
                <w:sz w:val="20"/>
                <w:szCs w:val="20"/>
              </w:rPr>
            </w:pPr>
          </w:p>
        </w:tc>
        <w:tc>
          <w:tcPr>
            <w:tcW w:w="1260" w:type="dxa"/>
          </w:tcPr>
          <w:p w14:paraId="510E9421" w14:textId="77777777" w:rsidR="00367C93" w:rsidRPr="002B4516" w:rsidRDefault="00367C93" w:rsidP="00267BB5">
            <w:pPr>
              <w:autoSpaceDE w:val="0"/>
              <w:autoSpaceDN w:val="0"/>
              <w:adjustRightInd w:val="0"/>
              <w:spacing w:after="0" w:line="240" w:lineRule="atLeast"/>
              <w:rPr>
                <w:b/>
                <w:sz w:val="20"/>
                <w:szCs w:val="20"/>
              </w:rPr>
            </w:pPr>
            <w:r w:rsidRPr="002B4516">
              <w:rPr>
                <w:b/>
                <w:sz w:val="20"/>
                <w:szCs w:val="20"/>
              </w:rPr>
              <w:t>Spin is included:</w:t>
            </w:r>
          </w:p>
        </w:tc>
        <w:tc>
          <w:tcPr>
            <w:tcW w:w="3825" w:type="dxa"/>
            <w:gridSpan w:val="2"/>
          </w:tcPr>
          <w:p w14:paraId="3755A0B0" w14:textId="77777777" w:rsidR="00367C93" w:rsidRPr="002B4516" w:rsidRDefault="00367C93" w:rsidP="00267BB5">
            <w:pPr>
              <w:autoSpaceDE w:val="0"/>
              <w:autoSpaceDN w:val="0"/>
              <w:adjustRightInd w:val="0"/>
              <w:spacing w:after="0" w:line="240" w:lineRule="atLeast"/>
              <w:rPr>
                <w:sz w:val="20"/>
                <w:szCs w:val="20"/>
              </w:rPr>
            </w:pPr>
            <w:r w:rsidRPr="002B4516">
              <w:rPr>
                <w:color w:val="0000FF"/>
                <w:sz w:val="20"/>
                <w:szCs w:val="20"/>
              </w:rPr>
              <w:t>[X]</w:t>
            </w:r>
          </w:p>
        </w:tc>
      </w:tr>
      <w:tr w:rsidR="00367C93" w:rsidRPr="002B4516" w14:paraId="51F0108A" w14:textId="77777777" w:rsidTr="00267BB5">
        <w:tc>
          <w:tcPr>
            <w:tcW w:w="1615" w:type="dxa"/>
            <w:tcBorders>
              <w:top w:val="nil"/>
              <w:left w:val="single" w:sz="4" w:space="0" w:color="auto"/>
            </w:tcBorders>
          </w:tcPr>
          <w:p w14:paraId="52410FBA" w14:textId="77777777" w:rsidR="00367C93" w:rsidRPr="002B4516" w:rsidRDefault="00367C93" w:rsidP="00267BB5">
            <w:pPr>
              <w:autoSpaceDE w:val="0"/>
              <w:autoSpaceDN w:val="0"/>
              <w:adjustRightInd w:val="0"/>
              <w:spacing w:after="0" w:line="240" w:lineRule="atLeast"/>
              <w:rPr>
                <w:b/>
                <w:sz w:val="20"/>
                <w:szCs w:val="20"/>
              </w:rPr>
            </w:pPr>
          </w:p>
        </w:tc>
        <w:tc>
          <w:tcPr>
            <w:tcW w:w="7740" w:type="dxa"/>
            <w:gridSpan w:val="7"/>
          </w:tcPr>
          <w:p w14:paraId="25052884"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AS range and capacity</w:t>
            </w:r>
          </w:p>
        </w:tc>
      </w:tr>
      <w:tr w:rsidR="00367C93" w:rsidRPr="002B4516" w14:paraId="3CEACB39" w14:textId="77777777" w:rsidTr="00267BB5">
        <w:tc>
          <w:tcPr>
            <w:tcW w:w="1615" w:type="dxa"/>
          </w:tcPr>
          <w:p w14:paraId="01B76E01"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Mode</w:t>
            </w:r>
          </w:p>
        </w:tc>
        <w:tc>
          <w:tcPr>
            <w:tcW w:w="1395" w:type="dxa"/>
          </w:tcPr>
          <w:p w14:paraId="7503D71B"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Lower MW</w:t>
            </w:r>
          </w:p>
        </w:tc>
        <w:tc>
          <w:tcPr>
            <w:tcW w:w="1260" w:type="dxa"/>
            <w:gridSpan w:val="3"/>
          </w:tcPr>
          <w:p w14:paraId="2F60103D"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Higher MW</w:t>
            </w:r>
          </w:p>
        </w:tc>
        <w:tc>
          <w:tcPr>
            <w:tcW w:w="1260" w:type="dxa"/>
          </w:tcPr>
          <w:p w14:paraId="135BAE15"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Ramp Rate (MW/min)</w:t>
            </w:r>
          </w:p>
        </w:tc>
        <w:tc>
          <w:tcPr>
            <w:tcW w:w="2160" w:type="dxa"/>
          </w:tcPr>
          <w:p w14:paraId="3F321EC4"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A/S Maximum Capacity (MW) [1]</w:t>
            </w:r>
          </w:p>
        </w:tc>
        <w:tc>
          <w:tcPr>
            <w:tcW w:w="1665" w:type="dxa"/>
          </w:tcPr>
          <w:p w14:paraId="00D31575"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A/S Minimum Capacity (MW)</w:t>
            </w:r>
          </w:p>
        </w:tc>
      </w:tr>
      <w:tr w:rsidR="00367C93" w:rsidRPr="002B4516" w14:paraId="4B80A8E8" w14:textId="77777777" w:rsidTr="00267BB5">
        <w:tc>
          <w:tcPr>
            <w:tcW w:w="1615" w:type="dxa"/>
          </w:tcPr>
          <w:p w14:paraId="16831982"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Regulation Up</w:t>
            </w:r>
          </w:p>
        </w:tc>
        <w:tc>
          <w:tcPr>
            <w:tcW w:w="1395" w:type="dxa"/>
          </w:tcPr>
          <w:p w14:paraId="3E766053"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gridSpan w:val="3"/>
          </w:tcPr>
          <w:p w14:paraId="5E5A30A9"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tcPr>
          <w:p w14:paraId="45099B6F"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2160" w:type="dxa"/>
          </w:tcPr>
          <w:p w14:paraId="1C9CDB93"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665" w:type="dxa"/>
          </w:tcPr>
          <w:p w14:paraId="48A05F9B"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367C93" w:rsidRPr="002B4516" w14:paraId="60A4644C" w14:textId="77777777" w:rsidTr="00267BB5">
        <w:tc>
          <w:tcPr>
            <w:tcW w:w="1615" w:type="dxa"/>
          </w:tcPr>
          <w:p w14:paraId="21DC9FD4"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Regulation Down</w:t>
            </w:r>
          </w:p>
        </w:tc>
        <w:tc>
          <w:tcPr>
            <w:tcW w:w="1395" w:type="dxa"/>
          </w:tcPr>
          <w:p w14:paraId="27EC4FCC"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gridSpan w:val="3"/>
          </w:tcPr>
          <w:p w14:paraId="2FBE1F66"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tcPr>
          <w:p w14:paraId="2BC7612D"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2160" w:type="dxa"/>
          </w:tcPr>
          <w:p w14:paraId="1AE7BC03"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665" w:type="dxa"/>
          </w:tcPr>
          <w:p w14:paraId="47248F90"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367C93" w:rsidRPr="002B4516" w14:paraId="24798D61" w14:textId="77777777" w:rsidTr="00267BB5">
        <w:tc>
          <w:tcPr>
            <w:tcW w:w="1615" w:type="dxa"/>
          </w:tcPr>
          <w:p w14:paraId="1DA8A169" w14:textId="77777777" w:rsidR="00367C93" w:rsidRPr="002B4516" w:rsidRDefault="00367C93" w:rsidP="00267BB5">
            <w:pPr>
              <w:autoSpaceDE w:val="0"/>
              <w:autoSpaceDN w:val="0"/>
              <w:adjustRightInd w:val="0"/>
              <w:spacing w:after="0" w:line="240" w:lineRule="atLeast"/>
              <w:jc w:val="center"/>
              <w:rPr>
                <w:b/>
                <w:sz w:val="20"/>
                <w:szCs w:val="20"/>
              </w:rPr>
            </w:pPr>
            <w:r w:rsidRPr="002B4516">
              <w:rPr>
                <w:b/>
                <w:sz w:val="20"/>
                <w:szCs w:val="20"/>
              </w:rPr>
              <w:t>Spin</w:t>
            </w:r>
          </w:p>
        </w:tc>
        <w:tc>
          <w:tcPr>
            <w:tcW w:w="1395" w:type="dxa"/>
          </w:tcPr>
          <w:p w14:paraId="6944FEE7"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gridSpan w:val="3"/>
          </w:tcPr>
          <w:p w14:paraId="16F3C1E2"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260" w:type="dxa"/>
          </w:tcPr>
          <w:p w14:paraId="2061A60A"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2160" w:type="dxa"/>
          </w:tcPr>
          <w:p w14:paraId="5D2B842E"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665" w:type="dxa"/>
          </w:tcPr>
          <w:p w14:paraId="697ABB8A" w14:textId="77777777" w:rsidR="00367C93" w:rsidRPr="002B4516" w:rsidRDefault="00367C9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367C93" w:rsidRPr="002B4516" w14:paraId="130D78B0" w14:textId="77777777" w:rsidTr="00267BB5">
        <w:trPr>
          <w:trHeight w:val="125"/>
        </w:trPr>
        <w:tc>
          <w:tcPr>
            <w:tcW w:w="9355" w:type="dxa"/>
            <w:gridSpan w:val="8"/>
            <w:tcBorders>
              <w:left w:val="nil"/>
              <w:bottom w:val="nil"/>
              <w:right w:val="nil"/>
            </w:tcBorders>
          </w:tcPr>
          <w:p w14:paraId="66317975" w14:textId="77777777" w:rsidR="00367C93" w:rsidRPr="002B4516" w:rsidRDefault="00367C93" w:rsidP="00267BB5">
            <w:pPr>
              <w:autoSpaceDE w:val="0"/>
              <w:autoSpaceDN w:val="0"/>
              <w:adjustRightInd w:val="0"/>
              <w:spacing w:after="0" w:line="240" w:lineRule="atLeast"/>
              <w:rPr>
                <w:b/>
                <w:sz w:val="20"/>
                <w:szCs w:val="20"/>
              </w:rPr>
            </w:pPr>
          </w:p>
        </w:tc>
      </w:tr>
      <w:tr w:rsidR="00367C93" w:rsidRPr="002B4516" w14:paraId="37D82A50" w14:textId="77777777" w:rsidTr="00267BB5">
        <w:tc>
          <w:tcPr>
            <w:tcW w:w="9355" w:type="dxa"/>
            <w:gridSpan w:val="8"/>
            <w:tcBorders>
              <w:top w:val="nil"/>
              <w:left w:val="nil"/>
              <w:bottom w:val="single" w:sz="4" w:space="0" w:color="auto"/>
              <w:right w:val="nil"/>
            </w:tcBorders>
          </w:tcPr>
          <w:p w14:paraId="06DBC318" w14:textId="77777777" w:rsidR="00367C93" w:rsidRPr="002B4516" w:rsidRDefault="00367C93" w:rsidP="00267BB5">
            <w:pPr>
              <w:autoSpaceDE w:val="0"/>
              <w:autoSpaceDN w:val="0"/>
              <w:adjustRightInd w:val="0"/>
              <w:spacing w:after="0" w:line="240" w:lineRule="atLeast"/>
              <w:rPr>
                <w:sz w:val="20"/>
                <w:szCs w:val="20"/>
              </w:rPr>
            </w:pPr>
            <w:r w:rsidRPr="002B4516">
              <w:rPr>
                <w:sz w:val="20"/>
                <w:szCs w:val="20"/>
              </w:rPr>
              <w:t>[1]  As of the Effective Date, CAISO calculates the A/S Maximum Capacity provided by a Storage Unit based on a 10-minute period at the stated Ramp Rate.  If during the Delivery Period, CAISO uses a period limitation other than the 10-minute period limitation, the A/S Maximum Capacity for each A/S and region shall be calculated according to (a) CAISO's period limitation while preserving the Ramp Rate stated for each A/S or the (b) range between the minimum A/S capacity and the maximum A/S capacity for such region, whichever is smaller.</w:t>
            </w:r>
          </w:p>
        </w:tc>
      </w:tr>
      <w:tr w:rsidR="00367C93" w:rsidRPr="002B4516" w14:paraId="68F364BE" w14:textId="77777777" w:rsidTr="00267BB5">
        <w:tc>
          <w:tcPr>
            <w:tcW w:w="9355" w:type="dxa"/>
            <w:gridSpan w:val="8"/>
            <w:tcBorders>
              <w:top w:val="single" w:sz="4" w:space="0" w:color="auto"/>
              <w:left w:val="single" w:sz="4" w:space="0" w:color="auto"/>
              <w:bottom w:val="single" w:sz="4" w:space="0" w:color="auto"/>
              <w:right w:val="single" w:sz="4" w:space="0" w:color="auto"/>
            </w:tcBorders>
            <w:shd w:val="clear" w:color="auto" w:fill="92D050"/>
          </w:tcPr>
          <w:p w14:paraId="7ADC1A8C" w14:textId="77777777" w:rsidR="00367C93" w:rsidRPr="002B4516" w:rsidDel="00770902" w:rsidRDefault="00367C93" w:rsidP="00267BB5">
            <w:pPr>
              <w:autoSpaceDE w:val="0"/>
              <w:autoSpaceDN w:val="0"/>
              <w:adjustRightInd w:val="0"/>
              <w:spacing w:after="0" w:line="240" w:lineRule="atLeast"/>
              <w:rPr>
                <w:b/>
                <w:sz w:val="20"/>
                <w:szCs w:val="20"/>
              </w:rPr>
            </w:pPr>
          </w:p>
        </w:tc>
      </w:tr>
    </w:tbl>
    <w:p w14:paraId="5C6CBED7" w14:textId="77777777" w:rsidR="00367C93" w:rsidRPr="00CF77B9" w:rsidRDefault="00367C93" w:rsidP="00367C93">
      <w:pPr>
        <w:autoSpaceDE w:val="0"/>
        <w:autoSpaceDN w:val="0"/>
        <w:adjustRightInd w:val="0"/>
        <w:spacing w:before="240" w:line="240" w:lineRule="atLeast"/>
        <w:jc w:val="center"/>
        <w:rPr>
          <w:b/>
        </w:rPr>
      </w:pPr>
    </w:p>
    <w:p w14:paraId="52E21492" w14:textId="77777777" w:rsidR="00367C93" w:rsidRPr="00CF77B9" w:rsidRDefault="00367C93" w:rsidP="00367C93">
      <w:pPr>
        <w:spacing w:before="100" w:after="100"/>
        <w:jc w:val="center"/>
        <w:rPr>
          <w:u w:val="single"/>
        </w:rPr>
      </w:pPr>
      <w:r w:rsidRPr="00CF77B9">
        <w:rPr>
          <w:i/>
          <w:iCs/>
        </w:rPr>
        <w:t xml:space="preserve">*** End of </w:t>
      </w:r>
      <w:r>
        <w:rPr>
          <w:i/>
          <w:iCs/>
        </w:rPr>
        <w:t>EXHIBIT D</w:t>
      </w:r>
      <w:r w:rsidRPr="00CF77B9">
        <w:rPr>
          <w:i/>
          <w:iCs/>
        </w:rPr>
        <w:t xml:space="preserve"> ***</w:t>
      </w:r>
    </w:p>
    <w:p w14:paraId="463C1668" w14:textId="77777777" w:rsidR="00367C93" w:rsidRPr="00CF77B9" w:rsidRDefault="00367C93" w:rsidP="00367C93"/>
    <w:p w14:paraId="0A3466CE" w14:textId="77777777" w:rsidR="00367C93" w:rsidRPr="00CF77B9" w:rsidRDefault="00367C93" w:rsidP="00367C93">
      <w:pPr>
        <w:autoSpaceDE w:val="0"/>
        <w:autoSpaceDN w:val="0"/>
        <w:adjustRightInd w:val="0"/>
        <w:spacing w:before="240" w:line="240" w:lineRule="atLeast"/>
        <w:jc w:val="center"/>
        <w:rPr>
          <w:b/>
        </w:rPr>
      </w:pPr>
    </w:p>
    <w:p w14:paraId="1758AA34" w14:textId="77777777" w:rsidR="00367C93" w:rsidRPr="00CF77B9" w:rsidRDefault="00367C93" w:rsidP="00367C93">
      <w:pPr>
        <w:rPr>
          <w:b/>
        </w:rPr>
        <w:sectPr w:rsidR="00367C93" w:rsidRPr="00CF77B9">
          <w:footerReference w:type="default" r:id="rId30"/>
          <w:pgSz w:w="12240" w:h="15840"/>
          <w:pgMar w:top="1440" w:right="1440" w:bottom="1440" w:left="1440" w:header="720" w:footer="720" w:gutter="0"/>
          <w:pgNumType w:start="1"/>
          <w:cols w:space="720"/>
          <w:docGrid w:linePitch="360"/>
        </w:sectPr>
      </w:pPr>
    </w:p>
    <w:p w14:paraId="3DE11A01" w14:textId="77777777" w:rsidR="007D1833" w:rsidRPr="0027789B" w:rsidRDefault="007D1833" w:rsidP="007D1833">
      <w:pPr>
        <w:spacing w:after="0"/>
        <w:jc w:val="center"/>
        <w:rPr>
          <w:b/>
        </w:rPr>
      </w:pPr>
      <w:r>
        <w:rPr>
          <w:b/>
        </w:rPr>
        <w:lastRenderedPageBreak/>
        <w:t>EXHIBIT E</w:t>
      </w:r>
    </w:p>
    <w:p w14:paraId="7FAF5D38" w14:textId="77777777" w:rsidR="007D1833" w:rsidRPr="0027789B" w:rsidRDefault="007D1833" w:rsidP="007D1833">
      <w:pPr>
        <w:spacing w:after="0"/>
        <w:jc w:val="center"/>
      </w:pPr>
      <w:r w:rsidRPr="0027789B">
        <w:rPr>
          <w:b/>
        </w:rPr>
        <w:t>MONTHLY CAPACITY PRICE AND MONTHLY CAPACITY PAYMENT</w:t>
      </w:r>
    </w:p>
    <w:p w14:paraId="05982AC7" w14:textId="52643417" w:rsidR="007D1833" w:rsidRPr="00DB7FE0" w:rsidRDefault="007D1833" w:rsidP="007D1833">
      <w:pPr>
        <w:spacing w:after="0"/>
        <w:jc w:val="center"/>
        <w:rPr>
          <w:i/>
          <w:color w:val="0000FF"/>
        </w:rPr>
      </w:pPr>
      <w:r w:rsidRPr="00DB7FE0">
        <w:rPr>
          <w:i/>
          <w:color w:val="0000FF"/>
        </w:rPr>
        <w:t xml:space="preserve">[Note: Monthly Capacity Price will be shaped based on specific circuit need. See </w:t>
      </w:r>
      <w:r>
        <w:rPr>
          <w:i/>
          <w:color w:val="0000FF"/>
        </w:rPr>
        <w:t>RF</w:t>
      </w:r>
      <w:r w:rsidR="00CA37E4">
        <w:rPr>
          <w:i/>
          <w:color w:val="0000FF"/>
        </w:rPr>
        <w:t>O</w:t>
      </w:r>
      <w:r w:rsidRPr="00DB7FE0">
        <w:rPr>
          <w:i/>
          <w:color w:val="0000FF"/>
        </w:rPr>
        <w:t xml:space="preserve"> Instructions.]</w:t>
      </w:r>
    </w:p>
    <w:p w14:paraId="39ADCA78" w14:textId="77777777" w:rsidR="007D1833" w:rsidRPr="00DB7FE0" w:rsidRDefault="007D1833" w:rsidP="007D1833">
      <w:pPr>
        <w:spacing w:after="0"/>
        <w:jc w:val="center"/>
        <w:rPr>
          <w:i/>
          <w:color w:val="0000FF"/>
        </w:rPr>
      </w:pPr>
      <w:r w:rsidRPr="00DB7FE0">
        <w:rPr>
          <w:i/>
          <w:color w:val="0000FF"/>
        </w:rPr>
        <w:t>[Note:  Payment and prices are subject to change in accordance with Section 3.05(d)]</w:t>
      </w:r>
    </w:p>
    <w:tbl>
      <w:tblPr>
        <w:tblStyle w:val="TableGrid"/>
        <w:tblW w:w="9355" w:type="dxa"/>
        <w:tblLayout w:type="fixed"/>
        <w:tblLook w:val="04A0" w:firstRow="1" w:lastRow="0" w:firstColumn="1" w:lastColumn="0" w:noHBand="0" w:noVBand="1"/>
      </w:tblPr>
      <w:tblGrid>
        <w:gridCol w:w="3415"/>
        <w:gridCol w:w="360"/>
        <w:gridCol w:w="1891"/>
        <w:gridCol w:w="989"/>
        <w:gridCol w:w="1350"/>
        <w:gridCol w:w="1350"/>
      </w:tblGrid>
      <w:tr w:rsidR="007D1833" w:rsidRPr="002B4516" w14:paraId="14BE51C0" w14:textId="77777777" w:rsidTr="00267BB5">
        <w:tc>
          <w:tcPr>
            <w:tcW w:w="3775" w:type="dxa"/>
            <w:gridSpan w:val="2"/>
          </w:tcPr>
          <w:p w14:paraId="5B3D1D95" w14:textId="77777777" w:rsidR="007D1833" w:rsidRPr="002B4516" w:rsidRDefault="007D1833" w:rsidP="00267BB5">
            <w:pPr>
              <w:autoSpaceDE w:val="0"/>
              <w:autoSpaceDN w:val="0"/>
              <w:spacing w:after="0" w:line="240" w:lineRule="atLeast"/>
              <w:rPr>
                <w:b/>
                <w:sz w:val="20"/>
                <w:szCs w:val="20"/>
              </w:rPr>
            </w:pPr>
            <w:r w:rsidRPr="002B4516">
              <w:rPr>
                <w:b/>
                <w:sz w:val="20"/>
                <w:szCs w:val="20"/>
              </w:rPr>
              <w:t>File Update Date:</w:t>
            </w:r>
          </w:p>
        </w:tc>
        <w:tc>
          <w:tcPr>
            <w:tcW w:w="5580" w:type="dxa"/>
            <w:gridSpan w:val="4"/>
          </w:tcPr>
          <w:p w14:paraId="52A4BB9D" w14:textId="77777777" w:rsidR="007D1833" w:rsidRPr="002B4516" w:rsidRDefault="007D1833" w:rsidP="00267BB5">
            <w:pPr>
              <w:autoSpaceDE w:val="0"/>
              <w:autoSpaceDN w:val="0"/>
              <w:spacing w:after="0" w:line="240" w:lineRule="atLeast"/>
              <w:rPr>
                <w:b/>
                <w:color w:val="0000FF"/>
                <w:sz w:val="20"/>
                <w:szCs w:val="20"/>
              </w:rPr>
            </w:pPr>
            <w:r w:rsidRPr="00712B76">
              <w:rPr>
                <w:b/>
                <w:color w:val="0000FF"/>
                <w:sz w:val="20"/>
                <w:szCs w:val="20"/>
              </w:rPr>
              <w:t>[</w:t>
            </w:r>
            <w:r>
              <w:rPr>
                <w:b/>
                <w:color w:val="0000FF"/>
                <w:sz w:val="20"/>
                <w:szCs w:val="20"/>
              </w:rPr>
              <w:t>XX/XX/20XX</w:t>
            </w:r>
            <w:r w:rsidRPr="00712B76">
              <w:rPr>
                <w:b/>
                <w:color w:val="0000FF"/>
                <w:sz w:val="20"/>
                <w:szCs w:val="20"/>
              </w:rPr>
              <w:t>]</w:t>
            </w:r>
          </w:p>
        </w:tc>
      </w:tr>
      <w:tr w:rsidR="007D1833" w:rsidRPr="002B4516" w14:paraId="145FA00C" w14:textId="77777777" w:rsidTr="00267BB5">
        <w:tc>
          <w:tcPr>
            <w:tcW w:w="3775" w:type="dxa"/>
            <w:gridSpan w:val="2"/>
          </w:tcPr>
          <w:p w14:paraId="6452F2D0" w14:textId="77777777" w:rsidR="007D1833" w:rsidRPr="002B4516" w:rsidRDefault="007D1833" w:rsidP="00267BB5">
            <w:pPr>
              <w:autoSpaceDE w:val="0"/>
              <w:autoSpaceDN w:val="0"/>
              <w:spacing w:after="0" w:line="240" w:lineRule="atLeast"/>
              <w:rPr>
                <w:b/>
                <w:sz w:val="20"/>
                <w:szCs w:val="20"/>
              </w:rPr>
            </w:pPr>
            <w:r w:rsidRPr="002B4516">
              <w:rPr>
                <w:b/>
                <w:sz w:val="20"/>
                <w:szCs w:val="20"/>
              </w:rPr>
              <w:t>Storage Unit Name:</w:t>
            </w:r>
          </w:p>
        </w:tc>
        <w:tc>
          <w:tcPr>
            <w:tcW w:w="5580" w:type="dxa"/>
            <w:gridSpan w:val="4"/>
          </w:tcPr>
          <w:p w14:paraId="5D39FB04" w14:textId="77777777" w:rsidR="007D1833" w:rsidRPr="002B4516" w:rsidRDefault="007D1833" w:rsidP="00267BB5">
            <w:pPr>
              <w:autoSpaceDE w:val="0"/>
              <w:autoSpaceDN w:val="0"/>
              <w:spacing w:after="0" w:line="240" w:lineRule="atLeast"/>
              <w:rPr>
                <w:b/>
                <w:color w:val="0000FF"/>
                <w:sz w:val="20"/>
                <w:szCs w:val="20"/>
              </w:rPr>
            </w:pPr>
            <w:r w:rsidRPr="002B4516">
              <w:rPr>
                <w:b/>
                <w:color w:val="0000FF"/>
                <w:sz w:val="20"/>
                <w:szCs w:val="20"/>
              </w:rPr>
              <w:t>[Unit Name and Number]</w:t>
            </w:r>
          </w:p>
        </w:tc>
      </w:tr>
      <w:tr w:rsidR="007D1833" w:rsidRPr="002B4516" w14:paraId="57B598FB" w14:textId="77777777" w:rsidTr="00267BB5">
        <w:tc>
          <w:tcPr>
            <w:tcW w:w="3775" w:type="dxa"/>
            <w:gridSpan w:val="2"/>
          </w:tcPr>
          <w:p w14:paraId="338BACCC" w14:textId="77777777" w:rsidR="007D1833" w:rsidRPr="002B4516" w:rsidRDefault="007D1833" w:rsidP="00267BB5">
            <w:pPr>
              <w:autoSpaceDE w:val="0"/>
              <w:autoSpaceDN w:val="0"/>
              <w:spacing w:after="0" w:line="240" w:lineRule="atLeast"/>
              <w:rPr>
                <w:b/>
                <w:sz w:val="20"/>
                <w:szCs w:val="20"/>
              </w:rPr>
            </w:pPr>
            <w:r>
              <w:rPr>
                <w:b/>
                <w:sz w:val="20"/>
                <w:szCs w:val="20"/>
              </w:rPr>
              <w:t>CAISO Resource ID:</w:t>
            </w:r>
          </w:p>
        </w:tc>
        <w:tc>
          <w:tcPr>
            <w:tcW w:w="5580" w:type="dxa"/>
            <w:gridSpan w:val="4"/>
          </w:tcPr>
          <w:p w14:paraId="1070F00B" w14:textId="77777777" w:rsidR="007D1833" w:rsidRPr="002B4516" w:rsidRDefault="007D1833" w:rsidP="00267BB5">
            <w:pPr>
              <w:autoSpaceDE w:val="0"/>
              <w:autoSpaceDN w:val="0"/>
              <w:spacing w:after="0" w:line="240" w:lineRule="atLeast"/>
              <w:rPr>
                <w:b/>
                <w:sz w:val="20"/>
                <w:szCs w:val="20"/>
              </w:rPr>
            </w:pPr>
            <w:r>
              <w:rPr>
                <w:b/>
                <w:color w:val="0000FF"/>
                <w:sz w:val="20"/>
                <w:szCs w:val="20"/>
              </w:rPr>
              <w:t>TBD</w:t>
            </w:r>
          </w:p>
        </w:tc>
      </w:tr>
      <w:tr w:rsidR="007D1833" w:rsidRPr="002B4516" w14:paraId="5312713F" w14:textId="77777777" w:rsidTr="00267BB5">
        <w:tc>
          <w:tcPr>
            <w:tcW w:w="9355" w:type="dxa"/>
            <w:gridSpan w:val="6"/>
            <w:shd w:val="clear" w:color="auto" w:fill="92D050"/>
          </w:tcPr>
          <w:p w14:paraId="6CBABDDB" w14:textId="77777777" w:rsidR="007D1833" w:rsidRPr="002B4516" w:rsidRDefault="007D1833" w:rsidP="00267BB5">
            <w:pPr>
              <w:pStyle w:val="ListParagraph"/>
              <w:numPr>
                <w:ilvl w:val="0"/>
                <w:numId w:val="115"/>
              </w:numPr>
              <w:autoSpaceDE w:val="0"/>
              <w:autoSpaceDN w:val="0"/>
              <w:spacing w:line="240" w:lineRule="atLeast"/>
              <w:jc w:val="left"/>
              <w:rPr>
                <w:rFonts w:ascii="Times New Roman" w:hAnsi="Times New Roman" w:cs="Times New Roman"/>
                <w:b/>
              </w:rPr>
            </w:pPr>
            <w:r w:rsidRPr="002B4516">
              <w:rPr>
                <w:rFonts w:ascii="Times New Roman" w:hAnsi="Times New Roman" w:cs="Times New Roman"/>
                <w:b/>
              </w:rPr>
              <w:t>Contract Capacity</w:t>
            </w:r>
          </w:p>
        </w:tc>
      </w:tr>
      <w:tr w:rsidR="007D1833" w:rsidRPr="002B4516" w14:paraId="19E4250A" w14:textId="77777777" w:rsidTr="00267BB5">
        <w:trPr>
          <w:gridAfter w:val="1"/>
          <w:wAfter w:w="1350" w:type="dxa"/>
        </w:trPr>
        <w:tc>
          <w:tcPr>
            <w:tcW w:w="3775" w:type="dxa"/>
            <w:gridSpan w:val="2"/>
          </w:tcPr>
          <w:p w14:paraId="058F4CF1" w14:textId="77777777" w:rsidR="007D1833" w:rsidRPr="002B4516" w:rsidRDefault="007D1833" w:rsidP="00267BB5">
            <w:pPr>
              <w:autoSpaceDE w:val="0"/>
              <w:autoSpaceDN w:val="0"/>
              <w:adjustRightInd w:val="0"/>
              <w:spacing w:after="0" w:line="240" w:lineRule="atLeast"/>
              <w:rPr>
                <w:b/>
                <w:sz w:val="20"/>
                <w:szCs w:val="20"/>
              </w:rPr>
            </w:pPr>
            <w:r>
              <w:rPr>
                <w:b/>
                <w:sz w:val="20"/>
                <w:szCs w:val="20"/>
              </w:rPr>
              <w:t>Contract Capacity (MW)</w:t>
            </w:r>
          </w:p>
        </w:tc>
        <w:tc>
          <w:tcPr>
            <w:tcW w:w="1891" w:type="dxa"/>
          </w:tcPr>
          <w:p w14:paraId="65875EDD" w14:textId="77777777" w:rsidR="007D1833" w:rsidRPr="00982358" w:rsidRDefault="007D1833" w:rsidP="00267BB5">
            <w:pPr>
              <w:autoSpaceDE w:val="0"/>
              <w:autoSpaceDN w:val="0"/>
              <w:adjustRightInd w:val="0"/>
              <w:spacing w:after="0" w:line="240" w:lineRule="atLeast"/>
              <w:rPr>
                <w:b/>
                <w:sz w:val="20"/>
                <w:szCs w:val="20"/>
              </w:rPr>
            </w:pPr>
            <w:r w:rsidRPr="00982358">
              <w:rPr>
                <w:b/>
                <w:color w:val="0000FF"/>
                <w:sz w:val="20"/>
                <w:szCs w:val="20"/>
              </w:rPr>
              <w:t>[X]</w:t>
            </w:r>
          </w:p>
        </w:tc>
        <w:tc>
          <w:tcPr>
            <w:tcW w:w="2339" w:type="dxa"/>
            <w:gridSpan w:val="2"/>
            <w:tcBorders>
              <w:right w:val="nil"/>
            </w:tcBorders>
          </w:tcPr>
          <w:p w14:paraId="154F2FA9" w14:textId="77777777" w:rsidR="007D1833" w:rsidRPr="00982358" w:rsidRDefault="007D1833" w:rsidP="00267BB5">
            <w:pPr>
              <w:autoSpaceDE w:val="0"/>
              <w:autoSpaceDN w:val="0"/>
              <w:adjustRightInd w:val="0"/>
              <w:spacing w:after="0" w:line="240" w:lineRule="atLeast"/>
              <w:rPr>
                <w:b/>
                <w:sz w:val="20"/>
                <w:szCs w:val="20"/>
              </w:rPr>
            </w:pPr>
          </w:p>
        </w:tc>
      </w:tr>
      <w:tr w:rsidR="007D1833" w:rsidRPr="002B4516" w14:paraId="686321AC" w14:textId="77777777" w:rsidTr="00267BB5">
        <w:tc>
          <w:tcPr>
            <w:tcW w:w="9355" w:type="dxa"/>
            <w:gridSpan w:val="6"/>
            <w:shd w:val="clear" w:color="auto" w:fill="92D050"/>
          </w:tcPr>
          <w:p w14:paraId="606D9E6A" w14:textId="77777777" w:rsidR="007D1833" w:rsidRPr="002B4516" w:rsidRDefault="007D1833" w:rsidP="00267BB5">
            <w:pPr>
              <w:pStyle w:val="ListParagraph"/>
              <w:numPr>
                <w:ilvl w:val="0"/>
                <w:numId w:val="115"/>
              </w:numPr>
              <w:autoSpaceDE w:val="0"/>
              <w:autoSpaceDN w:val="0"/>
              <w:spacing w:line="240" w:lineRule="atLeast"/>
              <w:jc w:val="left"/>
              <w:rPr>
                <w:rFonts w:ascii="Times New Roman" w:hAnsi="Times New Roman" w:cs="Times New Roman"/>
                <w:b/>
              </w:rPr>
            </w:pPr>
            <w:r>
              <w:rPr>
                <w:rFonts w:ascii="Times New Roman" w:hAnsi="Times New Roman" w:cs="Times New Roman"/>
                <w:b/>
              </w:rPr>
              <w:t>RA Period</w:t>
            </w:r>
          </w:p>
        </w:tc>
      </w:tr>
      <w:tr w:rsidR="007D1833" w:rsidRPr="002B4516" w14:paraId="3444A31D" w14:textId="77777777" w:rsidTr="00267BB5">
        <w:tc>
          <w:tcPr>
            <w:tcW w:w="3415" w:type="dxa"/>
          </w:tcPr>
          <w:p w14:paraId="3E0FA32B" w14:textId="77777777" w:rsidR="007D1833" w:rsidRPr="002B4516" w:rsidRDefault="007D1833" w:rsidP="00267BB5">
            <w:pPr>
              <w:autoSpaceDE w:val="0"/>
              <w:autoSpaceDN w:val="0"/>
              <w:adjustRightInd w:val="0"/>
              <w:spacing w:after="0" w:line="240" w:lineRule="atLeast"/>
              <w:jc w:val="center"/>
              <w:rPr>
                <w:b/>
                <w:sz w:val="20"/>
                <w:szCs w:val="20"/>
              </w:rPr>
            </w:pPr>
            <w:r w:rsidRPr="00A230C9">
              <w:rPr>
                <w:b/>
                <w:sz w:val="20"/>
                <w:szCs w:val="20"/>
              </w:rPr>
              <w:t>Expected Initial Delivery Date and Contract Year Start Date [1]</w:t>
            </w:r>
          </w:p>
        </w:tc>
        <w:tc>
          <w:tcPr>
            <w:tcW w:w="3240" w:type="dxa"/>
            <w:gridSpan w:val="3"/>
          </w:tcPr>
          <w:p w14:paraId="78F380BC" w14:textId="77777777" w:rsidR="007D1833" w:rsidRPr="00A230C9" w:rsidRDefault="007D1833" w:rsidP="00267BB5">
            <w:pPr>
              <w:autoSpaceDE w:val="0"/>
              <w:autoSpaceDN w:val="0"/>
              <w:adjustRightInd w:val="0"/>
              <w:spacing w:after="0" w:line="240" w:lineRule="atLeast"/>
              <w:jc w:val="center"/>
              <w:rPr>
                <w:b/>
                <w:sz w:val="20"/>
                <w:szCs w:val="20"/>
              </w:rPr>
            </w:pPr>
            <w:r w:rsidRPr="00A230C9">
              <w:rPr>
                <w:b/>
                <w:sz w:val="20"/>
                <w:szCs w:val="20"/>
              </w:rPr>
              <w:t>Contract Year</w:t>
            </w:r>
          </w:p>
          <w:p w14:paraId="309E9D84" w14:textId="77777777" w:rsidR="007D1833" w:rsidRPr="002B4516" w:rsidRDefault="007D1833" w:rsidP="00267BB5">
            <w:pPr>
              <w:autoSpaceDE w:val="0"/>
              <w:autoSpaceDN w:val="0"/>
              <w:adjustRightInd w:val="0"/>
              <w:spacing w:after="0" w:line="240" w:lineRule="atLeast"/>
              <w:jc w:val="center"/>
              <w:rPr>
                <w:b/>
                <w:sz w:val="20"/>
                <w:szCs w:val="20"/>
              </w:rPr>
            </w:pPr>
            <w:r w:rsidRPr="00A230C9">
              <w:rPr>
                <w:b/>
                <w:sz w:val="20"/>
                <w:szCs w:val="20"/>
              </w:rPr>
              <w:t>End Date</w:t>
            </w:r>
          </w:p>
        </w:tc>
        <w:tc>
          <w:tcPr>
            <w:tcW w:w="2700" w:type="dxa"/>
            <w:gridSpan w:val="2"/>
          </w:tcPr>
          <w:p w14:paraId="500D961C" w14:textId="77777777" w:rsidR="007D1833" w:rsidRPr="002B4516" w:rsidRDefault="007D1833" w:rsidP="00267BB5">
            <w:pPr>
              <w:autoSpaceDE w:val="0"/>
              <w:autoSpaceDN w:val="0"/>
              <w:adjustRightInd w:val="0"/>
              <w:spacing w:after="0" w:line="240" w:lineRule="atLeast"/>
              <w:jc w:val="center"/>
              <w:rPr>
                <w:b/>
                <w:sz w:val="20"/>
                <w:szCs w:val="20"/>
              </w:rPr>
            </w:pPr>
            <w:r w:rsidRPr="00A230C9">
              <w:rPr>
                <w:b/>
                <w:sz w:val="20"/>
                <w:szCs w:val="20"/>
              </w:rPr>
              <w:t>Monthly RA Capacity Price</w:t>
            </w:r>
            <w:r>
              <w:rPr>
                <w:b/>
                <w:sz w:val="20"/>
                <w:szCs w:val="20"/>
              </w:rPr>
              <w:t xml:space="preserve"> ($/kW-month)</w:t>
            </w:r>
            <w:r w:rsidRPr="00A230C9">
              <w:rPr>
                <w:b/>
                <w:sz w:val="20"/>
                <w:szCs w:val="20"/>
              </w:rPr>
              <w:t xml:space="preserve"> [2]</w:t>
            </w:r>
          </w:p>
        </w:tc>
      </w:tr>
      <w:tr w:rsidR="007D1833" w:rsidRPr="002B4516" w14:paraId="162A04C3" w14:textId="77777777" w:rsidTr="00267BB5">
        <w:trPr>
          <w:trHeight w:val="80"/>
        </w:trPr>
        <w:tc>
          <w:tcPr>
            <w:tcW w:w="3415" w:type="dxa"/>
          </w:tcPr>
          <w:p w14:paraId="48325B70" w14:textId="77777777" w:rsidR="007D1833" w:rsidRPr="002B4516" w:rsidRDefault="007D1833" w:rsidP="00267BB5">
            <w:pPr>
              <w:autoSpaceDE w:val="0"/>
              <w:autoSpaceDN w:val="0"/>
              <w:adjustRightInd w:val="0"/>
              <w:spacing w:after="0" w:line="240" w:lineRule="atLeast"/>
              <w:jc w:val="center"/>
              <w:rPr>
                <w:b/>
                <w:sz w:val="20"/>
                <w:szCs w:val="20"/>
              </w:rPr>
            </w:pPr>
            <w:r w:rsidRPr="002B4516">
              <w:rPr>
                <w:color w:val="0000FF"/>
                <w:sz w:val="20"/>
                <w:szCs w:val="20"/>
              </w:rPr>
              <w:t>[01/01/2000]</w:t>
            </w:r>
          </w:p>
        </w:tc>
        <w:tc>
          <w:tcPr>
            <w:tcW w:w="3240" w:type="dxa"/>
            <w:gridSpan w:val="3"/>
          </w:tcPr>
          <w:p w14:paraId="4EEAB19A"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[12/31/2000]</w:t>
            </w:r>
          </w:p>
        </w:tc>
        <w:tc>
          <w:tcPr>
            <w:tcW w:w="2700" w:type="dxa"/>
            <w:gridSpan w:val="2"/>
          </w:tcPr>
          <w:p w14:paraId="1CAC3997"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7D1833" w:rsidRPr="002B4516" w14:paraId="5B33CE95" w14:textId="77777777" w:rsidTr="00267BB5">
        <w:tc>
          <w:tcPr>
            <w:tcW w:w="3415" w:type="dxa"/>
          </w:tcPr>
          <w:p w14:paraId="65057B70" w14:textId="77777777" w:rsidR="007D1833" w:rsidRPr="002B4516" w:rsidRDefault="007D1833" w:rsidP="00267BB5">
            <w:pPr>
              <w:autoSpaceDE w:val="0"/>
              <w:autoSpaceDN w:val="0"/>
              <w:adjustRightInd w:val="0"/>
              <w:spacing w:after="0" w:line="240" w:lineRule="atLeast"/>
              <w:jc w:val="center"/>
              <w:rPr>
                <w:b/>
                <w:sz w:val="20"/>
                <w:szCs w:val="20"/>
              </w:rPr>
            </w:pPr>
            <w:r w:rsidRPr="002B4516">
              <w:rPr>
                <w:color w:val="0000FF"/>
                <w:sz w:val="20"/>
                <w:szCs w:val="20"/>
              </w:rPr>
              <w:t>[01/01/200</w:t>
            </w:r>
            <w:r>
              <w:rPr>
                <w:color w:val="0000FF"/>
                <w:sz w:val="20"/>
                <w:szCs w:val="20"/>
              </w:rPr>
              <w:t>1</w:t>
            </w:r>
            <w:r w:rsidRPr="002B4516">
              <w:rPr>
                <w:color w:val="0000FF"/>
                <w:sz w:val="20"/>
                <w:szCs w:val="20"/>
              </w:rPr>
              <w:t>]</w:t>
            </w:r>
          </w:p>
        </w:tc>
        <w:tc>
          <w:tcPr>
            <w:tcW w:w="3240" w:type="dxa"/>
            <w:gridSpan w:val="3"/>
          </w:tcPr>
          <w:p w14:paraId="1E5D6649"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[12/31/200</w:t>
            </w:r>
            <w:r>
              <w:rPr>
                <w:color w:val="0000FF"/>
                <w:sz w:val="20"/>
                <w:szCs w:val="20"/>
              </w:rPr>
              <w:t>1</w:t>
            </w:r>
            <w:r w:rsidRPr="002B4516">
              <w:rPr>
                <w:color w:val="0000FF"/>
                <w:sz w:val="20"/>
                <w:szCs w:val="20"/>
              </w:rPr>
              <w:t>]</w:t>
            </w:r>
          </w:p>
        </w:tc>
        <w:tc>
          <w:tcPr>
            <w:tcW w:w="2700" w:type="dxa"/>
            <w:gridSpan w:val="2"/>
          </w:tcPr>
          <w:p w14:paraId="0029B5E5"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7D1833" w:rsidRPr="002B4516" w14:paraId="46940439" w14:textId="77777777" w:rsidTr="00267BB5">
        <w:tc>
          <w:tcPr>
            <w:tcW w:w="3415" w:type="dxa"/>
          </w:tcPr>
          <w:p w14:paraId="6D891367" w14:textId="77777777" w:rsidR="007D1833" w:rsidRDefault="007D1833" w:rsidP="00267BB5">
            <w:pPr>
              <w:autoSpaceDE w:val="0"/>
              <w:autoSpaceDN w:val="0"/>
              <w:adjustRightInd w:val="0"/>
              <w:spacing w:after="0" w:line="240" w:lineRule="atLeast"/>
              <w:jc w:val="center"/>
              <w:rPr>
                <w:b/>
                <w:sz w:val="20"/>
                <w:szCs w:val="20"/>
              </w:rPr>
            </w:pPr>
            <w:r w:rsidRPr="002B4516">
              <w:rPr>
                <w:color w:val="0000FF"/>
                <w:sz w:val="20"/>
                <w:szCs w:val="20"/>
              </w:rPr>
              <w:t>[01/01/200</w:t>
            </w:r>
            <w:r>
              <w:rPr>
                <w:color w:val="0000FF"/>
                <w:sz w:val="20"/>
                <w:szCs w:val="20"/>
              </w:rPr>
              <w:t>2</w:t>
            </w:r>
            <w:r w:rsidRPr="002B4516">
              <w:rPr>
                <w:color w:val="0000FF"/>
                <w:sz w:val="20"/>
                <w:szCs w:val="20"/>
              </w:rPr>
              <w:t>]</w:t>
            </w:r>
          </w:p>
        </w:tc>
        <w:tc>
          <w:tcPr>
            <w:tcW w:w="3240" w:type="dxa"/>
            <w:gridSpan w:val="3"/>
          </w:tcPr>
          <w:p w14:paraId="3EBA4683"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[12/31/200</w:t>
            </w:r>
            <w:r>
              <w:rPr>
                <w:color w:val="0000FF"/>
                <w:sz w:val="20"/>
                <w:szCs w:val="20"/>
              </w:rPr>
              <w:t>2</w:t>
            </w:r>
            <w:r w:rsidRPr="002B4516">
              <w:rPr>
                <w:color w:val="0000FF"/>
                <w:sz w:val="20"/>
                <w:szCs w:val="20"/>
              </w:rPr>
              <w:t>]</w:t>
            </w:r>
          </w:p>
        </w:tc>
        <w:tc>
          <w:tcPr>
            <w:tcW w:w="2700" w:type="dxa"/>
            <w:gridSpan w:val="2"/>
          </w:tcPr>
          <w:p w14:paraId="0B2FDF3E" w14:textId="77777777" w:rsidR="007D1833" w:rsidDel="00A230C9" w:rsidRDefault="007D183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7D1833" w:rsidRPr="002B4516" w14:paraId="08944C91" w14:textId="77777777" w:rsidTr="00267BB5">
        <w:tc>
          <w:tcPr>
            <w:tcW w:w="3415" w:type="dxa"/>
          </w:tcPr>
          <w:p w14:paraId="3772C91D" w14:textId="77777777" w:rsidR="007D1833" w:rsidRDefault="007D1833" w:rsidP="00267BB5">
            <w:pPr>
              <w:autoSpaceDE w:val="0"/>
              <w:autoSpaceDN w:val="0"/>
              <w:adjustRightInd w:val="0"/>
              <w:spacing w:after="0" w:line="240" w:lineRule="atLeast"/>
              <w:jc w:val="center"/>
              <w:rPr>
                <w:b/>
                <w:sz w:val="20"/>
                <w:szCs w:val="20"/>
              </w:rPr>
            </w:pPr>
            <w:r w:rsidRPr="00712B76">
              <w:rPr>
                <w:color w:val="0000FF"/>
                <w:sz w:val="20"/>
                <w:szCs w:val="20"/>
              </w:rPr>
              <w:t>[01/01/20</w:t>
            </w:r>
            <w:r>
              <w:rPr>
                <w:color w:val="0000FF"/>
                <w:sz w:val="20"/>
                <w:szCs w:val="20"/>
              </w:rPr>
              <w:t>03</w:t>
            </w:r>
            <w:r w:rsidRPr="00712B76">
              <w:rPr>
                <w:color w:val="0000FF"/>
                <w:sz w:val="20"/>
                <w:szCs w:val="20"/>
              </w:rPr>
              <w:t>]</w:t>
            </w:r>
          </w:p>
        </w:tc>
        <w:tc>
          <w:tcPr>
            <w:tcW w:w="3240" w:type="dxa"/>
            <w:gridSpan w:val="3"/>
          </w:tcPr>
          <w:p w14:paraId="499A1F2C" w14:textId="77777777" w:rsidR="007D1833" w:rsidRPr="002B4516" w:rsidRDefault="007D1833" w:rsidP="00267BB5">
            <w:pPr>
              <w:autoSpaceDE w:val="0"/>
              <w:autoSpaceDN w:val="0"/>
              <w:adjustRightInd w:val="0"/>
              <w:spacing w:after="0" w:line="240" w:lineRule="atLeast"/>
              <w:jc w:val="center"/>
              <w:rPr>
                <w:sz w:val="20"/>
                <w:szCs w:val="20"/>
              </w:rPr>
            </w:pPr>
            <w:r w:rsidRPr="00712B76">
              <w:rPr>
                <w:color w:val="0000FF"/>
                <w:sz w:val="20"/>
                <w:szCs w:val="20"/>
              </w:rPr>
              <w:t>[12</w:t>
            </w:r>
            <w:r>
              <w:rPr>
                <w:color w:val="0000FF"/>
                <w:sz w:val="20"/>
                <w:szCs w:val="20"/>
              </w:rPr>
              <w:t>/31/2003</w:t>
            </w:r>
            <w:r w:rsidRPr="00712B76">
              <w:rPr>
                <w:color w:val="0000FF"/>
                <w:sz w:val="20"/>
                <w:szCs w:val="20"/>
              </w:rPr>
              <w:t>]</w:t>
            </w:r>
          </w:p>
        </w:tc>
        <w:tc>
          <w:tcPr>
            <w:tcW w:w="2700" w:type="dxa"/>
            <w:gridSpan w:val="2"/>
          </w:tcPr>
          <w:p w14:paraId="38AAB952" w14:textId="77777777" w:rsidR="007D1833" w:rsidDel="00A230C9" w:rsidRDefault="007D1833" w:rsidP="00267BB5">
            <w:pPr>
              <w:autoSpaceDE w:val="0"/>
              <w:autoSpaceDN w:val="0"/>
              <w:adjustRightInd w:val="0"/>
              <w:spacing w:after="0" w:line="240" w:lineRule="atLeast"/>
              <w:jc w:val="center"/>
              <w:rPr>
                <w:sz w:val="20"/>
                <w:szCs w:val="20"/>
              </w:rPr>
            </w:pPr>
            <w:r w:rsidRPr="00712B76">
              <w:rPr>
                <w:color w:val="0000FF"/>
                <w:sz w:val="20"/>
                <w:szCs w:val="20"/>
              </w:rPr>
              <w:t>[X]</w:t>
            </w:r>
          </w:p>
        </w:tc>
      </w:tr>
      <w:tr w:rsidR="007D1833" w:rsidRPr="002B4516" w14:paraId="2291FEBC" w14:textId="77777777" w:rsidTr="00267BB5">
        <w:tc>
          <w:tcPr>
            <w:tcW w:w="3415" w:type="dxa"/>
          </w:tcPr>
          <w:p w14:paraId="3C4A1EFB" w14:textId="77777777" w:rsidR="007D1833" w:rsidRDefault="007D1833" w:rsidP="00267BB5">
            <w:pPr>
              <w:autoSpaceDE w:val="0"/>
              <w:autoSpaceDN w:val="0"/>
              <w:adjustRightInd w:val="0"/>
              <w:spacing w:after="0" w:line="240" w:lineRule="atLeast"/>
              <w:jc w:val="center"/>
              <w:rPr>
                <w:b/>
                <w:sz w:val="20"/>
                <w:szCs w:val="20"/>
              </w:rPr>
            </w:pPr>
            <w:r w:rsidRPr="00712B76">
              <w:rPr>
                <w:color w:val="0000FF"/>
                <w:sz w:val="20"/>
                <w:szCs w:val="20"/>
              </w:rPr>
              <w:t>[01/01/20</w:t>
            </w:r>
            <w:r>
              <w:rPr>
                <w:color w:val="0000FF"/>
                <w:sz w:val="20"/>
                <w:szCs w:val="20"/>
              </w:rPr>
              <w:t>04</w:t>
            </w:r>
            <w:r w:rsidRPr="00712B76">
              <w:rPr>
                <w:color w:val="0000FF"/>
                <w:sz w:val="20"/>
                <w:szCs w:val="20"/>
              </w:rPr>
              <w:t>]</w:t>
            </w:r>
          </w:p>
        </w:tc>
        <w:tc>
          <w:tcPr>
            <w:tcW w:w="3240" w:type="dxa"/>
            <w:gridSpan w:val="3"/>
          </w:tcPr>
          <w:p w14:paraId="029367E4" w14:textId="77777777" w:rsidR="007D1833" w:rsidRPr="002B4516" w:rsidRDefault="007D1833" w:rsidP="00267BB5">
            <w:pPr>
              <w:autoSpaceDE w:val="0"/>
              <w:autoSpaceDN w:val="0"/>
              <w:adjustRightInd w:val="0"/>
              <w:spacing w:after="0" w:line="240" w:lineRule="atLeast"/>
              <w:jc w:val="center"/>
              <w:rPr>
                <w:sz w:val="20"/>
                <w:szCs w:val="20"/>
              </w:rPr>
            </w:pPr>
            <w:r w:rsidRPr="00712B76">
              <w:rPr>
                <w:color w:val="0000FF"/>
                <w:sz w:val="20"/>
                <w:szCs w:val="20"/>
              </w:rPr>
              <w:t>[12</w:t>
            </w:r>
            <w:r>
              <w:rPr>
                <w:color w:val="0000FF"/>
                <w:sz w:val="20"/>
                <w:szCs w:val="20"/>
              </w:rPr>
              <w:t>/31/2004</w:t>
            </w:r>
            <w:r w:rsidRPr="00712B76">
              <w:rPr>
                <w:color w:val="0000FF"/>
                <w:sz w:val="20"/>
                <w:szCs w:val="20"/>
              </w:rPr>
              <w:t>]</w:t>
            </w:r>
          </w:p>
        </w:tc>
        <w:tc>
          <w:tcPr>
            <w:tcW w:w="2700" w:type="dxa"/>
            <w:gridSpan w:val="2"/>
          </w:tcPr>
          <w:p w14:paraId="6C054E19" w14:textId="77777777" w:rsidR="007D1833" w:rsidRDefault="007D1833" w:rsidP="00267BB5">
            <w:pPr>
              <w:autoSpaceDE w:val="0"/>
              <w:autoSpaceDN w:val="0"/>
              <w:adjustRightInd w:val="0"/>
              <w:spacing w:after="0" w:line="240" w:lineRule="atLeast"/>
              <w:jc w:val="center"/>
              <w:rPr>
                <w:sz w:val="20"/>
                <w:szCs w:val="20"/>
              </w:rPr>
            </w:pPr>
            <w:r w:rsidRPr="00712B76">
              <w:rPr>
                <w:color w:val="0000FF"/>
                <w:sz w:val="20"/>
                <w:szCs w:val="20"/>
              </w:rPr>
              <w:t>[X]</w:t>
            </w:r>
          </w:p>
        </w:tc>
      </w:tr>
      <w:tr w:rsidR="007D1833" w:rsidRPr="002B4516" w14:paraId="66D0C751" w14:textId="77777777" w:rsidTr="00267BB5">
        <w:tc>
          <w:tcPr>
            <w:tcW w:w="9355" w:type="dxa"/>
            <w:gridSpan w:val="6"/>
            <w:tcBorders>
              <w:left w:val="nil"/>
              <w:right w:val="nil"/>
            </w:tcBorders>
          </w:tcPr>
          <w:p w14:paraId="55E64132" w14:textId="77777777" w:rsidR="007D1833" w:rsidRPr="00982358" w:rsidRDefault="007D1833" w:rsidP="00267BB5">
            <w:pPr>
              <w:autoSpaceDE w:val="0"/>
              <w:autoSpaceDN w:val="0"/>
              <w:adjustRightInd w:val="0"/>
              <w:spacing w:after="0" w:line="240" w:lineRule="atLeast"/>
              <w:rPr>
                <w:sz w:val="20"/>
                <w:szCs w:val="20"/>
              </w:rPr>
            </w:pPr>
            <w:r w:rsidRPr="00982358">
              <w:rPr>
                <w:sz w:val="20"/>
                <w:szCs w:val="20"/>
              </w:rPr>
              <w:t xml:space="preserve">[1] The earliest date in this table </w:t>
            </w:r>
            <w:r>
              <w:rPr>
                <w:sz w:val="20"/>
                <w:szCs w:val="20"/>
              </w:rPr>
              <w:t>B</w:t>
            </w:r>
            <w:r w:rsidRPr="00982358">
              <w:rPr>
                <w:sz w:val="20"/>
                <w:szCs w:val="20"/>
              </w:rPr>
              <w:t xml:space="preserve"> is the Expected Initial Delivery Date as of the Effective Date.  If the Expected Initial Delivery Date is adjusted pursuant to Section 2.06, then the dates in this table </w:t>
            </w:r>
            <w:r>
              <w:rPr>
                <w:sz w:val="20"/>
                <w:szCs w:val="20"/>
              </w:rPr>
              <w:t>B</w:t>
            </w:r>
            <w:r w:rsidRPr="00982358">
              <w:rPr>
                <w:sz w:val="20"/>
                <w:szCs w:val="20"/>
              </w:rPr>
              <w:t xml:space="preserve"> shall be automatically amended to reflect the adjusted Expected Initial Delivery Date with an expected Delivery Period of twenty (20) years.  For the avoidance of doubt, the dates in this table shall not be modified or adjusted to reflect the Initial Delivery Date.  </w:t>
            </w:r>
          </w:p>
          <w:p w14:paraId="7D5FFF44" w14:textId="77777777" w:rsidR="007D1833" w:rsidRPr="00982358" w:rsidRDefault="007D1833" w:rsidP="00267BB5">
            <w:pPr>
              <w:autoSpaceDE w:val="0"/>
              <w:autoSpaceDN w:val="0"/>
              <w:adjustRightInd w:val="0"/>
              <w:spacing w:after="0" w:line="240" w:lineRule="atLeast"/>
              <w:rPr>
                <w:sz w:val="20"/>
                <w:szCs w:val="20"/>
              </w:rPr>
            </w:pPr>
            <w:r w:rsidRPr="00982358">
              <w:rPr>
                <w:sz w:val="20"/>
                <w:szCs w:val="20"/>
              </w:rPr>
              <w:t>[2] Monthly RA Capacity Price expressed in whole dollars and cents</w:t>
            </w:r>
          </w:p>
        </w:tc>
      </w:tr>
      <w:tr w:rsidR="007D1833" w:rsidRPr="002B4516" w14:paraId="00229846" w14:textId="77777777" w:rsidTr="00267BB5">
        <w:tc>
          <w:tcPr>
            <w:tcW w:w="9355" w:type="dxa"/>
            <w:gridSpan w:val="6"/>
            <w:shd w:val="clear" w:color="auto" w:fill="92D050"/>
          </w:tcPr>
          <w:p w14:paraId="727B52C1" w14:textId="77777777" w:rsidR="007D1833" w:rsidRPr="002B4516" w:rsidRDefault="007D1833" w:rsidP="00267BB5">
            <w:pPr>
              <w:pStyle w:val="ListParagraph"/>
              <w:numPr>
                <w:ilvl w:val="0"/>
                <w:numId w:val="115"/>
              </w:numPr>
              <w:autoSpaceDE w:val="0"/>
              <w:autoSpaceDN w:val="0"/>
              <w:spacing w:line="240" w:lineRule="atLeast"/>
              <w:jc w:val="left"/>
              <w:rPr>
                <w:rFonts w:ascii="Times New Roman" w:hAnsi="Times New Roman" w:cs="Times New Roman"/>
                <w:b/>
              </w:rPr>
            </w:pPr>
            <w:r>
              <w:rPr>
                <w:rFonts w:ascii="Times New Roman" w:hAnsi="Times New Roman" w:cs="Times New Roman"/>
                <w:b/>
              </w:rPr>
              <w:t>Put Period</w:t>
            </w:r>
          </w:p>
        </w:tc>
      </w:tr>
      <w:tr w:rsidR="007D1833" w:rsidRPr="002B4516" w14:paraId="51556620" w14:textId="77777777" w:rsidTr="00267BB5">
        <w:tc>
          <w:tcPr>
            <w:tcW w:w="3415" w:type="dxa"/>
          </w:tcPr>
          <w:p w14:paraId="4A38671B" w14:textId="77777777" w:rsidR="007D1833" w:rsidRPr="002B4516" w:rsidRDefault="007D1833" w:rsidP="00267BB5">
            <w:pPr>
              <w:autoSpaceDE w:val="0"/>
              <w:autoSpaceDN w:val="0"/>
              <w:adjustRightInd w:val="0"/>
              <w:spacing w:after="0" w:line="240" w:lineRule="atLeast"/>
              <w:jc w:val="center"/>
              <w:rPr>
                <w:b/>
                <w:sz w:val="20"/>
                <w:szCs w:val="20"/>
              </w:rPr>
            </w:pPr>
            <w:r w:rsidRPr="00A230C9">
              <w:rPr>
                <w:b/>
                <w:sz w:val="20"/>
                <w:szCs w:val="20"/>
              </w:rPr>
              <w:t>Expected Initial Delivery Date and Contract Year Start Date [1]</w:t>
            </w:r>
          </w:p>
        </w:tc>
        <w:tc>
          <w:tcPr>
            <w:tcW w:w="3240" w:type="dxa"/>
            <w:gridSpan w:val="3"/>
          </w:tcPr>
          <w:p w14:paraId="70D8610E" w14:textId="77777777" w:rsidR="007D1833" w:rsidRPr="00A230C9" w:rsidRDefault="007D1833" w:rsidP="00267BB5">
            <w:pPr>
              <w:autoSpaceDE w:val="0"/>
              <w:autoSpaceDN w:val="0"/>
              <w:adjustRightInd w:val="0"/>
              <w:spacing w:after="0" w:line="240" w:lineRule="atLeast"/>
              <w:jc w:val="center"/>
              <w:rPr>
                <w:b/>
                <w:sz w:val="20"/>
                <w:szCs w:val="20"/>
              </w:rPr>
            </w:pPr>
            <w:r w:rsidRPr="00A230C9">
              <w:rPr>
                <w:b/>
                <w:sz w:val="20"/>
                <w:szCs w:val="20"/>
              </w:rPr>
              <w:t>Contract Year</w:t>
            </w:r>
          </w:p>
          <w:p w14:paraId="3810540B" w14:textId="77777777" w:rsidR="007D1833" w:rsidRPr="002B4516" w:rsidRDefault="007D1833" w:rsidP="00267BB5">
            <w:pPr>
              <w:autoSpaceDE w:val="0"/>
              <w:autoSpaceDN w:val="0"/>
              <w:adjustRightInd w:val="0"/>
              <w:spacing w:after="0" w:line="240" w:lineRule="atLeast"/>
              <w:jc w:val="center"/>
              <w:rPr>
                <w:b/>
                <w:sz w:val="20"/>
                <w:szCs w:val="20"/>
              </w:rPr>
            </w:pPr>
            <w:r w:rsidRPr="00A230C9">
              <w:rPr>
                <w:b/>
                <w:sz w:val="20"/>
                <w:szCs w:val="20"/>
              </w:rPr>
              <w:t>End Date</w:t>
            </w:r>
          </w:p>
        </w:tc>
        <w:tc>
          <w:tcPr>
            <w:tcW w:w="2700" w:type="dxa"/>
            <w:gridSpan w:val="2"/>
          </w:tcPr>
          <w:p w14:paraId="6574EA82" w14:textId="77777777" w:rsidR="007D1833" w:rsidRPr="002B4516" w:rsidRDefault="007D1833" w:rsidP="00267BB5">
            <w:pPr>
              <w:autoSpaceDE w:val="0"/>
              <w:autoSpaceDN w:val="0"/>
              <w:adjustRightInd w:val="0"/>
              <w:spacing w:after="0" w:line="240" w:lineRule="atLeast"/>
              <w:jc w:val="center"/>
              <w:rPr>
                <w:b/>
                <w:sz w:val="20"/>
                <w:szCs w:val="20"/>
              </w:rPr>
            </w:pPr>
            <w:r w:rsidRPr="00A230C9">
              <w:rPr>
                <w:b/>
                <w:sz w:val="20"/>
                <w:szCs w:val="20"/>
              </w:rPr>
              <w:t xml:space="preserve">Monthly </w:t>
            </w:r>
            <w:r>
              <w:rPr>
                <w:b/>
                <w:sz w:val="20"/>
                <w:szCs w:val="20"/>
              </w:rPr>
              <w:t>Energy</w:t>
            </w:r>
            <w:r w:rsidRPr="00A230C9">
              <w:rPr>
                <w:b/>
                <w:sz w:val="20"/>
                <w:szCs w:val="20"/>
              </w:rPr>
              <w:t xml:space="preserve"> Capacity Price</w:t>
            </w:r>
            <w:r>
              <w:rPr>
                <w:b/>
                <w:sz w:val="20"/>
                <w:szCs w:val="20"/>
              </w:rPr>
              <w:t xml:space="preserve"> ($/kW-month)</w:t>
            </w:r>
            <w:r w:rsidRPr="00A230C9">
              <w:rPr>
                <w:b/>
                <w:sz w:val="20"/>
                <w:szCs w:val="20"/>
              </w:rPr>
              <w:t xml:space="preserve"> [2]</w:t>
            </w:r>
          </w:p>
        </w:tc>
      </w:tr>
      <w:tr w:rsidR="007D1833" w:rsidRPr="002B4516" w14:paraId="13F153BF" w14:textId="77777777" w:rsidTr="00267BB5">
        <w:tc>
          <w:tcPr>
            <w:tcW w:w="3415" w:type="dxa"/>
          </w:tcPr>
          <w:p w14:paraId="543BBEDA" w14:textId="77777777" w:rsidR="007D1833" w:rsidRPr="002B4516" w:rsidRDefault="007D1833" w:rsidP="00267BB5">
            <w:pPr>
              <w:autoSpaceDE w:val="0"/>
              <w:autoSpaceDN w:val="0"/>
              <w:adjustRightInd w:val="0"/>
              <w:spacing w:after="0" w:line="240" w:lineRule="atLeast"/>
              <w:jc w:val="center"/>
              <w:rPr>
                <w:b/>
                <w:sz w:val="20"/>
                <w:szCs w:val="20"/>
              </w:rPr>
            </w:pPr>
            <w:r w:rsidRPr="002B4516">
              <w:rPr>
                <w:color w:val="0000FF"/>
                <w:sz w:val="20"/>
                <w:szCs w:val="20"/>
              </w:rPr>
              <w:t>[01/01/2000]</w:t>
            </w:r>
          </w:p>
        </w:tc>
        <w:tc>
          <w:tcPr>
            <w:tcW w:w="3240" w:type="dxa"/>
            <w:gridSpan w:val="3"/>
          </w:tcPr>
          <w:p w14:paraId="13159A3F"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[12/31/2000]</w:t>
            </w:r>
          </w:p>
        </w:tc>
        <w:tc>
          <w:tcPr>
            <w:tcW w:w="2700" w:type="dxa"/>
            <w:gridSpan w:val="2"/>
          </w:tcPr>
          <w:p w14:paraId="3ECB2FB0"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7D1833" w:rsidRPr="002B4516" w14:paraId="0B064B7C" w14:textId="77777777" w:rsidTr="00267BB5">
        <w:tc>
          <w:tcPr>
            <w:tcW w:w="3415" w:type="dxa"/>
          </w:tcPr>
          <w:p w14:paraId="2C2693F0" w14:textId="77777777" w:rsidR="007D1833" w:rsidRPr="002B4516" w:rsidRDefault="007D1833" w:rsidP="00267BB5">
            <w:pPr>
              <w:autoSpaceDE w:val="0"/>
              <w:autoSpaceDN w:val="0"/>
              <w:adjustRightInd w:val="0"/>
              <w:spacing w:after="0" w:line="240" w:lineRule="atLeast"/>
              <w:jc w:val="center"/>
              <w:rPr>
                <w:b/>
                <w:sz w:val="20"/>
                <w:szCs w:val="20"/>
              </w:rPr>
            </w:pPr>
            <w:r w:rsidRPr="002B4516">
              <w:rPr>
                <w:color w:val="0000FF"/>
                <w:sz w:val="20"/>
                <w:szCs w:val="20"/>
              </w:rPr>
              <w:t>[01/01/200</w:t>
            </w:r>
            <w:r>
              <w:rPr>
                <w:color w:val="0000FF"/>
                <w:sz w:val="20"/>
                <w:szCs w:val="20"/>
              </w:rPr>
              <w:t>1</w:t>
            </w:r>
            <w:r w:rsidRPr="002B4516">
              <w:rPr>
                <w:color w:val="0000FF"/>
                <w:sz w:val="20"/>
                <w:szCs w:val="20"/>
              </w:rPr>
              <w:t>]</w:t>
            </w:r>
          </w:p>
        </w:tc>
        <w:tc>
          <w:tcPr>
            <w:tcW w:w="3240" w:type="dxa"/>
            <w:gridSpan w:val="3"/>
          </w:tcPr>
          <w:p w14:paraId="5F0637F3"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[12/31/200</w:t>
            </w:r>
            <w:r>
              <w:rPr>
                <w:color w:val="0000FF"/>
                <w:sz w:val="20"/>
                <w:szCs w:val="20"/>
              </w:rPr>
              <w:t>1</w:t>
            </w:r>
            <w:r w:rsidRPr="002B4516">
              <w:rPr>
                <w:color w:val="0000FF"/>
                <w:sz w:val="20"/>
                <w:szCs w:val="20"/>
              </w:rPr>
              <w:t>]</w:t>
            </w:r>
          </w:p>
        </w:tc>
        <w:tc>
          <w:tcPr>
            <w:tcW w:w="2700" w:type="dxa"/>
            <w:gridSpan w:val="2"/>
          </w:tcPr>
          <w:p w14:paraId="0C9D5659"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7D1833" w:rsidRPr="002B4516" w14:paraId="358270C7" w14:textId="77777777" w:rsidTr="00267BB5">
        <w:tc>
          <w:tcPr>
            <w:tcW w:w="3415" w:type="dxa"/>
          </w:tcPr>
          <w:p w14:paraId="0B8A7B8A" w14:textId="77777777" w:rsidR="007D1833" w:rsidRPr="002B4516" w:rsidRDefault="007D1833" w:rsidP="00267BB5">
            <w:pPr>
              <w:autoSpaceDE w:val="0"/>
              <w:autoSpaceDN w:val="0"/>
              <w:adjustRightInd w:val="0"/>
              <w:spacing w:after="0" w:line="240" w:lineRule="atLeast"/>
              <w:jc w:val="center"/>
              <w:rPr>
                <w:b/>
                <w:sz w:val="20"/>
                <w:szCs w:val="20"/>
              </w:rPr>
            </w:pPr>
            <w:r w:rsidRPr="002B4516">
              <w:rPr>
                <w:color w:val="0000FF"/>
                <w:sz w:val="20"/>
                <w:szCs w:val="20"/>
              </w:rPr>
              <w:t>[01/01/200</w:t>
            </w:r>
            <w:r>
              <w:rPr>
                <w:color w:val="0000FF"/>
                <w:sz w:val="20"/>
                <w:szCs w:val="20"/>
              </w:rPr>
              <w:t>2</w:t>
            </w:r>
            <w:r w:rsidRPr="002B4516">
              <w:rPr>
                <w:color w:val="0000FF"/>
                <w:sz w:val="20"/>
                <w:szCs w:val="20"/>
              </w:rPr>
              <w:t>]</w:t>
            </w:r>
          </w:p>
        </w:tc>
        <w:tc>
          <w:tcPr>
            <w:tcW w:w="3240" w:type="dxa"/>
            <w:gridSpan w:val="3"/>
          </w:tcPr>
          <w:p w14:paraId="5AB2060B"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[12/31/200</w:t>
            </w:r>
            <w:r>
              <w:rPr>
                <w:color w:val="0000FF"/>
                <w:sz w:val="20"/>
                <w:szCs w:val="20"/>
              </w:rPr>
              <w:t>2</w:t>
            </w:r>
            <w:r w:rsidRPr="002B4516">
              <w:rPr>
                <w:color w:val="0000FF"/>
                <w:sz w:val="20"/>
                <w:szCs w:val="20"/>
              </w:rPr>
              <w:t>]</w:t>
            </w:r>
          </w:p>
        </w:tc>
        <w:tc>
          <w:tcPr>
            <w:tcW w:w="2700" w:type="dxa"/>
            <w:gridSpan w:val="2"/>
          </w:tcPr>
          <w:p w14:paraId="7A9EB493" w14:textId="77777777" w:rsidR="007D1833" w:rsidRPr="002B4516" w:rsidRDefault="007D1833" w:rsidP="00267BB5">
            <w:pPr>
              <w:autoSpaceDE w:val="0"/>
              <w:autoSpaceDN w:val="0"/>
              <w:adjustRightInd w:val="0"/>
              <w:spacing w:after="0" w:line="240" w:lineRule="atLeast"/>
              <w:jc w:val="center"/>
              <w:rPr>
                <w:sz w:val="20"/>
                <w:szCs w:val="20"/>
              </w:rPr>
            </w:pPr>
            <w:r w:rsidRPr="002B4516">
              <w:rPr>
                <w:color w:val="0000FF"/>
                <w:sz w:val="20"/>
                <w:szCs w:val="20"/>
              </w:rPr>
              <w:t>[X]</w:t>
            </w:r>
          </w:p>
        </w:tc>
      </w:tr>
      <w:tr w:rsidR="007D1833" w:rsidRPr="002B4516" w14:paraId="5B5391B3" w14:textId="77777777" w:rsidTr="00267BB5">
        <w:tc>
          <w:tcPr>
            <w:tcW w:w="3415" w:type="dxa"/>
          </w:tcPr>
          <w:p w14:paraId="682D420E" w14:textId="77777777" w:rsidR="007D1833" w:rsidRDefault="007D1833" w:rsidP="00267BB5">
            <w:pPr>
              <w:autoSpaceDE w:val="0"/>
              <w:autoSpaceDN w:val="0"/>
              <w:adjustRightInd w:val="0"/>
              <w:spacing w:after="0" w:line="240" w:lineRule="atLeast"/>
              <w:jc w:val="center"/>
              <w:rPr>
                <w:b/>
                <w:sz w:val="20"/>
                <w:szCs w:val="20"/>
              </w:rPr>
            </w:pPr>
            <w:r w:rsidRPr="00712B76">
              <w:rPr>
                <w:color w:val="0000FF"/>
                <w:sz w:val="20"/>
                <w:szCs w:val="20"/>
              </w:rPr>
              <w:t>[01/01/20</w:t>
            </w:r>
            <w:r>
              <w:rPr>
                <w:color w:val="0000FF"/>
                <w:sz w:val="20"/>
                <w:szCs w:val="20"/>
              </w:rPr>
              <w:t>03</w:t>
            </w:r>
            <w:r w:rsidRPr="00712B76">
              <w:rPr>
                <w:color w:val="0000FF"/>
                <w:sz w:val="20"/>
                <w:szCs w:val="20"/>
              </w:rPr>
              <w:t>]</w:t>
            </w:r>
          </w:p>
        </w:tc>
        <w:tc>
          <w:tcPr>
            <w:tcW w:w="3240" w:type="dxa"/>
            <w:gridSpan w:val="3"/>
          </w:tcPr>
          <w:p w14:paraId="2B4C0308" w14:textId="77777777" w:rsidR="007D1833" w:rsidRPr="002B4516" w:rsidRDefault="007D1833" w:rsidP="00267BB5">
            <w:pPr>
              <w:autoSpaceDE w:val="0"/>
              <w:autoSpaceDN w:val="0"/>
              <w:adjustRightInd w:val="0"/>
              <w:spacing w:after="0" w:line="240" w:lineRule="atLeast"/>
              <w:jc w:val="center"/>
              <w:rPr>
                <w:sz w:val="20"/>
                <w:szCs w:val="20"/>
              </w:rPr>
            </w:pPr>
            <w:r w:rsidRPr="00712B76">
              <w:rPr>
                <w:color w:val="0000FF"/>
                <w:sz w:val="20"/>
                <w:szCs w:val="20"/>
              </w:rPr>
              <w:t>[12</w:t>
            </w:r>
            <w:r>
              <w:rPr>
                <w:color w:val="0000FF"/>
                <w:sz w:val="20"/>
                <w:szCs w:val="20"/>
              </w:rPr>
              <w:t>/31/2003</w:t>
            </w:r>
            <w:r w:rsidRPr="00712B76">
              <w:rPr>
                <w:color w:val="0000FF"/>
                <w:sz w:val="20"/>
                <w:szCs w:val="20"/>
              </w:rPr>
              <w:t>]</w:t>
            </w:r>
          </w:p>
        </w:tc>
        <w:tc>
          <w:tcPr>
            <w:tcW w:w="2700" w:type="dxa"/>
            <w:gridSpan w:val="2"/>
          </w:tcPr>
          <w:p w14:paraId="1E1D0B9F" w14:textId="77777777" w:rsidR="007D1833" w:rsidDel="00A230C9" w:rsidRDefault="007D1833" w:rsidP="00267BB5">
            <w:pPr>
              <w:autoSpaceDE w:val="0"/>
              <w:autoSpaceDN w:val="0"/>
              <w:adjustRightInd w:val="0"/>
              <w:spacing w:after="0" w:line="240" w:lineRule="atLeast"/>
              <w:jc w:val="center"/>
              <w:rPr>
                <w:sz w:val="20"/>
                <w:szCs w:val="20"/>
              </w:rPr>
            </w:pPr>
            <w:r w:rsidRPr="00712B76">
              <w:rPr>
                <w:color w:val="0000FF"/>
                <w:sz w:val="20"/>
                <w:szCs w:val="20"/>
              </w:rPr>
              <w:t>[X]</w:t>
            </w:r>
          </w:p>
        </w:tc>
      </w:tr>
      <w:tr w:rsidR="007D1833" w:rsidRPr="002B4516" w14:paraId="5EC82907" w14:textId="77777777" w:rsidTr="00267BB5">
        <w:tc>
          <w:tcPr>
            <w:tcW w:w="3415" w:type="dxa"/>
          </w:tcPr>
          <w:p w14:paraId="3009700C" w14:textId="77777777" w:rsidR="007D1833" w:rsidRDefault="007D1833" w:rsidP="00267BB5">
            <w:pPr>
              <w:autoSpaceDE w:val="0"/>
              <w:autoSpaceDN w:val="0"/>
              <w:adjustRightInd w:val="0"/>
              <w:spacing w:after="0" w:line="240" w:lineRule="atLeast"/>
              <w:jc w:val="center"/>
              <w:rPr>
                <w:b/>
                <w:sz w:val="20"/>
                <w:szCs w:val="20"/>
              </w:rPr>
            </w:pPr>
            <w:r w:rsidRPr="00712B76">
              <w:rPr>
                <w:color w:val="0000FF"/>
                <w:sz w:val="20"/>
                <w:szCs w:val="20"/>
              </w:rPr>
              <w:t>[01/01/20</w:t>
            </w:r>
            <w:r>
              <w:rPr>
                <w:color w:val="0000FF"/>
                <w:sz w:val="20"/>
                <w:szCs w:val="20"/>
              </w:rPr>
              <w:t>04</w:t>
            </w:r>
            <w:r w:rsidRPr="00712B76">
              <w:rPr>
                <w:color w:val="0000FF"/>
                <w:sz w:val="20"/>
                <w:szCs w:val="20"/>
              </w:rPr>
              <w:t>]</w:t>
            </w:r>
          </w:p>
        </w:tc>
        <w:tc>
          <w:tcPr>
            <w:tcW w:w="3240" w:type="dxa"/>
            <w:gridSpan w:val="3"/>
          </w:tcPr>
          <w:p w14:paraId="751C4509" w14:textId="77777777" w:rsidR="007D1833" w:rsidRPr="002B4516" w:rsidRDefault="007D1833" w:rsidP="00267BB5">
            <w:pPr>
              <w:autoSpaceDE w:val="0"/>
              <w:autoSpaceDN w:val="0"/>
              <w:adjustRightInd w:val="0"/>
              <w:spacing w:after="0" w:line="240" w:lineRule="atLeast"/>
              <w:jc w:val="center"/>
              <w:rPr>
                <w:sz w:val="20"/>
                <w:szCs w:val="20"/>
              </w:rPr>
            </w:pPr>
            <w:r w:rsidRPr="00712B76">
              <w:rPr>
                <w:color w:val="0000FF"/>
                <w:sz w:val="20"/>
                <w:szCs w:val="20"/>
              </w:rPr>
              <w:t>[12</w:t>
            </w:r>
            <w:r>
              <w:rPr>
                <w:color w:val="0000FF"/>
                <w:sz w:val="20"/>
                <w:szCs w:val="20"/>
              </w:rPr>
              <w:t>/31/2004</w:t>
            </w:r>
            <w:r w:rsidRPr="00712B76">
              <w:rPr>
                <w:color w:val="0000FF"/>
                <w:sz w:val="20"/>
                <w:szCs w:val="20"/>
              </w:rPr>
              <w:t>]</w:t>
            </w:r>
          </w:p>
        </w:tc>
        <w:tc>
          <w:tcPr>
            <w:tcW w:w="2700" w:type="dxa"/>
            <w:gridSpan w:val="2"/>
          </w:tcPr>
          <w:p w14:paraId="589171D0" w14:textId="77777777" w:rsidR="007D1833" w:rsidDel="00A230C9" w:rsidRDefault="007D1833" w:rsidP="00267BB5">
            <w:pPr>
              <w:autoSpaceDE w:val="0"/>
              <w:autoSpaceDN w:val="0"/>
              <w:adjustRightInd w:val="0"/>
              <w:spacing w:after="0" w:line="240" w:lineRule="atLeast"/>
              <w:jc w:val="center"/>
              <w:rPr>
                <w:sz w:val="20"/>
                <w:szCs w:val="20"/>
              </w:rPr>
            </w:pPr>
            <w:r w:rsidRPr="00712B76">
              <w:rPr>
                <w:color w:val="0000FF"/>
                <w:sz w:val="20"/>
                <w:szCs w:val="20"/>
              </w:rPr>
              <w:t>[X]</w:t>
            </w:r>
          </w:p>
        </w:tc>
      </w:tr>
      <w:tr w:rsidR="007D1833" w:rsidRPr="002B4516" w14:paraId="6161ACD8" w14:textId="77777777" w:rsidTr="00267BB5">
        <w:trPr>
          <w:trHeight w:val="125"/>
        </w:trPr>
        <w:tc>
          <w:tcPr>
            <w:tcW w:w="9355" w:type="dxa"/>
            <w:gridSpan w:val="6"/>
            <w:tcBorders>
              <w:left w:val="nil"/>
              <w:right w:val="nil"/>
            </w:tcBorders>
          </w:tcPr>
          <w:p w14:paraId="3FDAE409" w14:textId="77777777" w:rsidR="007D1833" w:rsidRPr="00982358" w:rsidRDefault="007D1833" w:rsidP="00267BB5">
            <w:pPr>
              <w:autoSpaceDE w:val="0"/>
              <w:autoSpaceDN w:val="0"/>
              <w:adjustRightInd w:val="0"/>
              <w:spacing w:after="0" w:line="240" w:lineRule="atLeast"/>
              <w:rPr>
                <w:sz w:val="20"/>
                <w:szCs w:val="20"/>
              </w:rPr>
            </w:pPr>
            <w:r w:rsidRPr="00982358">
              <w:rPr>
                <w:sz w:val="20"/>
                <w:szCs w:val="20"/>
              </w:rPr>
              <w:t xml:space="preserve">[1] The earliest date in this table </w:t>
            </w:r>
            <w:r>
              <w:rPr>
                <w:sz w:val="20"/>
                <w:szCs w:val="20"/>
              </w:rPr>
              <w:t>C</w:t>
            </w:r>
            <w:r w:rsidRPr="00982358">
              <w:rPr>
                <w:sz w:val="20"/>
                <w:szCs w:val="20"/>
              </w:rPr>
              <w:t xml:space="preserve"> is the Expected Initial Delivery Date as of the Effective Date.  If the Expected Initial Delivery Date is adjusted pursuant to Section 2.06, then the dates in this table </w:t>
            </w:r>
            <w:r>
              <w:rPr>
                <w:sz w:val="20"/>
                <w:szCs w:val="20"/>
              </w:rPr>
              <w:t>C</w:t>
            </w:r>
            <w:r w:rsidRPr="00982358">
              <w:rPr>
                <w:sz w:val="20"/>
                <w:szCs w:val="20"/>
              </w:rPr>
              <w:t xml:space="preserve"> shall be automatically amended to reflect the adjusted Expected Initial Delivery Date with an expected Delivery Period of twenty (20) years. For the avoidance of doubt, the dates in this table shall not be modified or adjusted to reflect the Initial Delivery Date.</w:t>
            </w:r>
          </w:p>
          <w:p w14:paraId="4B6AF5BA" w14:textId="77777777" w:rsidR="007D1833" w:rsidRPr="00982358" w:rsidRDefault="007D1833" w:rsidP="00267BB5">
            <w:pPr>
              <w:autoSpaceDE w:val="0"/>
              <w:autoSpaceDN w:val="0"/>
              <w:adjustRightInd w:val="0"/>
              <w:spacing w:after="0" w:line="240" w:lineRule="atLeast"/>
              <w:rPr>
                <w:sz w:val="20"/>
                <w:szCs w:val="20"/>
              </w:rPr>
            </w:pPr>
            <w:r w:rsidRPr="00982358">
              <w:rPr>
                <w:sz w:val="20"/>
                <w:szCs w:val="20"/>
              </w:rPr>
              <w:t>[2] Monthly Energy Capacity Price expressed in whole dollars and cents</w:t>
            </w:r>
          </w:p>
        </w:tc>
      </w:tr>
      <w:tr w:rsidR="007D1833" w:rsidRPr="002B4516" w14:paraId="1BBD901C" w14:textId="77777777" w:rsidTr="00267BB5">
        <w:tc>
          <w:tcPr>
            <w:tcW w:w="9355" w:type="dxa"/>
            <w:gridSpan w:val="6"/>
            <w:shd w:val="clear" w:color="auto" w:fill="92D050"/>
          </w:tcPr>
          <w:p w14:paraId="7B30D739" w14:textId="77777777" w:rsidR="007D1833" w:rsidRPr="002B4516" w:rsidDel="00770902" w:rsidRDefault="007D1833" w:rsidP="00267BB5">
            <w:pPr>
              <w:autoSpaceDE w:val="0"/>
              <w:autoSpaceDN w:val="0"/>
              <w:adjustRightInd w:val="0"/>
              <w:spacing w:after="0" w:line="240" w:lineRule="atLeast"/>
              <w:rPr>
                <w:b/>
                <w:sz w:val="20"/>
                <w:szCs w:val="20"/>
              </w:rPr>
            </w:pPr>
          </w:p>
        </w:tc>
      </w:tr>
    </w:tbl>
    <w:p w14:paraId="524E32F3" w14:textId="77777777" w:rsidR="007D1833" w:rsidRDefault="007D1833" w:rsidP="007D1833">
      <w:pPr>
        <w:spacing w:before="100" w:after="100"/>
        <w:jc w:val="center"/>
      </w:pPr>
      <w:r>
        <w:rPr>
          <w:i/>
          <w:iCs/>
        </w:rPr>
        <w:t>*** End of EXHIBIT E ***</w:t>
      </w:r>
    </w:p>
    <w:p w14:paraId="45918458" w14:textId="77777777" w:rsidR="007D1833" w:rsidRDefault="007D1833" w:rsidP="007D1833">
      <w:pPr>
        <w:spacing w:after="0"/>
        <w:jc w:val="center"/>
        <w:rPr>
          <w:b/>
        </w:rPr>
        <w:sectPr w:rsidR="007D1833">
          <w:footerReference w:type="default" r:id="rId31"/>
          <w:pgSz w:w="12240" w:h="15840"/>
          <w:pgMar w:top="1440" w:right="1440" w:bottom="1440" w:left="1440" w:header="720" w:footer="720" w:gutter="0"/>
          <w:pgNumType w:start="1"/>
          <w:cols w:space="720"/>
          <w:docGrid w:linePitch="360"/>
        </w:sectPr>
      </w:pPr>
      <w:r w:rsidRPr="0027789B">
        <w:rPr>
          <w:b/>
        </w:rPr>
        <w:t xml:space="preserve"> </w:t>
      </w:r>
    </w:p>
    <w:p w14:paraId="06FD41E4" w14:textId="7AD341F1" w:rsidR="00393E77" w:rsidRPr="0027789B" w:rsidRDefault="00393E77" w:rsidP="00393E77">
      <w:pPr>
        <w:spacing w:after="0"/>
        <w:jc w:val="center"/>
        <w:rPr>
          <w:b/>
        </w:rPr>
      </w:pPr>
      <w:r w:rsidRPr="0027789B">
        <w:rPr>
          <w:b/>
        </w:rPr>
        <w:lastRenderedPageBreak/>
        <w:t xml:space="preserve">EXHIBIT </w:t>
      </w:r>
      <w:r>
        <w:rPr>
          <w:b/>
        </w:rPr>
        <w:t>F</w:t>
      </w:r>
    </w:p>
    <w:p w14:paraId="3CD56ECB" w14:textId="77777777" w:rsidR="00393E77" w:rsidRPr="0027789B" w:rsidRDefault="00393E77" w:rsidP="00393E77">
      <w:pPr>
        <w:spacing w:after="0"/>
        <w:jc w:val="center"/>
        <w:rPr>
          <w:b/>
        </w:rPr>
      </w:pPr>
      <w:r w:rsidRPr="0027789B">
        <w:rPr>
          <w:b/>
        </w:rPr>
        <w:t>DELIVERY OF DATA</w:t>
      </w:r>
    </w:p>
    <w:p w14:paraId="6308269A" w14:textId="77777777" w:rsidR="00393E77" w:rsidRPr="0027789B" w:rsidRDefault="00393E77" w:rsidP="00393E77">
      <w:pPr>
        <w:spacing w:after="0"/>
        <w:jc w:val="center"/>
        <w:rPr>
          <w:b/>
        </w:rPr>
      </w:pPr>
    </w:p>
    <w:p w14:paraId="4ABDDF60" w14:textId="77777777" w:rsidR="00393E77" w:rsidRPr="0027789B" w:rsidRDefault="00393E77" w:rsidP="00393E77">
      <w:pPr>
        <w:spacing w:after="0"/>
        <w:jc w:val="center"/>
        <w:rPr>
          <w:b/>
        </w:rPr>
      </w:pPr>
    </w:p>
    <w:p w14:paraId="712F4242" w14:textId="77777777" w:rsidR="00393E77" w:rsidRPr="0027789B" w:rsidRDefault="00393E77" w:rsidP="00393E77">
      <w:pPr>
        <w:spacing w:after="0"/>
        <w:ind w:left="-720"/>
        <w:rPr>
          <w:color w:val="000000"/>
        </w:rPr>
      </w:pPr>
      <w:r w:rsidRPr="0027789B">
        <w:rPr>
          <w:color w:val="000000"/>
        </w:rPr>
        <w:t>The following is a list of generic data points to be electronically exchanged between Seller and SCE in real time</w:t>
      </w:r>
      <w:r>
        <w:rPr>
          <w:color w:val="000000"/>
        </w:rPr>
        <w:t xml:space="preserve">. </w:t>
      </w:r>
      <w:r w:rsidRPr="0027789B">
        <w:rPr>
          <w:color w:val="000000"/>
        </w:rPr>
        <w:t>SCE may add items to or delete items form this list at its reasonable discretion prior to the Initial Delivery Date.</w:t>
      </w:r>
    </w:p>
    <w:p w14:paraId="3D0DDCC1" w14:textId="77777777" w:rsidR="00393E77" w:rsidRPr="0027789B" w:rsidRDefault="00393E77" w:rsidP="00393E77">
      <w:pPr>
        <w:spacing w:after="0"/>
        <w:ind w:left="-720"/>
        <w:rPr>
          <w:color w:val="000000"/>
        </w:rPr>
      </w:pPr>
    </w:p>
    <w:p w14:paraId="57DABED7" w14:textId="77777777" w:rsidR="00393E77" w:rsidRPr="0027789B" w:rsidRDefault="00393E77" w:rsidP="00393E77">
      <w:pPr>
        <w:spacing w:after="0"/>
        <w:ind w:left="-720"/>
        <w:rPr>
          <w:color w:val="000000"/>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5520"/>
      </w:tblGrid>
      <w:tr w:rsidR="00393E77" w:rsidRPr="0027789B" w14:paraId="3BDB3851" w14:textId="77777777" w:rsidTr="00267BB5">
        <w:trPr>
          <w:trHeight w:val="288"/>
          <w:jc w:val="center"/>
        </w:trPr>
        <w:tc>
          <w:tcPr>
            <w:tcW w:w="5520" w:type="dxa"/>
            <w:shd w:val="clear" w:color="auto" w:fill="auto"/>
            <w:noWrap/>
            <w:vAlign w:val="center"/>
            <w:hideMark/>
          </w:tcPr>
          <w:p w14:paraId="7DD81911" w14:textId="77777777" w:rsidR="00393E77" w:rsidRPr="0027789B" w:rsidRDefault="00393E77" w:rsidP="00267BB5">
            <w:pPr>
              <w:autoSpaceDE w:val="0"/>
              <w:autoSpaceDN w:val="0"/>
              <w:adjustRightInd w:val="0"/>
              <w:rPr>
                <w:rFonts w:ascii="Arial" w:eastAsia="Arial Unicode MS" w:hAnsi="Arial" w:cs="Arial"/>
                <w:b/>
                <w:sz w:val="16"/>
                <w:szCs w:val="16"/>
              </w:rPr>
            </w:pPr>
            <w:r w:rsidRPr="0027789B">
              <w:rPr>
                <w:rFonts w:ascii="Arial" w:eastAsia="Arial Unicode MS" w:hAnsi="Arial" w:cs="Arial"/>
                <w:b/>
                <w:sz w:val="16"/>
                <w:szCs w:val="16"/>
              </w:rPr>
              <w:t>Data Point</w:t>
            </w:r>
          </w:p>
        </w:tc>
        <w:tc>
          <w:tcPr>
            <w:tcW w:w="0" w:type="auto"/>
            <w:vAlign w:val="center"/>
          </w:tcPr>
          <w:p w14:paraId="66468EA5" w14:textId="77777777" w:rsidR="00393E77" w:rsidRPr="0027789B" w:rsidRDefault="00393E77" w:rsidP="00267BB5">
            <w:pPr>
              <w:autoSpaceDE w:val="0"/>
              <w:autoSpaceDN w:val="0"/>
              <w:adjustRightInd w:val="0"/>
              <w:rPr>
                <w:rFonts w:ascii="Arial" w:eastAsia="Arial Unicode MS" w:hAnsi="Arial" w:cs="Arial"/>
                <w:b/>
                <w:sz w:val="16"/>
                <w:szCs w:val="16"/>
              </w:rPr>
            </w:pPr>
            <w:r w:rsidRPr="0027789B">
              <w:rPr>
                <w:rFonts w:ascii="Arial" w:eastAsia="Arial Unicode MS" w:hAnsi="Arial" w:cs="Arial"/>
                <w:b/>
                <w:sz w:val="16"/>
                <w:szCs w:val="16"/>
              </w:rPr>
              <w:t>Point description</w:t>
            </w:r>
          </w:p>
        </w:tc>
      </w:tr>
      <w:tr w:rsidR="00393E77" w:rsidRPr="0027789B" w14:paraId="09C613D9" w14:textId="77777777" w:rsidTr="00267BB5">
        <w:trPr>
          <w:trHeight w:val="288"/>
          <w:jc w:val="center"/>
        </w:trPr>
        <w:tc>
          <w:tcPr>
            <w:tcW w:w="5520" w:type="dxa"/>
            <w:shd w:val="clear" w:color="auto" w:fill="auto"/>
            <w:noWrap/>
            <w:vAlign w:val="center"/>
            <w:hideMark/>
          </w:tcPr>
          <w:p w14:paraId="640C563D"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Breaker</w:t>
            </w:r>
          </w:p>
        </w:tc>
        <w:tc>
          <w:tcPr>
            <w:tcW w:w="0" w:type="auto"/>
            <w:vAlign w:val="center"/>
          </w:tcPr>
          <w:p w14:paraId="485541B2"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UNIT BREAKER</w:t>
            </w:r>
          </w:p>
        </w:tc>
      </w:tr>
      <w:tr w:rsidR="00393E77" w:rsidRPr="0027789B" w14:paraId="70CE3ABD" w14:textId="77777777" w:rsidTr="00267BB5">
        <w:trPr>
          <w:trHeight w:val="288"/>
          <w:jc w:val="center"/>
        </w:trPr>
        <w:tc>
          <w:tcPr>
            <w:tcW w:w="5520" w:type="dxa"/>
            <w:shd w:val="clear" w:color="auto" w:fill="auto"/>
            <w:noWrap/>
            <w:vAlign w:val="center"/>
            <w:hideMark/>
          </w:tcPr>
          <w:p w14:paraId="0EF41891"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AGC CTRL AVAILABILITY ON/OFF</w:t>
            </w:r>
          </w:p>
        </w:tc>
        <w:tc>
          <w:tcPr>
            <w:tcW w:w="0" w:type="auto"/>
            <w:vAlign w:val="center"/>
          </w:tcPr>
          <w:p w14:paraId="455F3703"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UNIT AVAILABLE for AUTOMATED CONTROL</w:t>
            </w:r>
          </w:p>
        </w:tc>
      </w:tr>
      <w:tr w:rsidR="00393E77" w:rsidRPr="0027789B" w14:paraId="5F1F2F4D" w14:textId="77777777" w:rsidTr="00267BB5">
        <w:trPr>
          <w:trHeight w:val="288"/>
          <w:jc w:val="center"/>
        </w:trPr>
        <w:tc>
          <w:tcPr>
            <w:tcW w:w="5520" w:type="dxa"/>
            <w:shd w:val="clear" w:color="auto" w:fill="auto"/>
            <w:noWrap/>
            <w:vAlign w:val="center"/>
            <w:hideMark/>
          </w:tcPr>
          <w:p w14:paraId="32B05DE5"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ISO RIG Lost Communication</w:t>
            </w:r>
          </w:p>
        </w:tc>
        <w:tc>
          <w:tcPr>
            <w:tcW w:w="0" w:type="auto"/>
            <w:vAlign w:val="center"/>
          </w:tcPr>
          <w:p w14:paraId="330EF023"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RIG COMMUNICATION HEALTH</w:t>
            </w:r>
          </w:p>
        </w:tc>
      </w:tr>
      <w:tr w:rsidR="00393E77" w:rsidRPr="0027789B" w14:paraId="400D020B" w14:textId="77777777" w:rsidTr="00267BB5">
        <w:trPr>
          <w:trHeight w:val="288"/>
          <w:jc w:val="center"/>
        </w:trPr>
        <w:tc>
          <w:tcPr>
            <w:tcW w:w="5520" w:type="dxa"/>
            <w:shd w:val="clear" w:color="auto" w:fill="auto"/>
            <w:noWrap/>
            <w:vAlign w:val="center"/>
            <w:hideMark/>
          </w:tcPr>
          <w:p w14:paraId="4A668CD7"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High Operating Limit</w:t>
            </w:r>
          </w:p>
        </w:tc>
        <w:tc>
          <w:tcPr>
            <w:tcW w:w="0" w:type="auto"/>
            <w:vAlign w:val="center"/>
          </w:tcPr>
          <w:p w14:paraId="5B35F536"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UNIT HIGH OPERATING LIMIT</w:t>
            </w:r>
          </w:p>
        </w:tc>
      </w:tr>
      <w:tr w:rsidR="00393E77" w:rsidRPr="0027789B" w14:paraId="34498A10" w14:textId="77777777" w:rsidTr="00267BB5">
        <w:trPr>
          <w:trHeight w:val="288"/>
          <w:jc w:val="center"/>
        </w:trPr>
        <w:tc>
          <w:tcPr>
            <w:tcW w:w="5520" w:type="dxa"/>
            <w:shd w:val="clear" w:color="auto" w:fill="auto"/>
            <w:noWrap/>
            <w:vAlign w:val="center"/>
            <w:hideMark/>
          </w:tcPr>
          <w:p w14:paraId="4E142947"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Low Operating Limit</w:t>
            </w:r>
          </w:p>
        </w:tc>
        <w:tc>
          <w:tcPr>
            <w:tcW w:w="0" w:type="auto"/>
            <w:vAlign w:val="center"/>
          </w:tcPr>
          <w:p w14:paraId="768054FE"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UNIT LOW OPERATING LIMIT</w:t>
            </w:r>
          </w:p>
        </w:tc>
      </w:tr>
      <w:tr w:rsidR="00393E77" w:rsidRPr="0027789B" w14:paraId="25BAE5CD" w14:textId="77777777" w:rsidTr="00267BB5">
        <w:trPr>
          <w:trHeight w:val="288"/>
          <w:jc w:val="center"/>
        </w:trPr>
        <w:tc>
          <w:tcPr>
            <w:tcW w:w="5520" w:type="dxa"/>
            <w:shd w:val="clear" w:color="auto" w:fill="auto"/>
            <w:noWrap/>
            <w:vAlign w:val="center"/>
            <w:hideMark/>
          </w:tcPr>
          <w:p w14:paraId="04424FF9"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ISO AGC set point</w:t>
            </w:r>
          </w:p>
        </w:tc>
        <w:tc>
          <w:tcPr>
            <w:tcW w:w="0" w:type="auto"/>
            <w:vAlign w:val="center"/>
          </w:tcPr>
          <w:p w14:paraId="7F02B3DB"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SET POINT FROM ISO WHEN ON REGULATION</w:t>
            </w:r>
          </w:p>
        </w:tc>
      </w:tr>
      <w:tr w:rsidR="00393E77" w:rsidRPr="0027789B" w14:paraId="0509BC96" w14:textId="77777777" w:rsidTr="00267BB5">
        <w:trPr>
          <w:trHeight w:val="288"/>
          <w:jc w:val="center"/>
        </w:trPr>
        <w:tc>
          <w:tcPr>
            <w:tcW w:w="5520" w:type="dxa"/>
            <w:shd w:val="clear" w:color="auto" w:fill="auto"/>
            <w:noWrap/>
            <w:vAlign w:val="center"/>
            <w:hideMark/>
          </w:tcPr>
          <w:p w14:paraId="0E0EAC16"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Net MW (POD)</w:t>
            </w:r>
          </w:p>
        </w:tc>
        <w:tc>
          <w:tcPr>
            <w:tcW w:w="0" w:type="auto"/>
            <w:vAlign w:val="center"/>
          </w:tcPr>
          <w:p w14:paraId="63EC8DD3"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POINT OF DELIVERY MW</w:t>
            </w:r>
          </w:p>
        </w:tc>
      </w:tr>
      <w:tr w:rsidR="00393E77" w:rsidRPr="0027789B" w14:paraId="1D008113" w14:textId="77777777" w:rsidTr="00267BB5">
        <w:trPr>
          <w:trHeight w:val="288"/>
          <w:jc w:val="center"/>
        </w:trPr>
        <w:tc>
          <w:tcPr>
            <w:tcW w:w="5520" w:type="dxa"/>
            <w:shd w:val="clear" w:color="auto" w:fill="auto"/>
            <w:noWrap/>
            <w:vAlign w:val="center"/>
            <w:hideMark/>
          </w:tcPr>
          <w:p w14:paraId="61946D4E"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Max Sustained Ramp Rate</w:t>
            </w:r>
          </w:p>
        </w:tc>
        <w:tc>
          <w:tcPr>
            <w:tcW w:w="0" w:type="auto"/>
            <w:vAlign w:val="center"/>
          </w:tcPr>
          <w:p w14:paraId="163226A0"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MAXIMUM SUSTAINED RAMP RATE</w:t>
            </w:r>
          </w:p>
        </w:tc>
      </w:tr>
      <w:tr w:rsidR="00393E77" w:rsidRPr="0027789B" w14:paraId="5070D469" w14:textId="77777777" w:rsidTr="00267BB5">
        <w:trPr>
          <w:trHeight w:val="288"/>
          <w:jc w:val="center"/>
        </w:trPr>
        <w:tc>
          <w:tcPr>
            <w:tcW w:w="5520" w:type="dxa"/>
            <w:shd w:val="clear" w:color="auto" w:fill="auto"/>
            <w:noWrap/>
            <w:vAlign w:val="center"/>
            <w:hideMark/>
          </w:tcPr>
          <w:p w14:paraId="37646B2D"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AGC model - ISO AGC</w:t>
            </w:r>
          </w:p>
        </w:tc>
        <w:tc>
          <w:tcPr>
            <w:tcW w:w="0" w:type="auto"/>
            <w:vAlign w:val="center"/>
          </w:tcPr>
          <w:p w14:paraId="22707CCF"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CONTROL MODE INSTRUCTION</w:t>
            </w:r>
          </w:p>
        </w:tc>
      </w:tr>
      <w:tr w:rsidR="00393E77" w:rsidRPr="0027789B" w14:paraId="6D39058F" w14:textId="77777777" w:rsidTr="00267BB5">
        <w:trPr>
          <w:trHeight w:val="288"/>
          <w:jc w:val="center"/>
        </w:trPr>
        <w:tc>
          <w:tcPr>
            <w:tcW w:w="5520" w:type="dxa"/>
            <w:shd w:val="clear" w:color="auto" w:fill="auto"/>
            <w:noWrap/>
            <w:vAlign w:val="center"/>
            <w:hideMark/>
          </w:tcPr>
          <w:p w14:paraId="1391975D"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AGC model - SFM</w:t>
            </w:r>
          </w:p>
        </w:tc>
        <w:tc>
          <w:tcPr>
            <w:tcW w:w="0" w:type="auto"/>
            <w:vAlign w:val="center"/>
          </w:tcPr>
          <w:p w14:paraId="53688EBF"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CONTROL MODE INSTRUCTION</w:t>
            </w:r>
          </w:p>
        </w:tc>
      </w:tr>
      <w:tr w:rsidR="00393E77" w:rsidRPr="0027789B" w14:paraId="278C4D73" w14:textId="77777777" w:rsidTr="00267BB5">
        <w:trPr>
          <w:trHeight w:val="288"/>
          <w:jc w:val="center"/>
        </w:trPr>
        <w:tc>
          <w:tcPr>
            <w:tcW w:w="5520" w:type="dxa"/>
            <w:shd w:val="clear" w:color="auto" w:fill="auto"/>
            <w:noWrap/>
            <w:vAlign w:val="center"/>
            <w:hideMark/>
          </w:tcPr>
          <w:p w14:paraId="3F97266D"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AGC model - MAN</w:t>
            </w:r>
          </w:p>
        </w:tc>
        <w:tc>
          <w:tcPr>
            <w:tcW w:w="0" w:type="auto"/>
            <w:vAlign w:val="center"/>
          </w:tcPr>
          <w:p w14:paraId="24A9F798"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CONTROL MODE INSTRUCTION</w:t>
            </w:r>
          </w:p>
        </w:tc>
      </w:tr>
      <w:tr w:rsidR="00393E77" w:rsidRPr="0027789B" w14:paraId="5512A85A" w14:textId="77777777" w:rsidTr="00267BB5">
        <w:trPr>
          <w:trHeight w:val="288"/>
          <w:jc w:val="center"/>
        </w:trPr>
        <w:tc>
          <w:tcPr>
            <w:tcW w:w="5520" w:type="dxa"/>
            <w:shd w:val="clear" w:color="auto" w:fill="auto"/>
            <w:noWrap/>
            <w:vAlign w:val="center"/>
            <w:hideMark/>
          </w:tcPr>
          <w:p w14:paraId="4C83F657"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AGC model - OFF</w:t>
            </w:r>
          </w:p>
        </w:tc>
        <w:tc>
          <w:tcPr>
            <w:tcW w:w="0" w:type="auto"/>
            <w:vAlign w:val="center"/>
          </w:tcPr>
          <w:p w14:paraId="7D8E3EF8"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CONTROL MODE INSTRUCTION</w:t>
            </w:r>
          </w:p>
        </w:tc>
      </w:tr>
      <w:tr w:rsidR="00393E77" w:rsidRPr="0027789B" w14:paraId="0897417C" w14:textId="77777777" w:rsidTr="00267BB5">
        <w:trPr>
          <w:trHeight w:val="288"/>
          <w:jc w:val="center"/>
        </w:trPr>
        <w:tc>
          <w:tcPr>
            <w:tcW w:w="5520" w:type="dxa"/>
            <w:shd w:val="clear" w:color="auto" w:fill="auto"/>
            <w:noWrap/>
            <w:vAlign w:val="center"/>
            <w:hideMark/>
          </w:tcPr>
          <w:p w14:paraId="47D17311"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Dispatch Energy Schedule</w:t>
            </w:r>
          </w:p>
        </w:tc>
        <w:tc>
          <w:tcPr>
            <w:tcW w:w="0" w:type="auto"/>
            <w:vAlign w:val="center"/>
          </w:tcPr>
          <w:p w14:paraId="49381C01"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 xml:space="preserve">DISPATCH ENERGY TARGET </w:t>
            </w:r>
          </w:p>
        </w:tc>
      </w:tr>
      <w:tr w:rsidR="00393E77" w:rsidRPr="0027789B" w14:paraId="232EB234" w14:textId="77777777" w:rsidTr="00267BB5">
        <w:trPr>
          <w:trHeight w:val="288"/>
          <w:jc w:val="center"/>
        </w:trPr>
        <w:tc>
          <w:tcPr>
            <w:tcW w:w="5520" w:type="dxa"/>
            <w:shd w:val="clear" w:color="auto" w:fill="auto"/>
            <w:noWrap/>
            <w:vAlign w:val="center"/>
            <w:hideMark/>
          </w:tcPr>
          <w:p w14:paraId="2DB7F3D6"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 xml:space="preserve">DNP - XXX UnitX Reg Up Awarded MW </w:t>
            </w:r>
          </w:p>
        </w:tc>
        <w:tc>
          <w:tcPr>
            <w:tcW w:w="0" w:type="auto"/>
            <w:vAlign w:val="center"/>
          </w:tcPr>
          <w:p w14:paraId="05121EA7"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REGULATION UP AWARD MW</w:t>
            </w:r>
          </w:p>
        </w:tc>
      </w:tr>
      <w:tr w:rsidR="00393E77" w:rsidRPr="0027789B" w14:paraId="4889C530" w14:textId="77777777" w:rsidTr="00267BB5">
        <w:trPr>
          <w:trHeight w:val="288"/>
          <w:jc w:val="center"/>
        </w:trPr>
        <w:tc>
          <w:tcPr>
            <w:tcW w:w="5520" w:type="dxa"/>
            <w:shd w:val="clear" w:color="auto" w:fill="auto"/>
            <w:noWrap/>
            <w:vAlign w:val="center"/>
            <w:hideMark/>
          </w:tcPr>
          <w:p w14:paraId="51773DF2"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 xml:space="preserve">DNP - XXX UnitX RegDownp Awarded MW </w:t>
            </w:r>
          </w:p>
        </w:tc>
        <w:tc>
          <w:tcPr>
            <w:tcW w:w="0" w:type="auto"/>
            <w:vAlign w:val="center"/>
          </w:tcPr>
          <w:p w14:paraId="66904A93"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REGULATION DOWN AWARD MW</w:t>
            </w:r>
          </w:p>
        </w:tc>
      </w:tr>
      <w:tr w:rsidR="00393E77" w:rsidRPr="0027789B" w14:paraId="0B40A116" w14:textId="77777777" w:rsidTr="00267BB5">
        <w:trPr>
          <w:trHeight w:val="288"/>
          <w:jc w:val="center"/>
        </w:trPr>
        <w:tc>
          <w:tcPr>
            <w:tcW w:w="5520" w:type="dxa"/>
            <w:shd w:val="clear" w:color="auto" w:fill="auto"/>
            <w:noWrap/>
            <w:vAlign w:val="center"/>
            <w:hideMark/>
          </w:tcPr>
          <w:p w14:paraId="685EAFD5"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 xml:space="preserve">DNP - XXX UnitX Spin Awarded MW </w:t>
            </w:r>
          </w:p>
        </w:tc>
        <w:tc>
          <w:tcPr>
            <w:tcW w:w="0" w:type="auto"/>
            <w:vAlign w:val="center"/>
          </w:tcPr>
          <w:p w14:paraId="138C5FB7"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SPIN AWARD MW</w:t>
            </w:r>
          </w:p>
        </w:tc>
      </w:tr>
      <w:tr w:rsidR="00393E77" w:rsidRPr="0027789B" w14:paraId="073AFD52" w14:textId="77777777" w:rsidTr="00267BB5">
        <w:trPr>
          <w:trHeight w:val="288"/>
          <w:jc w:val="center"/>
        </w:trPr>
        <w:tc>
          <w:tcPr>
            <w:tcW w:w="5520" w:type="dxa"/>
            <w:shd w:val="clear" w:color="auto" w:fill="auto"/>
            <w:noWrap/>
            <w:vAlign w:val="center"/>
            <w:hideMark/>
          </w:tcPr>
          <w:p w14:paraId="497085E9"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 xml:space="preserve">DNP - XXX UnitX Non-Spin Awarded MW </w:t>
            </w:r>
          </w:p>
        </w:tc>
        <w:tc>
          <w:tcPr>
            <w:tcW w:w="0" w:type="auto"/>
            <w:vAlign w:val="center"/>
          </w:tcPr>
          <w:p w14:paraId="7CCE08F8"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NON SPIN AWARD MW</w:t>
            </w:r>
          </w:p>
        </w:tc>
      </w:tr>
      <w:tr w:rsidR="00393E77" w:rsidRPr="0027789B" w14:paraId="1812A85A" w14:textId="77777777" w:rsidTr="00267BB5">
        <w:trPr>
          <w:trHeight w:val="288"/>
          <w:jc w:val="center"/>
        </w:trPr>
        <w:tc>
          <w:tcPr>
            <w:tcW w:w="5520" w:type="dxa"/>
            <w:shd w:val="clear" w:color="auto" w:fill="auto"/>
            <w:noWrap/>
            <w:vAlign w:val="center"/>
            <w:hideMark/>
          </w:tcPr>
          <w:p w14:paraId="7D14E390"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Set Point (MW)</w:t>
            </w:r>
          </w:p>
        </w:tc>
        <w:tc>
          <w:tcPr>
            <w:tcW w:w="0" w:type="auto"/>
            <w:vAlign w:val="center"/>
          </w:tcPr>
          <w:p w14:paraId="256B1508"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SET POINT FROM SCE</w:t>
            </w:r>
          </w:p>
        </w:tc>
      </w:tr>
      <w:tr w:rsidR="00393E77" w:rsidRPr="0027789B" w14:paraId="213E49BC" w14:textId="77777777" w:rsidTr="00267BB5">
        <w:trPr>
          <w:trHeight w:val="288"/>
          <w:jc w:val="center"/>
        </w:trPr>
        <w:tc>
          <w:tcPr>
            <w:tcW w:w="5520" w:type="dxa"/>
            <w:shd w:val="clear" w:color="auto" w:fill="auto"/>
            <w:noWrap/>
            <w:vAlign w:val="center"/>
          </w:tcPr>
          <w:p w14:paraId="1ED1535F"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Ramp Rate (MW/M)</w:t>
            </w:r>
          </w:p>
        </w:tc>
        <w:tc>
          <w:tcPr>
            <w:tcW w:w="0" w:type="auto"/>
            <w:vAlign w:val="center"/>
          </w:tcPr>
          <w:p w14:paraId="5F7832B6"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CALCULATED RAMP RATE FROM SCE</w:t>
            </w:r>
          </w:p>
        </w:tc>
      </w:tr>
      <w:tr w:rsidR="00393E77" w:rsidRPr="0027789B" w14:paraId="0D3624EE" w14:textId="77777777" w:rsidTr="00267BB5">
        <w:trPr>
          <w:trHeight w:val="288"/>
          <w:jc w:val="center"/>
        </w:trPr>
        <w:tc>
          <w:tcPr>
            <w:tcW w:w="5520" w:type="dxa"/>
            <w:shd w:val="clear" w:color="auto" w:fill="auto"/>
            <w:noWrap/>
            <w:vAlign w:val="center"/>
          </w:tcPr>
          <w:p w14:paraId="6D9F6E10"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Instantaneous Energy Storage Level</w:t>
            </w:r>
          </w:p>
        </w:tc>
        <w:tc>
          <w:tcPr>
            <w:tcW w:w="0" w:type="auto"/>
            <w:vAlign w:val="center"/>
          </w:tcPr>
          <w:p w14:paraId="184E4191"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ENERGY STORAGE LEVEL</w:t>
            </w:r>
          </w:p>
        </w:tc>
      </w:tr>
      <w:tr w:rsidR="00393E77" w:rsidRPr="0027789B" w14:paraId="44A2B130" w14:textId="77777777" w:rsidTr="00267BB5">
        <w:trPr>
          <w:trHeight w:val="288"/>
          <w:jc w:val="center"/>
        </w:trPr>
        <w:tc>
          <w:tcPr>
            <w:tcW w:w="5520" w:type="dxa"/>
            <w:shd w:val="clear" w:color="auto" w:fill="auto"/>
            <w:noWrap/>
            <w:vAlign w:val="center"/>
          </w:tcPr>
          <w:p w14:paraId="71337C59"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Max Charge Energy</w:t>
            </w:r>
          </w:p>
        </w:tc>
        <w:tc>
          <w:tcPr>
            <w:tcW w:w="0" w:type="auto"/>
            <w:vAlign w:val="center"/>
          </w:tcPr>
          <w:p w14:paraId="5F3663E2"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MAX CHARGE ENERGY</w:t>
            </w:r>
          </w:p>
        </w:tc>
      </w:tr>
      <w:tr w:rsidR="00393E77" w:rsidRPr="0027789B" w14:paraId="259B5464" w14:textId="77777777" w:rsidTr="00267BB5">
        <w:trPr>
          <w:trHeight w:val="288"/>
          <w:jc w:val="center"/>
        </w:trPr>
        <w:tc>
          <w:tcPr>
            <w:tcW w:w="5520" w:type="dxa"/>
            <w:shd w:val="clear" w:color="auto" w:fill="auto"/>
            <w:noWrap/>
            <w:vAlign w:val="center"/>
          </w:tcPr>
          <w:p w14:paraId="30746158"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Max Discharge Energy</w:t>
            </w:r>
          </w:p>
        </w:tc>
        <w:tc>
          <w:tcPr>
            <w:tcW w:w="0" w:type="auto"/>
            <w:vAlign w:val="center"/>
          </w:tcPr>
          <w:p w14:paraId="7BC73DD0"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MAX DISCHARGE ENERGY</w:t>
            </w:r>
          </w:p>
        </w:tc>
      </w:tr>
      <w:tr w:rsidR="00393E77" w:rsidRPr="0027789B" w14:paraId="460A4632" w14:textId="77777777" w:rsidTr="00267BB5">
        <w:trPr>
          <w:trHeight w:val="288"/>
          <w:jc w:val="center"/>
        </w:trPr>
        <w:tc>
          <w:tcPr>
            <w:tcW w:w="5520" w:type="dxa"/>
            <w:shd w:val="clear" w:color="auto" w:fill="auto"/>
            <w:noWrap/>
            <w:vAlign w:val="center"/>
          </w:tcPr>
          <w:p w14:paraId="530155AC"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Energy Charge Ramp Rate MW/min</w:t>
            </w:r>
          </w:p>
        </w:tc>
        <w:tc>
          <w:tcPr>
            <w:tcW w:w="0" w:type="auto"/>
            <w:vAlign w:val="center"/>
          </w:tcPr>
          <w:p w14:paraId="75407D0D"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ENERGY CHARGE RAMP RATE MW/min</w:t>
            </w:r>
          </w:p>
        </w:tc>
      </w:tr>
      <w:tr w:rsidR="00393E77" w:rsidRPr="0027789B" w14:paraId="5E5CBE51" w14:textId="77777777" w:rsidTr="00267BB5">
        <w:trPr>
          <w:trHeight w:val="288"/>
          <w:jc w:val="center"/>
        </w:trPr>
        <w:tc>
          <w:tcPr>
            <w:tcW w:w="5520" w:type="dxa"/>
            <w:shd w:val="clear" w:color="auto" w:fill="auto"/>
            <w:noWrap/>
            <w:vAlign w:val="center"/>
          </w:tcPr>
          <w:p w14:paraId="1333CA5A"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DNP – XXX UnitX Energy Discharge Ramp Rate MW/min</w:t>
            </w:r>
          </w:p>
        </w:tc>
        <w:tc>
          <w:tcPr>
            <w:tcW w:w="0" w:type="auto"/>
            <w:vAlign w:val="center"/>
          </w:tcPr>
          <w:p w14:paraId="44E69E89" w14:textId="77777777" w:rsidR="00393E77" w:rsidRPr="0027789B" w:rsidRDefault="00393E77" w:rsidP="00267BB5">
            <w:pPr>
              <w:autoSpaceDE w:val="0"/>
              <w:autoSpaceDN w:val="0"/>
              <w:adjustRightInd w:val="0"/>
              <w:spacing w:after="0"/>
              <w:rPr>
                <w:rFonts w:ascii="Arial" w:eastAsia="Arial Unicode MS" w:hAnsi="Arial" w:cs="Arial"/>
                <w:sz w:val="16"/>
                <w:szCs w:val="16"/>
              </w:rPr>
            </w:pPr>
            <w:r w:rsidRPr="0027789B">
              <w:rPr>
                <w:rFonts w:ascii="Arial" w:eastAsia="Arial Unicode MS" w:hAnsi="Arial" w:cs="Arial"/>
                <w:sz w:val="16"/>
                <w:szCs w:val="16"/>
              </w:rPr>
              <w:t>ENERGY DISCHARGE RAMP RATE MW/min</w:t>
            </w:r>
          </w:p>
        </w:tc>
      </w:tr>
    </w:tbl>
    <w:p w14:paraId="26FE0D62" w14:textId="77777777" w:rsidR="00393E77" w:rsidRDefault="00393E77" w:rsidP="00393E77">
      <w:pPr>
        <w:spacing w:before="100" w:after="100"/>
        <w:rPr>
          <w:i/>
          <w:iCs/>
        </w:rPr>
      </w:pPr>
    </w:p>
    <w:p w14:paraId="668C2880" w14:textId="79410679" w:rsidR="00393E77" w:rsidRDefault="00393E77" w:rsidP="00561154">
      <w:pPr>
        <w:spacing w:before="100" w:after="100"/>
        <w:jc w:val="center"/>
        <w:rPr>
          <w:i/>
          <w:iCs/>
        </w:rPr>
        <w:sectPr w:rsidR="00393E77">
          <w:footerReference w:type="default" r:id="rId32"/>
          <w:pgSz w:w="12240" w:h="15840"/>
          <w:pgMar w:top="1440" w:right="1440" w:bottom="1440" w:left="1440" w:header="720" w:footer="720" w:gutter="0"/>
          <w:pgNumType w:start="1"/>
          <w:cols w:space="720"/>
          <w:docGrid w:linePitch="360"/>
        </w:sectPr>
      </w:pPr>
      <w:r>
        <w:rPr>
          <w:i/>
          <w:iCs/>
        </w:rPr>
        <w:t>*** End of EXHIBIT F ***</w:t>
      </w:r>
    </w:p>
    <w:p w14:paraId="18182A94" w14:textId="77777777" w:rsidR="00393E77" w:rsidRPr="0027789B" w:rsidRDefault="00393E77" w:rsidP="00393E77">
      <w:pPr>
        <w:spacing w:after="0"/>
        <w:jc w:val="center"/>
        <w:rPr>
          <w:b/>
        </w:rPr>
      </w:pPr>
      <w:r>
        <w:rPr>
          <w:b/>
        </w:rPr>
        <w:lastRenderedPageBreak/>
        <w:t>EXHIBIT G</w:t>
      </w:r>
    </w:p>
    <w:p w14:paraId="72263AEA" w14:textId="77777777" w:rsidR="00393E77" w:rsidRDefault="00393E77" w:rsidP="00393E77">
      <w:pPr>
        <w:spacing w:after="0"/>
        <w:jc w:val="center"/>
        <w:rPr>
          <w:caps/>
        </w:rPr>
      </w:pPr>
      <w:r w:rsidRPr="0027789B">
        <w:t>VARIABLE O&amp;M CHARGE</w:t>
      </w:r>
      <w:r w:rsidRPr="0027789B">
        <w:rPr>
          <w:b/>
        </w:rPr>
        <w:t xml:space="preserve"> </w:t>
      </w:r>
      <w:r w:rsidRPr="0027789B">
        <w:rPr>
          <w:caps/>
        </w:rPr>
        <w:t>AND Variable Asset Replacement charge</w:t>
      </w:r>
    </w:p>
    <w:tbl>
      <w:tblPr>
        <w:tblStyle w:val="TableGrid"/>
        <w:tblW w:w="9355" w:type="dxa"/>
        <w:jc w:val="center"/>
        <w:tblLayout w:type="fixed"/>
        <w:tblLook w:val="04A0" w:firstRow="1" w:lastRow="0" w:firstColumn="1" w:lastColumn="0" w:noHBand="0" w:noVBand="1"/>
      </w:tblPr>
      <w:tblGrid>
        <w:gridCol w:w="1871"/>
        <w:gridCol w:w="1871"/>
        <w:gridCol w:w="1871"/>
        <w:gridCol w:w="1871"/>
        <w:gridCol w:w="1871"/>
      </w:tblGrid>
      <w:tr w:rsidR="00393E77" w:rsidRPr="002B4516" w14:paraId="62C71BA0" w14:textId="77777777" w:rsidTr="00267BB5">
        <w:trPr>
          <w:jc w:val="center"/>
        </w:trPr>
        <w:tc>
          <w:tcPr>
            <w:tcW w:w="3742" w:type="dxa"/>
            <w:gridSpan w:val="2"/>
          </w:tcPr>
          <w:p w14:paraId="3FAF2A54" w14:textId="77777777" w:rsidR="00393E77" w:rsidRPr="002B4516" w:rsidRDefault="00393E77" w:rsidP="00267BB5">
            <w:pPr>
              <w:autoSpaceDE w:val="0"/>
              <w:autoSpaceDN w:val="0"/>
              <w:spacing w:after="0" w:line="240" w:lineRule="atLeast"/>
              <w:rPr>
                <w:b/>
                <w:sz w:val="20"/>
                <w:szCs w:val="20"/>
              </w:rPr>
            </w:pPr>
            <w:r w:rsidRPr="002B4516">
              <w:rPr>
                <w:b/>
                <w:sz w:val="20"/>
                <w:szCs w:val="20"/>
              </w:rPr>
              <w:t>File Update Date:</w:t>
            </w:r>
          </w:p>
        </w:tc>
        <w:tc>
          <w:tcPr>
            <w:tcW w:w="5613" w:type="dxa"/>
            <w:gridSpan w:val="3"/>
          </w:tcPr>
          <w:p w14:paraId="3DF7B427" w14:textId="77777777" w:rsidR="00393E77" w:rsidRPr="002B4516" w:rsidRDefault="00393E77" w:rsidP="00267BB5">
            <w:pPr>
              <w:autoSpaceDE w:val="0"/>
              <w:autoSpaceDN w:val="0"/>
              <w:spacing w:after="0" w:line="240" w:lineRule="atLeast"/>
              <w:rPr>
                <w:b/>
                <w:color w:val="0000FF"/>
                <w:sz w:val="20"/>
                <w:szCs w:val="20"/>
              </w:rPr>
            </w:pPr>
            <w:r w:rsidRPr="002B4516">
              <w:rPr>
                <w:b/>
                <w:color w:val="0000FF"/>
                <w:sz w:val="20"/>
                <w:szCs w:val="20"/>
              </w:rPr>
              <w:t>[XX/XX/20XX]</w:t>
            </w:r>
          </w:p>
        </w:tc>
      </w:tr>
      <w:tr w:rsidR="00393E77" w:rsidRPr="002B4516" w14:paraId="0043B8DA" w14:textId="77777777" w:rsidTr="00267BB5">
        <w:trPr>
          <w:jc w:val="center"/>
        </w:trPr>
        <w:tc>
          <w:tcPr>
            <w:tcW w:w="3742" w:type="dxa"/>
            <w:gridSpan w:val="2"/>
          </w:tcPr>
          <w:p w14:paraId="0B7BB2B4" w14:textId="77777777" w:rsidR="00393E77" w:rsidRPr="002B4516" w:rsidRDefault="00393E77" w:rsidP="00267BB5">
            <w:pPr>
              <w:autoSpaceDE w:val="0"/>
              <w:autoSpaceDN w:val="0"/>
              <w:spacing w:after="0" w:line="240" w:lineRule="atLeast"/>
              <w:rPr>
                <w:b/>
                <w:sz w:val="20"/>
                <w:szCs w:val="20"/>
              </w:rPr>
            </w:pPr>
            <w:r w:rsidRPr="002B4516">
              <w:rPr>
                <w:b/>
                <w:sz w:val="20"/>
                <w:szCs w:val="20"/>
              </w:rPr>
              <w:t>Storage Unit Name:</w:t>
            </w:r>
          </w:p>
        </w:tc>
        <w:tc>
          <w:tcPr>
            <w:tcW w:w="5613" w:type="dxa"/>
            <w:gridSpan w:val="3"/>
          </w:tcPr>
          <w:p w14:paraId="2383543F" w14:textId="77777777" w:rsidR="00393E77" w:rsidRPr="002B4516" w:rsidRDefault="00393E77" w:rsidP="00267BB5">
            <w:pPr>
              <w:autoSpaceDE w:val="0"/>
              <w:autoSpaceDN w:val="0"/>
              <w:spacing w:after="0" w:line="240" w:lineRule="atLeast"/>
              <w:rPr>
                <w:b/>
                <w:color w:val="0000FF"/>
                <w:sz w:val="20"/>
                <w:szCs w:val="20"/>
              </w:rPr>
            </w:pPr>
            <w:r w:rsidRPr="002B4516">
              <w:rPr>
                <w:b/>
                <w:color w:val="0000FF"/>
                <w:sz w:val="20"/>
                <w:szCs w:val="20"/>
              </w:rPr>
              <w:t>[Unit Name and Number]</w:t>
            </w:r>
          </w:p>
        </w:tc>
      </w:tr>
      <w:tr w:rsidR="00393E77" w:rsidRPr="002B4516" w14:paraId="312666D8" w14:textId="77777777" w:rsidTr="00267BB5">
        <w:trPr>
          <w:jc w:val="center"/>
        </w:trPr>
        <w:tc>
          <w:tcPr>
            <w:tcW w:w="9355" w:type="dxa"/>
            <w:gridSpan w:val="5"/>
            <w:shd w:val="clear" w:color="auto" w:fill="92D050"/>
          </w:tcPr>
          <w:p w14:paraId="41172D01" w14:textId="77777777" w:rsidR="00393E77" w:rsidRPr="002B4516" w:rsidRDefault="00393E77" w:rsidP="00267BB5">
            <w:pPr>
              <w:autoSpaceDE w:val="0"/>
              <w:autoSpaceDN w:val="0"/>
              <w:spacing w:after="0" w:line="240" w:lineRule="atLeast"/>
              <w:rPr>
                <w:b/>
                <w:sz w:val="20"/>
                <w:szCs w:val="20"/>
              </w:rPr>
            </w:pPr>
            <w:r w:rsidRPr="002B4516">
              <w:rPr>
                <w:b/>
                <w:sz w:val="20"/>
                <w:szCs w:val="20"/>
              </w:rPr>
              <w:t>Variable O&amp;M Charge, Variable Asset Replacement Charge Information</w:t>
            </w:r>
          </w:p>
        </w:tc>
      </w:tr>
      <w:tr w:rsidR="00393E77" w:rsidRPr="002B4516" w14:paraId="36CF29F9" w14:textId="77777777" w:rsidTr="00267BB5">
        <w:trPr>
          <w:jc w:val="center"/>
        </w:trPr>
        <w:tc>
          <w:tcPr>
            <w:tcW w:w="9355" w:type="dxa"/>
            <w:gridSpan w:val="5"/>
            <w:tcBorders>
              <w:left w:val="nil"/>
              <w:bottom w:val="nil"/>
              <w:right w:val="nil"/>
            </w:tcBorders>
          </w:tcPr>
          <w:p w14:paraId="2944286A" w14:textId="77777777" w:rsidR="00393E77" w:rsidRPr="002B4516" w:rsidRDefault="00393E77" w:rsidP="00267BB5">
            <w:pPr>
              <w:autoSpaceDE w:val="0"/>
              <w:autoSpaceDN w:val="0"/>
              <w:adjustRightInd w:val="0"/>
              <w:spacing w:after="0" w:line="240" w:lineRule="atLeast"/>
              <w:rPr>
                <w:sz w:val="20"/>
                <w:szCs w:val="20"/>
              </w:rPr>
            </w:pPr>
            <w:r w:rsidRPr="002B4516">
              <w:rPr>
                <w:sz w:val="20"/>
                <w:szCs w:val="20"/>
              </w:rPr>
              <w:t>Figures are to the one-hundredth level of precision. Please enter all figures to two decimal places.</w:t>
            </w:r>
          </w:p>
        </w:tc>
      </w:tr>
      <w:tr w:rsidR="00393E77" w:rsidRPr="002B4516" w14:paraId="7E9C523C" w14:textId="77777777" w:rsidTr="00267BB5">
        <w:trPr>
          <w:jc w:val="center"/>
        </w:trPr>
        <w:tc>
          <w:tcPr>
            <w:tcW w:w="9355" w:type="dxa"/>
            <w:gridSpan w:val="5"/>
            <w:tcBorders>
              <w:top w:val="nil"/>
              <w:left w:val="nil"/>
              <w:bottom w:val="nil"/>
              <w:right w:val="nil"/>
            </w:tcBorders>
          </w:tcPr>
          <w:p w14:paraId="448A0987" w14:textId="77777777" w:rsidR="00393E77" w:rsidRPr="002B4516" w:rsidRDefault="00393E77" w:rsidP="00267BB5">
            <w:pPr>
              <w:autoSpaceDE w:val="0"/>
              <w:autoSpaceDN w:val="0"/>
              <w:adjustRightInd w:val="0"/>
              <w:spacing w:after="0" w:line="240" w:lineRule="atLeast"/>
              <w:rPr>
                <w:sz w:val="20"/>
                <w:szCs w:val="20"/>
              </w:rPr>
            </w:pPr>
            <w:r w:rsidRPr="002B4516">
              <w:rPr>
                <w:sz w:val="20"/>
                <w:szCs w:val="20"/>
              </w:rPr>
              <w:t>Variable O&amp;M Charges (VOM) are the variable costs associated with running the system (HVAV costs, retail load, …etc.). VOM will be applied to all the energy discharged from the system.</w:t>
            </w:r>
          </w:p>
        </w:tc>
      </w:tr>
      <w:tr w:rsidR="00393E77" w:rsidRPr="002B4516" w14:paraId="3682C879" w14:textId="77777777" w:rsidTr="00267BB5">
        <w:trPr>
          <w:jc w:val="center"/>
        </w:trPr>
        <w:tc>
          <w:tcPr>
            <w:tcW w:w="9355" w:type="dxa"/>
            <w:gridSpan w:val="5"/>
            <w:tcBorders>
              <w:top w:val="nil"/>
              <w:left w:val="nil"/>
              <w:bottom w:val="nil"/>
              <w:right w:val="nil"/>
            </w:tcBorders>
          </w:tcPr>
          <w:p w14:paraId="4E0BD1F7" w14:textId="77777777" w:rsidR="00393E77" w:rsidRPr="002B4516" w:rsidRDefault="00393E77" w:rsidP="00267BB5">
            <w:pPr>
              <w:autoSpaceDE w:val="0"/>
              <w:autoSpaceDN w:val="0"/>
              <w:adjustRightInd w:val="0"/>
              <w:spacing w:after="0" w:line="240" w:lineRule="atLeast"/>
              <w:rPr>
                <w:sz w:val="20"/>
                <w:szCs w:val="20"/>
              </w:rPr>
            </w:pPr>
            <w:r w:rsidRPr="002B4516">
              <w:rPr>
                <w:sz w:val="20"/>
                <w:szCs w:val="20"/>
              </w:rPr>
              <w:t>'Variable Asset Replacement Charges (VARC) are the costs associated with replacing/adding storage cells due to usage above Base Energy Throughput (BET). Energy discharged within the BET does not incur VARC ($0.00). Up to two tiers above the BET can be defined. The lower boundary of Tier 1 is 100% of BET. The upper boundary for Tier 2 is calculated based on the BET and total energy assuming maximum number of full charge cycles in a year.</w:t>
            </w:r>
          </w:p>
        </w:tc>
      </w:tr>
      <w:tr w:rsidR="00393E77" w:rsidRPr="002B4516" w14:paraId="62C46C2D" w14:textId="77777777" w:rsidTr="00267BB5">
        <w:trPr>
          <w:jc w:val="center"/>
        </w:trPr>
        <w:tc>
          <w:tcPr>
            <w:tcW w:w="1871" w:type="dxa"/>
            <w:vMerge w:val="restart"/>
            <w:tcBorders>
              <w:top w:val="nil"/>
              <w:left w:val="nil"/>
            </w:tcBorders>
          </w:tcPr>
          <w:p w14:paraId="52519855" w14:textId="77777777" w:rsidR="00393E77" w:rsidRPr="002B4516" w:rsidRDefault="00393E77" w:rsidP="00267BB5">
            <w:pPr>
              <w:autoSpaceDE w:val="0"/>
              <w:autoSpaceDN w:val="0"/>
              <w:adjustRightInd w:val="0"/>
              <w:spacing w:after="0" w:line="240" w:lineRule="atLeast"/>
              <w:rPr>
                <w:b/>
                <w:sz w:val="20"/>
                <w:szCs w:val="20"/>
              </w:rPr>
            </w:pPr>
          </w:p>
        </w:tc>
        <w:tc>
          <w:tcPr>
            <w:tcW w:w="1871" w:type="dxa"/>
            <w:tcBorders>
              <w:top w:val="single" w:sz="4" w:space="0" w:color="auto"/>
            </w:tcBorders>
            <w:vAlign w:val="center"/>
          </w:tcPr>
          <w:p w14:paraId="1F4DCE92"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VARC Tiers</w:t>
            </w:r>
          </w:p>
        </w:tc>
        <w:tc>
          <w:tcPr>
            <w:tcW w:w="1871" w:type="dxa"/>
            <w:tcBorders>
              <w:top w:val="single" w:sz="4" w:space="0" w:color="auto"/>
            </w:tcBorders>
            <w:vAlign w:val="center"/>
          </w:tcPr>
          <w:p w14:paraId="06FA7AC7"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Lower Boundary (% of BET, exclusive)</w:t>
            </w:r>
          </w:p>
        </w:tc>
        <w:tc>
          <w:tcPr>
            <w:tcW w:w="1871" w:type="dxa"/>
            <w:tcBorders>
              <w:top w:val="single" w:sz="4" w:space="0" w:color="auto"/>
            </w:tcBorders>
            <w:vAlign w:val="center"/>
          </w:tcPr>
          <w:p w14:paraId="5244DF8F" w14:textId="77777777" w:rsidR="00393E77" w:rsidRPr="002B4516" w:rsidRDefault="00393E77" w:rsidP="00267BB5">
            <w:pPr>
              <w:autoSpaceDE w:val="0"/>
              <w:autoSpaceDN w:val="0"/>
              <w:adjustRightInd w:val="0"/>
              <w:spacing w:after="0" w:line="240" w:lineRule="atLeast"/>
              <w:jc w:val="center"/>
              <w:rPr>
                <w:b/>
                <w:color w:val="0000FF"/>
                <w:sz w:val="20"/>
                <w:szCs w:val="20"/>
              </w:rPr>
            </w:pPr>
            <w:r w:rsidRPr="002B4516">
              <w:rPr>
                <w:b/>
                <w:sz w:val="20"/>
                <w:szCs w:val="20"/>
              </w:rPr>
              <w:t>Upper Boundary (% of BET, exclusive)</w:t>
            </w:r>
          </w:p>
        </w:tc>
        <w:tc>
          <w:tcPr>
            <w:tcW w:w="1871" w:type="dxa"/>
            <w:vMerge w:val="restart"/>
            <w:tcBorders>
              <w:top w:val="nil"/>
              <w:right w:val="nil"/>
            </w:tcBorders>
          </w:tcPr>
          <w:p w14:paraId="374164CA" w14:textId="77777777" w:rsidR="00393E77" w:rsidRPr="002B4516" w:rsidRDefault="00393E77" w:rsidP="00267BB5">
            <w:pPr>
              <w:autoSpaceDE w:val="0"/>
              <w:autoSpaceDN w:val="0"/>
              <w:adjustRightInd w:val="0"/>
              <w:spacing w:after="0" w:line="240" w:lineRule="atLeast"/>
              <w:rPr>
                <w:b/>
                <w:sz w:val="20"/>
                <w:szCs w:val="20"/>
              </w:rPr>
            </w:pPr>
            <w:r w:rsidRPr="002B4516">
              <w:rPr>
                <w:color w:val="0000FF"/>
                <w:sz w:val="20"/>
                <w:szCs w:val="20"/>
              </w:rPr>
              <w:t>{SCE Note: * The final value will be calculated from the unit max cycles in the offer upon contract execution.}</w:t>
            </w:r>
          </w:p>
        </w:tc>
      </w:tr>
      <w:tr w:rsidR="00393E77" w:rsidRPr="002B4516" w14:paraId="09118298" w14:textId="77777777" w:rsidTr="00267BB5">
        <w:trPr>
          <w:jc w:val="center"/>
        </w:trPr>
        <w:tc>
          <w:tcPr>
            <w:tcW w:w="1871" w:type="dxa"/>
            <w:vMerge/>
            <w:tcBorders>
              <w:left w:val="nil"/>
            </w:tcBorders>
          </w:tcPr>
          <w:p w14:paraId="2476EF8A" w14:textId="77777777" w:rsidR="00393E77" w:rsidRPr="002B4516" w:rsidRDefault="00393E77" w:rsidP="00267BB5">
            <w:pPr>
              <w:autoSpaceDE w:val="0"/>
              <w:autoSpaceDN w:val="0"/>
              <w:adjustRightInd w:val="0"/>
              <w:spacing w:after="0" w:line="240" w:lineRule="atLeast"/>
              <w:rPr>
                <w:b/>
                <w:sz w:val="20"/>
                <w:szCs w:val="20"/>
              </w:rPr>
            </w:pPr>
          </w:p>
        </w:tc>
        <w:tc>
          <w:tcPr>
            <w:tcW w:w="1871" w:type="dxa"/>
            <w:tcBorders>
              <w:bottom w:val="single" w:sz="4" w:space="0" w:color="auto"/>
            </w:tcBorders>
            <w:vAlign w:val="center"/>
          </w:tcPr>
          <w:p w14:paraId="01D037E9"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VARC Tier 1</w:t>
            </w:r>
          </w:p>
        </w:tc>
        <w:tc>
          <w:tcPr>
            <w:tcW w:w="1871" w:type="dxa"/>
            <w:tcBorders>
              <w:bottom w:val="single" w:sz="4" w:space="0" w:color="auto"/>
            </w:tcBorders>
            <w:vAlign w:val="center"/>
          </w:tcPr>
          <w:p w14:paraId="2BFD90A8" w14:textId="77777777" w:rsidR="00393E77" w:rsidRPr="002B4516" w:rsidRDefault="00393E77" w:rsidP="00267BB5">
            <w:pPr>
              <w:autoSpaceDE w:val="0"/>
              <w:autoSpaceDN w:val="0"/>
              <w:adjustRightInd w:val="0"/>
              <w:spacing w:after="0" w:line="240" w:lineRule="atLeast"/>
              <w:jc w:val="center"/>
              <w:rPr>
                <w:sz w:val="20"/>
                <w:szCs w:val="20"/>
              </w:rPr>
            </w:pPr>
            <w:r w:rsidRPr="002B4516">
              <w:rPr>
                <w:sz w:val="20"/>
                <w:szCs w:val="20"/>
              </w:rPr>
              <w:t>100%</w:t>
            </w:r>
          </w:p>
        </w:tc>
        <w:tc>
          <w:tcPr>
            <w:tcW w:w="1871" w:type="dxa"/>
            <w:tcBorders>
              <w:bottom w:val="single" w:sz="4" w:space="0" w:color="auto"/>
            </w:tcBorders>
            <w:vAlign w:val="center"/>
          </w:tcPr>
          <w:p w14:paraId="39A33A8D"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vMerge/>
            <w:tcBorders>
              <w:right w:val="nil"/>
            </w:tcBorders>
          </w:tcPr>
          <w:p w14:paraId="460A0292" w14:textId="77777777" w:rsidR="00393E77" w:rsidRPr="002B4516" w:rsidRDefault="00393E77" w:rsidP="00267BB5">
            <w:pPr>
              <w:autoSpaceDE w:val="0"/>
              <w:autoSpaceDN w:val="0"/>
              <w:adjustRightInd w:val="0"/>
              <w:spacing w:after="0" w:line="240" w:lineRule="atLeast"/>
              <w:rPr>
                <w:color w:val="0000FF"/>
                <w:sz w:val="20"/>
                <w:szCs w:val="20"/>
              </w:rPr>
            </w:pPr>
          </w:p>
        </w:tc>
      </w:tr>
      <w:tr w:rsidR="00393E77" w:rsidRPr="002B4516" w14:paraId="3E389E8F" w14:textId="77777777" w:rsidTr="00267BB5">
        <w:trPr>
          <w:jc w:val="center"/>
        </w:trPr>
        <w:tc>
          <w:tcPr>
            <w:tcW w:w="1871" w:type="dxa"/>
            <w:vMerge/>
            <w:tcBorders>
              <w:left w:val="nil"/>
              <w:bottom w:val="nil"/>
            </w:tcBorders>
          </w:tcPr>
          <w:p w14:paraId="7FCBB5BD" w14:textId="77777777" w:rsidR="00393E77" w:rsidRPr="002B4516" w:rsidRDefault="00393E77" w:rsidP="00267BB5">
            <w:pPr>
              <w:autoSpaceDE w:val="0"/>
              <w:autoSpaceDN w:val="0"/>
              <w:adjustRightInd w:val="0"/>
              <w:spacing w:after="0" w:line="240" w:lineRule="atLeast"/>
              <w:rPr>
                <w:b/>
                <w:sz w:val="20"/>
                <w:szCs w:val="20"/>
              </w:rPr>
            </w:pPr>
          </w:p>
        </w:tc>
        <w:tc>
          <w:tcPr>
            <w:tcW w:w="1871" w:type="dxa"/>
            <w:tcBorders>
              <w:bottom w:val="single" w:sz="4" w:space="0" w:color="auto"/>
            </w:tcBorders>
            <w:vAlign w:val="center"/>
          </w:tcPr>
          <w:p w14:paraId="45082086"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VARC Tier 2</w:t>
            </w:r>
          </w:p>
        </w:tc>
        <w:tc>
          <w:tcPr>
            <w:tcW w:w="1871" w:type="dxa"/>
            <w:tcBorders>
              <w:bottom w:val="single" w:sz="4" w:space="0" w:color="auto"/>
            </w:tcBorders>
            <w:vAlign w:val="center"/>
          </w:tcPr>
          <w:p w14:paraId="63D4A119" w14:textId="77777777" w:rsidR="00393E77" w:rsidRPr="002B4516" w:rsidRDefault="00393E77" w:rsidP="00267BB5">
            <w:pPr>
              <w:autoSpaceDE w:val="0"/>
              <w:autoSpaceDN w:val="0"/>
              <w:adjustRightInd w:val="0"/>
              <w:spacing w:after="0" w:line="240" w:lineRule="atLeast"/>
              <w:jc w:val="center"/>
              <w:rPr>
                <w:sz w:val="20"/>
                <w:szCs w:val="20"/>
              </w:rPr>
            </w:pPr>
            <w:r w:rsidRPr="00712B76">
              <w:rPr>
                <w:color w:val="0000FF"/>
                <w:sz w:val="20"/>
                <w:szCs w:val="20"/>
              </w:rPr>
              <w:t>[X]</w:t>
            </w:r>
          </w:p>
        </w:tc>
        <w:tc>
          <w:tcPr>
            <w:tcW w:w="1871" w:type="dxa"/>
            <w:tcBorders>
              <w:bottom w:val="single" w:sz="4" w:space="0" w:color="auto"/>
            </w:tcBorders>
            <w:vAlign w:val="center"/>
          </w:tcPr>
          <w:p w14:paraId="6F3535EA"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2B4516">
              <w:rPr>
                <w:color w:val="0000FF"/>
                <w:sz w:val="20"/>
                <w:szCs w:val="20"/>
              </w:rPr>
              <w:t xml:space="preserve">*% </w:t>
            </w:r>
          </w:p>
        </w:tc>
        <w:tc>
          <w:tcPr>
            <w:tcW w:w="1871" w:type="dxa"/>
            <w:vMerge/>
            <w:tcBorders>
              <w:bottom w:val="nil"/>
              <w:right w:val="nil"/>
            </w:tcBorders>
          </w:tcPr>
          <w:p w14:paraId="6762392F" w14:textId="77777777" w:rsidR="00393E77" w:rsidRPr="002B4516" w:rsidRDefault="00393E77" w:rsidP="00267BB5">
            <w:pPr>
              <w:autoSpaceDE w:val="0"/>
              <w:autoSpaceDN w:val="0"/>
              <w:adjustRightInd w:val="0"/>
              <w:spacing w:after="0" w:line="240" w:lineRule="atLeast"/>
              <w:rPr>
                <w:b/>
                <w:color w:val="0000FF"/>
                <w:sz w:val="20"/>
                <w:szCs w:val="20"/>
              </w:rPr>
            </w:pPr>
          </w:p>
        </w:tc>
      </w:tr>
      <w:tr w:rsidR="00393E77" w:rsidRPr="002B4516" w14:paraId="168ACCD3" w14:textId="77777777" w:rsidTr="00267BB5">
        <w:trPr>
          <w:jc w:val="center"/>
        </w:trPr>
        <w:tc>
          <w:tcPr>
            <w:tcW w:w="9355" w:type="dxa"/>
            <w:gridSpan w:val="5"/>
            <w:tcBorders>
              <w:top w:val="nil"/>
              <w:left w:val="nil"/>
              <w:bottom w:val="nil"/>
              <w:right w:val="nil"/>
            </w:tcBorders>
          </w:tcPr>
          <w:p w14:paraId="1D27AFAA" w14:textId="77777777" w:rsidR="00393E77" w:rsidRPr="002B4516" w:rsidRDefault="00393E77" w:rsidP="00267BB5">
            <w:pPr>
              <w:autoSpaceDE w:val="0"/>
              <w:autoSpaceDN w:val="0"/>
              <w:adjustRightInd w:val="0"/>
              <w:spacing w:after="0" w:line="240" w:lineRule="atLeast"/>
              <w:rPr>
                <w:b/>
                <w:color w:val="0000FF"/>
                <w:sz w:val="20"/>
                <w:szCs w:val="20"/>
              </w:rPr>
            </w:pPr>
          </w:p>
        </w:tc>
      </w:tr>
      <w:tr w:rsidR="00393E77" w:rsidRPr="002B4516" w14:paraId="08DFE4D6" w14:textId="77777777" w:rsidTr="00267BB5">
        <w:trPr>
          <w:jc w:val="center"/>
        </w:trPr>
        <w:tc>
          <w:tcPr>
            <w:tcW w:w="1871" w:type="dxa"/>
            <w:tcBorders>
              <w:top w:val="nil"/>
              <w:left w:val="nil"/>
              <w:bottom w:val="nil"/>
              <w:right w:val="nil"/>
            </w:tcBorders>
          </w:tcPr>
          <w:p w14:paraId="65E079BD" w14:textId="77777777" w:rsidR="00393E77" w:rsidRPr="002B4516" w:rsidRDefault="00393E77" w:rsidP="00267BB5">
            <w:pPr>
              <w:autoSpaceDE w:val="0"/>
              <w:autoSpaceDN w:val="0"/>
              <w:adjustRightInd w:val="0"/>
              <w:spacing w:after="0" w:line="240" w:lineRule="atLeast"/>
              <w:rPr>
                <w:sz w:val="20"/>
                <w:szCs w:val="20"/>
              </w:rPr>
            </w:pPr>
          </w:p>
        </w:tc>
        <w:tc>
          <w:tcPr>
            <w:tcW w:w="3742" w:type="dxa"/>
            <w:gridSpan w:val="2"/>
            <w:tcBorders>
              <w:top w:val="nil"/>
              <w:left w:val="nil"/>
              <w:bottom w:val="nil"/>
              <w:right w:val="nil"/>
            </w:tcBorders>
          </w:tcPr>
          <w:p w14:paraId="6FAB459D" w14:textId="4D71F6C5" w:rsidR="00393E77" w:rsidRPr="002B4516" w:rsidRDefault="00393E77" w:rsidP="00267BB5">
            <w:pPr>
              <w:autoSpaceDE w:val="0"/>
              <w:autoSpaceDN w:val="0"/>
              <w:adjustRightInd w:val="0"/>
              <w:spacing w:after="0" w:line="240" w:lineRule="atLeast"/>
              <w:jc w:val="right"/>
              <w:rPr>
                <w:b/>
                <w:sz w:val="20"/>
                <w:szCs w:val="20"/>
              </w:rPr>
            </w:pPr>
            <w:r w:rsidRPr="002B4516">
              <w:rPr>
                <w:b/>
                <w:sz w:val="20"/>
                <w:szCs w:val="20"/>
              </w:rPr>
              <w:t xml:space="preserve">Variable charges are subject to </w:t>
            </w:r>
            <w:r w:rsidR="00D700F7" w:rsidRPr="002B4516">
              <w:rPr>
                <w:b/>
                <w:sz w:val="20"/>
                <w:szCs w:val="20"/>
              </w:rPr>
              <w:t>escalation</w:t>
            </w:r>
            <w:r w:rsidRPr="002B4516">
              <w:rPr>
                <w:b/>
                <w:sz w:val="20"/>
                <w:szCs w:val="20"/>
              </w:rPr>
              <w:t xml:space="preserve"> by CPI Factor:</w:t>
            </w:r>
          </w:p>
        </w:tc>
        <w:tc>
          <w:tcPr>
            <w:tcW w:w="1871" w:type="dxa"/>
            <w:tcBorders>
              <w:top w:val="nil"/>
              <w:left w:val="nil"/>
              <w:bottom w:val="nil"/>
              <w:right w:val="nil"/>
            </w:tcBorders>
          </w:tcPr>
          <w:p w14:paraId="189A7ED7" w14:textId="77777777" w:rsidR="00393E77" w:rsidRPr="002B4516" w:rsidRDefault="00393E77" w:rsidP="00267BB5">
            <w:pPr>
              <w:autoSpaceDE w:val="0"/>
              <w:autoSpaceDN w:val="0"/>
              <w:adjustRightInd w:val="0"/>
              <w:spacing w:after="0" w:line="240" w:lineRule="atLeast"/>
              <w:rPr>
                <w:sz w:val="20"/>
                <w:szCs w:val="20"/>
              </w:rPr>
            </w:pPr>
            <w:r w:rsidRPr="00712B76">
              <w:rPr>
                <w:color w:val="0000FF"/>
                <w:sz w:val="20"/>
                <w:szCs w:val="20"/>
              </w:rPr>
              <w:t>[X]</w:t>
            </w:r>
          </w:p>
        </w:tc>
        <w:tc>
          <w:tcPr>
            <w:tcW w:w="1871" w:type="dxa"/>
            <w:tcBorders>
              <w:top w:val="nil"/>
              <w:left w:val="nil"/>
              <w:bottom w:val="nil"/>
              <w:right w:val="nil"/>
            </w:tcBorders>
          </w:tcPr>
          <w:p w14:paraId="7A00B9AC" w14:textId="77777777" w:rsidR="00393E77" w:rsidRPr="002B4516" w:rsidRDefault="00393E77" w:rsidP="00267BB5">
            <w:pPr>
              <w:autoSpaceDE w:val="0"/>
              <w:autoSpaceDN w:val="0"/>
              <w:adjustRightInd w:val="0"/>
              <w:spacing w:after="0" w:line="240" w:lineRule="atLeast"/>
              <w:rPr>
                <w:color w:val="0000FF"/>
                <w:sz w:val="20"/>
                <w:szCs w:val="20"/>
              </w:rPr>
            </w:pPr>
          </w:p>
        </w:tc>
      </w:tr>
      <w:tr w:rsidR="00393E77" w:rsidRPr="002B4516" w14:paraId="00F3B128" w14:textId="77777777" w:rsidTr="00267BB5">
        <w:trPr>
          <w:jc w:val="center"/>
        </w:trPr>
        <w:tc>
          <w:tcPr>
            <w:tcW w:w="9355" w:type="dxa"/>
            <w:gridSpan w:val="5"/>
            <w:tcBorders>
              <w:top w:val="nil"/>
              <w:left w:val="nil"/>
              <w:bottom w:val="nil"/>
              <w:right w:val="nil"/>
            </w:tcBorders>
          </w:tcPr>
          <w:p w14:paraId="105AA835" w14:textId="77777777" w:rsidR="00393E77" w:rsidRPr="002B4516" w:rsidRDefault="00393E77" w:rsidP="00267BB5">
            <w:pPr>
              <w:autoSpaceDE w:val="0"/>
              <w:autoSpaceDN w:val="0"/>
              <w:adjustRightInd w:val="0"/>
              <w:spacing w:after="0" w:line="240" w:lineRule="atLeast"/>
              <w:rPr>
                <w:b/>
                <w:color w:val="0000FF"/>
                <w:sz w:val="20"/>
                <w:szCs w:val="20"/>
              </w:rPr>
            </w:pPr>
          </w:p>
        </w:tc>
      </w:tr>
      <w:tr w:rsidR="00393E77" w:rsidRPr="002B4516" w14:paraId="7BC14364" w14:textId="77777777" w:rsidTr="00267BB5">
        <w:trPr>
          <w:jc w:val="center"/>
        </w:trPr>
        <w:tc>
          <w:tcPr>
            <w:tcW w:w="1871" w:type="dxa"/>
            <w:tcBorders>
              <w:top w:val="nil"/>
              <w:left w:val="nil"/>
              <w:bottom w:val="single" w:sz="4" w:space="0" w:color="auto"/>
              <w:right w:val="single" w:sz="4" w:space="0" w:color="auto"/>
            </w:tcBorders>
          </w:tcPr>
          <w:p w14:paraId="1FDFEBFA" w14:textId="77777777" w:rsidR="00393E77" w:rsidRPr="002B4516" w:rsidRDefault="00393E77" w:rsidP="00267BB5">
            <w:pPr>
              <w:autoSpaceDE w:val="0"/>
              <w:autoSpaceDN w:val="0"/>
              <w:adjustRightInd w:val="0"/>
              <w:spacing w:after="0" w:line="240" w:lineRule="atLeast"/>
              <w:jc w:val="center"/>
              <w:rPr>
                <w:b/>
                <w:sz w:val="20"/>
                <w:szCs w:val="20"/>
              </w:rPr>
            </w:pPr>
          </w:p>
        </w:tc>
        <w:tc>
          <w:tcPr>
            <w:tcW w:w="1871" w:type="dxa"/>
            <w:tcBorders>
              <w:top w:val="single" w:sz="4" w:space="0" w:color="auto"/>
              <w:left w:val="single" w:sz="4" w:space="0" w:color="auto"/>
            </w:tcBorders>
          </w:tcPr>
          <w:p w14:paraId="6C6CA23F"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Year</w:t>
            </w:r>
          </w:p>
        </w:tc>
        <w:tc>
          <w:tcPr>
            <w:tcW w:w="1871" w:type="dxa"/>
            <w:tcBorders>
              <w:top w:val="single" w:sz="4" w:space="0" w:color="auto"/>
            </w:tcBorders>
          </w:tcPr>
          <w:p w14:paraId="1E993AB8"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 xml:space="preserve">Variable O&amp;M </w:t>
            </w:r>
          </w:p>
          <w:p w14:paraId="776E6F65"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Charge ($/MWh)</w:t>
            </w:r>
          </w:p>
        </w:tc>
        <w:tc>
          <w:tcPr>
            <w:tcW w:w="1871" w:type="dxa"/>
            <w:tcBorders>
              <w:top w:val="single" w:sz="4" w:space="0" w:color="auto"/>
            </w:tcBorders>
          </w:tcPr>
          <w:p w14:paraId="62B46BA0"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VARC Tier 1 Charge ($/MWh)</w:t>
            </w:r>
          </w:p>
        </w:tc>
        <w:tc>
          <w:tcPr>
            <w:tcW w:w="1871" w:type="dxa"/>
            <w:tcBorders>
              <w:top w:val="single" w:sz="4" w:space="0" w:color="auto"/>
            </w:tcBorders>
          </w:tcPr>
          <w:p w14:paraId="3E91D5BB"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VARC Tier 2 Charge ($/MWh)</w:t>
            </w:r>
          </w:p>
        </w:tc>
      </w:tr>
      <w:tr w:rsidR="00393E77" w:rsidRPr="002B4516" w14:paraId="0FA8585C" w14:textId="77777777" w:rsidTr="00267BB5">
        <w:trPr>
          <w:trHeight w:val="80"/>
          <w:jc w:val="center"/>
        </w:trPr>
        <w:tc>
          <w:tcPr>
            <w:tcW w:w="1871" w:type="dxa"/>
            <w:tcBorders>
              <w:top w:val="single" w:sz="4" w:space="0" w:color="auto"/>
            </w:tcBorders>
          </w:tcPr>
          <w:p w14:paraId="40435913"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Base year (CPI Factor is equal to 1):</w:t>
            </w:r>
          </w:p>
        </w:tc>
        <w:tc>
          <w:tcPr>
            <w:tcW w:w="1871" w:type="dxa"/>
          </w:tcPr>
          <w:p w14:paraId="72BD1095"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5A32066F"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4C2DB627"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10B1CA3E"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2B4516">
              <w:rPr>
                <w:color w:val="0000FF"/>
                <w:sz w:val="20"/>
                <w:szCs w:val="20"/>
              </w:rPr>
              <w:t>[X]</w:t>
            </w:r>
          </w:p>
        </w:tc>
      </w:tr>
      <w:tr w:rsidR="00393E77" w:rsidRPr="002B4516" w14:paraId="69FE2C9F" w14:textId="77777777" w:rsidTr="00267BB5">
        <w:trPr>
          <w:jc w:val="center"/>
        </w:trPr>
        <w:tc>
          <w:tcPr>
            <w:tcW w:w="3742" w:type="dxa"/>
            <w:gridSpan w:val="2"/>
          </w:tcPr>
          <w:p w14:paraId="48527EDD"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Escalation by CPI Factor starting base year plus one:</w:t>
            </w:r>
          </w:p>
        </w:tc>
        <w:tc>
          <w:tcPr>
            <w:tcW w:w="1871" w:type="dxa"/>
          </w:tcPr>
          <w:p w14:paraId="1FD9BC07"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7F0F26EA"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0354DF10"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2B4516">
              <w:rPr>
                <w:color w:val="0000FF"/>
                <w:sz w:val="20"/>
                <w:szCs w:val="20"/>
              </w:rPr>
              <w:t>[X]</w:t>
            </w:r>
          </w:p>
        </w:tc>
      </w:tr>
      <w:tr w:rsidR="00393E77" w:rsidRPr="002B4516" w14:paraId="09AA5D8D" w14:textId="77777777" w:rsidTr="00267BB5">
        <w:trPr>
          <w:jc w:val="center"/>
        </w:trPr>
        <w:tc>
          <w:tcPr>
            <w:tcW w:w="7484" w:type="dxa"/>
            <w:gridSpan w:val="4"/>
            <w:tcBorders>
              <w:left w:val="nil"/>
              <w:right w:val="nil"/>
            </w:tcBorders>
          </w:tcPr>
          <w:p w14:paraId="5702B85D" w14:textId="77777777" w:rsidR="00393E77" w:rsidRPr="002B4516" w:rsidRDefault="00393E77" w:rsidP="00267BB5">
            <w:pPr>
              <w:autoSpaceDE w:val="0"/>
              <w:autoSpaceDN w:val="0"/>
              <w:adjustRightInd w:val="0"/>
              <w:spacing w:after="0" w:line="240" w:lineRule="atLeast"/>
              <w:rPr>
                <w:b/>
                <w:sz w:val="20"/>
                <w:szCs w:val="20"/>
              </w:rPr>
            </w:pPr>
          </w:p>
        </w:tc>
        <w:tc>
          <w:tcPr>
            <w:tcW w:w="1871" w:type="dxa"/>
            <w:tcBorders>
              <w:left w:val="nil"/>
              <w:right w:val="nil"/>
            </w:tcBorders>
          </w:tcPr>
          <w:p w14:paraId="1E67A825" w14:textId="77777777" w:rsidR="00393E77" w:rsidRPr="002B4516" w:rsidRDefault="00393E77" w:rsidP="00267BB5">
            <w:pPr>
              <w:autoSpaceDE w:val="0"/>
              <w:autoSpaceDN w:val="0"/>
              <w:adjustRightInd w:val="0"/>
              <w:spacing w:after="0" w:line="240" w:lineRule="atLeast"/>
              <w:rPr>
                <w:b/>
                <w:sz w:val="20"/>
                <w:szCs w:val="20"/>
              </w:rPr>
            </w:pPr>
          </w:p>
        </w:tc>
      </w:tr>
      <w:tr w:rsidR="00393E77" w:rsidRPr="002B4516" w14:paraId="55C88276" w14:textId="77777777" w:rsidTr="00267BB5">
        <w:trPr>
          <w:jc w:val="center"/>
        </w:trPr>
        <w:tc>
          <w:tcPr>
            <w:tcW w:w="1871" w:type="dxa"/>
          </w:tcPr>
          <w:p w14:paraId="67D38FFC" w14:textId="41569210"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 xml:space="preserve">Expected Initial Delivery Date and </w:t>
            </w:r>
            <w:r w:rsidR="00D700F7" w:rsidRPr="002B4516">
              <w:rPr>
                <w:b/>
                <w:sz w:val="20"/>
                <w:szCs w:val="20"/>
              </w:rPr>
              <w:t>Contract</w:t>
            </w:r>
            <w:r w:rsidRPr="002B4516">
              <w:rPr>
                <w:b/>
                <w:sz w:val="20"/>
                <w:szCs w:val="20"/>
              </w:rPr>
              <w:t xml:space="preserve"> Year Start Date</w:t>
            </w:r>
          </w:p>
        </w:tc>
        <w:tc>
          <w:tcPr>
            <w:tcW w:w="1871" w:type="dxa"/>
          </w:tcPr>
          <w:p w14:paraId="3A47A55E"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Contract Year End Date</w:t>
            </w:r>
          </w:p>
        </w:tc>
        <w:tc>
          <w:tcPr>
            <w:tcW w:w="1871" w:type="dxa"/>
          </w:tcPr>
          <w:p w14:paraId="699FD36C"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 xml:space="preserve">Variable O&amp;M </w:t>
            </w:r>
          </w:p>
          <w:p w14:paraId="337ED2FE"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Charge ($/MWh)</w:t>
            </w:r>
          </w:p>
        </w:tc>
        <w:tc>
          <w:tcPr>
            <w:tcW w:w="1871" w:type="dxa"/>
          </w:tcPr>
          <w:p w14:paraId="23711E4F" w14:textId="77777777" w:rsidR="00393E77" w:rsidRPr="002B4516" w:rsidRDefault="00393E77" w:rsidP="00267BB5">
            <w:pPr>
              <w:autoSpaceDE w:val="0"/>
              <w:autoSpaceDN w:val="0"/>
              <w:adjustRightInd w:val="0"/>
              <w:spacing w:after="0" w:line="240" w:lineRule="atLeast"/>
              <w:jc w:val="center"/>
              <w:rPr>
                <w:b/>
                <w:sz w:val="20"/>
                <w:szCs w:val="20"/>
              </w:rPr>
            </w:pPr>
            <w:r w:rsidRPr="002B4516">
              <w:rPr>
                <w:b/>
                <w:sz w:val="20"/>
                <w:szCs w:val="20"/>
              </w:rPr>
              <w:t>VARC Tier 1 Charge ($/MWh)</w:t>
            </w:r>
          </w:p>
        </w:tc>
        <w:tc>
          <w:tcPr>
            <w:tcW w:w="1871" w:type="dxa"/>
          </w:tcPr>
          <w:p w14:paraId="45A493D7" w14:textId="77777777" w:rsidR="00393E77" w:rsidRPr="002B4516" w:rsidRDefault="00393E77" w:rsidP="00267BB5">
            <w:pPr>
              <w:autoSpaceDE w:val="0"/>
              <w:autoSpaceDN w:val="0"/>
              <w:adjustRightInd w:val="0"/>
              <w:spacing w:after="0" w:line="240" w:lineRule="atLeast"/>
              <w:rPr>
                <w:b/>
                <w:sz w:val="20"/>
                <w:szCs w:val="20"/>
              </w:rPr>
            </w:pPr>
            <w:r w:rsidRPr="002B4516">
              <w:rPr>
                <w:b/>
                <w:sz w:val="20"/>
                <w:szCs w:val="20"/>
              </w:rPr>
              <w:t>VARC Tier 2 Charge ($/MWh)</w:t>
            </w:r>
          </w:p>
        </w:tc>
      </w:tr>
      <w:tr w:rsidR="00393E77" w:rsidRPr="002B4516" w14:paraId="2BB0CB7F" w14:textId="77777777" w:rsidTr="00267BB5">
        <w:trPr>
          <w:jc w:val="center"/>
        </w:trPr>
        <w:tc>
          <w:tcPr>
            <w:tcW w:w="1871" w:type="dxa"/>
          </w:tcPr>
          <w:p w14:paraId="0841BD2A"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[01/01/2000]</w:t>
            </w:r>
          </w:p>
        </w:tc>
        <w:tc>
          <w:tcPr>
            <w:tcW w:w="1871" w:type="dxa"/>
          </w:tcPr>
          <w:p w14:paraId="5D02B4FF"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[12/31/2000]</w:t>
            </w:r>
          </w:p>
        </w:tc>
        <w:tc>
          <w:tcPr>
            <w:tcW w:w="1871" w:type="dxa"/>
          </w:tcPr>
          <w:p w14:paraId="4BE67214"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62B34221"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11FCD62A"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2B4516">
              <w:rPr>
                <w:color w:val="0000FF"/>
                <w:sz w:val="20"/>
                <w:szCs w:val="20"/>
              </w:rPr>
              <w:t>[X]</w:t>
            </w:r>
          </w:p>
        </w:tc>
      </w:tr>
      <w:tr w:rsidR="00393E77" w:rsidRPr="002B4516" w14:paraId="0C587EED" w14:textId="77777777" w:rsidTr="00267BB5">
        <w:trPr>
          <w:jc w:val="center"/>
        </w:trPr>
        <w:tc>
          <w:tcPr>
            <w:tcW w:w="1871" w:type="dxa"/>
          </w:tcPr>
          <w:p w14:paraId="387B907E"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[01/01/200</w:t>
            </w:r>
            <w:r>
              <w:rPr>
                <w:color w:val="0000FF"/>
                <w:sz w:val="20"/>
                <w:szCs w:val="20"/>
              </w:rPr>
              <w:t>1</w:t>
            </w:r>
            <w:r w:rsidRPr="002B4516">
              <w:rPr>
                <w:color w:val="0000FF"/>
                <w:sz w:val="20"/>
                <w:szCs w:val="20"/>
              </w:rPr>
              <w:t>]</w:t>
            </w:r>
          </w:p>
        </w:tc>
        <w:tc>
          <w:tcPr>
            <w:tcW w:w="1871" w:type="dxa"/>
          </w:tcPr>
          <w:p w14:paraId="776304F1"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[12/31/200</w:t>
            </w:r>
            <w:r>
              <w:rPr>
                <w:color w:val="0000FF"/>
                <w:sz w:val="20"/>
                <w:szCs w:val="20"/>
              </w:rPr>
              <w:t>1</w:t>
            </w:r>
            <w:r w:rsidRPr="002B4516">
              <w:rPr>
                <w:color w:val="0000FF"/>
                <w:sz w:val="20"/>
                <w:szCs w:val="20"/>
              </w:rPr>
              <w:t>]</w:t>
            </w:r>
          </w:p>
        </w:tc>
        <w:tc>
          <w:tcPr>
            <w:tcW w:w="1871" w:type="dxa"/>
          </w:tcPr>
          <w:p w14:paraId="2CC18338"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16D3C3F4"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55111B7D"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2B4516">
              <w:rPr>
                <w:color w:val="0000FF"/>
                <w:sz w:val="20"/>
                <w:szCs w:val="20"/>
              </w:rPr>
              <w:t>[X]</w:t>
            </w:r>
          </w:p>
        </w:tc>
      </w:tr>
      <w:tr w:rsidR="00393E77" w:rsidRPr="002B4516" w14:paraId="7004097B" w14:textId="77777777" w:rsidTr="00267BB5">
        <w:trPr>
          <w:jc w:val="center"/>
        </w:trPr>
        <w:tc>
          <w:tcPr>
            <w:tcW w:w="1871" w:type="dxa"/>
          </w:tcPr>
          <w:p w14:paraId="3A0A0EE2"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[01/01/200</w:t>
            </w:r>
            <w:r>
              <w:rPr>
                <w:color w:val="0000FF"/>
                <w:sz w:val="20"/>
                <w:szCs w:val="20"/>
              </w:rPr>
              <w:t>2</w:t>
            </w:r>
            <w:r w:rsidRPr="002B4516">
              <w:rPr>
                <w:color w:val="0000FF"/>
                <w:sz w:val="20"/>
                <w:szCs w:val="20"/>
              </w:rPr>
              <w:t>]</w:t>
            </w:r>
          </w:p>
        </w:tc>
        <w:tc>
          <w:tcPr>
            <w:tcW w:w="1871" w:type="dxa"/>
          </w:tcPr>
          <w:p w14:paraId="2EE9C434"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[12/31/200</w:t>
            </w:r>
            <w:r>
              <w:rPr>
                <w:color w:val="0000FF"/>
                <w:sz w:val="20"/>
                <w:szCs w:val="20"/>
              </w:rPr>
              <w:t>2</w:t>
            </w:r>
            <w:r w:rsidRPr="002B4516">
              <w:rPr>
                <w:color w:val="0000FF"/>
                <w:sz w:val="20"/>
                <w:szCs w:val="20"/>
              </w:rPr>
              <w:t>]</w:t>
            </w:r>
          </w:p>
        </w:tc>
        <w:tc>
          <w:tcPr>
            <w:tcW w:w="1871" w:type="dxa"/>
          </w:tcPr>
          <w:p w14:paraId="5918B909"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247F6650" w14:textId="77777777" w:rsidR="00393E77" w:rsidRPr="002B4516" w:rsidRDefault="00393E77" w:rsidP="00267BB5">
            <w:pPr>
              <w:autoSpaceDE w:val="0"/>
              <w:autoSpaceDN w:val="0"/>
              <w:adjustRightInd w:val="0"/>
              <w:spacing w:after="0" w:line="240" w:lineRule="atLeast"/>
              <w:jc w:val="center"/>
              <w:rPr>
                <w:sz w:val="20"/>
                <w:szCs w:val="20"/>
              </w:rPr>
            </w:pPr>
            <w:r w:rsidRPr="002B4516">
              <w:rPr>
                <w:color w:val="0000FF"/>
                <w:sz w:val="20"/>
                <w:szCs w:val="20"/>
              </w:rPr>
              <w:t>[X]</w:t>
            </w:r>
          </w:p>
        </w:tc>
        <w:tc>
          <w:tcPr>
            <w:tcW w:w="1871" w:type="dxa"/>
          </w:tcPr>
          <w:p w14:paraId="4684CEF3"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2B4516">
              <w:rPr>
                <w:color w:val="0000FF"/>
                <w:sz w:val="20"/>
                <w:szCs w:val="20"/>
              </w:rPr>
              <w:t>[X]</w:t>
            </w:r>
          </w:p>
        </w:tc>
      </w:tr>
      <w:tr w:rsidR="00393E77" w:rsidRPr="002B4516" w14:paraId="2F0952E3" w14:textId="77777777" w:rsidTr="00267BB5">
        <w:trPr>
          <w:jc w:val="center"/>
        </w:trPr>
        <w:tc>
          <w:tcPr>
            <w:tcW w:w="1871" w:type="dxa"/>
          </w:tcPr>
          <w:p w14:paraId="65EC9F47"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03</w:t>
            </w:r>
            <w:r w:rsidRPr="00712B76">
              <w:rPr>
                <w:color w:val="0000FF"/>
                <w:sz w:val="20"/>
                <w:szCs w:val="20"/>
              </w:rPr>
              <w:t>]</w:t>
            </w:r>
          </w:p>
        </w:tc>
        <w:tc>
          <w:tcPr>
            <w:tcW w:w="1871" w:type="dxa"/>
          </w:tcPr>
          <w:p w14:paraId="41A760B4"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/31/2003</w:t>
            </w:r>
            <w:r w:rsidRPr="00712B76">
              <w:rPr>
                <w:color w:val="0000FF"/>
                <w:sz w:val="20"/>
                <w:szCs w:val="20"/>
              </w:rPr>
              <w:t>]</w:t>
            </w:r>
          </w:p>
        </w:tc>
        <w:tc>
          <w:tcPr>
            <w:tcW w:w="1871" w:type="dxa"/>
          </w:tcPr>
          <w:p w14:paraId="4D35A12C"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1D74EF47"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2A0C258D"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449F61E9" w14:textId="77777777" w:rsidTr="00267BB5">
        <w:trPr>
          <w:jc w:val="center"/>
        </w:trPr>
        <w:tc>
          <w:tcPr>
            <w:tcW w:w="1871" w:type="dxa"/>
          </w:tcPr>
          <w:p w14:paraId="13BD9EF1"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04</w:t>
            </w:r>
            <w:r w:rsidRPr="00712B76">
              <w:rPr>
                <w:color w:val="0000FF"/>
                <w:sz w:val="20"/>
                <w:szCs w:val="20"/>
              </w:rPr>
              <w:t>]</w:t>
            </w:r>
          </w:p>
        </w:tc>
        <w:tc>
          <w:tcPr>
            <w:tcW w:w="1871" w:type="dxa"/>
          </w:tcPr>
          <w:p w14:paraId="6C873A2C"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/31/2004</w:t>
            </w:r>
            <w:r w:rsidRPr="00712B76">
              <w:rPr>
                <w:color w:val="0000FF"/>
                <w:sz w:val="20"/>
                <w:szCs w:val="20"/>
              </w:rPr>
              <w:t>]</w:t>
            </w:r>
          </w:p>
        </w:tc>
        <w:tc>
          <w:tcPr>
            <w:tcW w:w="1871" w:type="dxa"/>
          </w:tcPr>
          <w:p w14:paraId="1ACF93C9"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28654BC8"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5118EF41"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3178CF9E" w14:textId="77777777" w:rsidTr="00267BB5">
        <w:trPr>
          <w:jc w:val="center"/>
        </w:trPr>
        <w:tc>
          <w:tcPr>
            <w:tcW w:w="1871" w:type="dxa"/>
          </w:tcPr>
          <w:p w14:paraId="317C048F"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05</w:t>
            </w:r>
            <w:r w:rsidRPr="00712B76">
              <w:rPr>
                <w:color w:val="0000FF"/>
                <w:sz w:val="20"/>
                <w:szCs w:val="20"/>
              </w:rPr>
              <w:t>]</w:t>
            </w:r>
          </w:p>
        </w:tc>
        <w:tc>
          <w:tcPr>
            <w:tcW w:w="1871" w:type="dxa"/>
          </w:tcPr>
          <w:p w14:paraId="7DC79E6A"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/31/2005</w:t>
            </w:r>
            <w:r w:rsidRPr="00712B76">
              <w:rPr>
                <w:color w:val="0000FF"/>
                <w:sz w:val="20"/>
                <w:szCs w:val="20"/>
              </w:rPr>
              <w:t>]</w:t>
            </w:r>
          </w:p>
        </w:tc>
        <w:tc>
          <w:tcPr>
            <w:tcW w:w="1871" w:type="dxa"/>
          </w:tcPr>
          <w:p w14:paraId="6E1538BF"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3F2EFB7C"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0872A6E2"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245A393C" w14:textId="77777777" w:rsidTr="00267BB5">
        <w:trPr>
          <w:jc w:val="center"/>
        </w:trPr>
        <w:tc>
          <w:tcPr>
            <w:tcW w:w="1871" w:type="dxa"/>
          </w:tcPr>
          <w:p w14:paraId="02C1BDFD"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06</w:t>
            </w:r>
            <w:r w:rsidRPr="00712B76">
              <w:rPr>
                <w:color w:val="0000FF"/>
                <w:sz w:val="20"/>
                <w:szCs w:val="20"/>
              </w:rPr>
              <w:t>]</w:t>
            </w:r>
          </w:p>
        </w:tc>
        <w:tc>
          <w:tcPr>
            <w:tcW w:w="1871" w:type="dxa"/>
          </w:tcPr>
          <w:p w14:paraId="5DA2415D"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/31/2006</w:t>
            </w:r>
            <w:r w:rsidRPr="00712B76">
              <w:rPr>
                <w:color w:val="0000FF"/>
                <w:sz w:val="20"/>
                <w:szCs w:val="20"/>
              </w:rPr>
              <w:t>]</w:t>
            </w:r>
          </w:p>
        </w:tc>
        <w:tc>
          <w:tcPr>
            <w:tcW w:w="1871" w:type="dxa"/>
          </w:tcPr>
          <w:p w14:paraId="34B27E4E"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3EA447EF"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3F686E3F"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51C16B1D" w14:textId="77777777" w:rsidTr="00267BB5">
        <w:trPr>
          <w:jc w:val="center"/>
        </w:trPr>
        <w:tc>
          <w:tcPr>
            <w:tcW w:w="1871" w:type="dxa"/>
          </w:tcPr>
          <w:p w14:paraId="34527E2D"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07</w:t>
            </w:r>
            <w:r w:rsidRPr="00712B76">
              <w:rPr>
                <w:color w:val="0000FF"/>
                <w:sz w:val="20"/>
                <w:szCs w:val="20"/>
              </w:rPr>
              <w:t>]</w:t>
            </w:r>
          </w:p>
        </w:tc>
        <w:tc>
          <w:tcPr>
            <w:tcW w:w="1871" w:type="dxa"/>
          </w:tcPr>
          <w:p w14:paraId="5BBF53D8"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/31/2007</w:t>
            </w:r>
            <w:r w:rsidRPr="00712B76">
              <w:rPr>
                <w:color w:val="0000FF"/>
                <w:sz w:val="20"/>
                <w:szCs w:val="20"/>
              </w:rPr>
              <w:t>]</w:t>
            </w:r>
          </w:p>
        </w:tc>
        <w:tc>
          <w:tcPr>
            <w:tcW w:w="1871" w:type="dxa"/>
          </w:tcPr>
          <w:p w14:paraId="56007AF5"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6B79DBA6"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3CEC568E"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358401FD" w14:textId="77777777" w:rsidTr="00267BB5">
        <w:trPr>
          <w:jc w:val="center"/>
        </w:trPr>
        <w:tc>
          <w:tcPr>
            <w:tcW w:w="1871" w:type="dxa"/>
          </w:tcPr>
          <w:p w14:paraId="04371619"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08</w:t>
            </w:r>
            <w:r w:rsidRPr="00712B76">
              <w:rPr>
                <w:color w:val="0000FF"/>
                <w:sz w:val="20"/>
                <w:szCs w:val="20"/>
              </w:rPr>
              <w:t>]</w:t>
            </w:r>
          </w:p>
        </w:tc>
        <w:tc>
          <w:tcPr>
            <w:tcW w:w="1871" w:type="dxa"/>
          </w:tcPr>
          <w:p w14:paraId="50577966"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/31/2008</w:t>
            </w:r>
            <w:r w:rsidRPr="00712B76">
              <w:rPr>
                <w:color w:val="0000FF"/>
                <w:sz w:val="20"/>
                <w:szCs w:val="20"/>
              </w:rPr>
              <w:t>]</w:t>
            </w:r>
          </w:p>
        </w:tc>
        <w:tc>
          <w:tcPr>
            <w:tcW w:w="1871" w:type="dxa"/>
          </w:tcPr>
          <w:p w14:paraId="46D9205C"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12BB4F41"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36DC1E52"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6FEB3936" w14:textId="77777777" w:rsidTr="00267BB5">
        <w:trPr>
          <w:jc w:val="center"/>
        </w:trPr>
        <w:tc>
          <w:tcPr>
            <w:tcW w:w="1871" w:type="dxa"/>
          </w:tcPr>
          <w:p w14:paraId="244D045A"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09</w:t>
            </w:r>
            <w:r w:rsidRPr="00712B76">
              <w:rPr>
                <w:color w:val="0000FF"/>
                <w:sz w:val="20"/>
                <w:szCs w:val="20"/>
              </w:rPr>
              <w:t>]</w:t>
            </w:r>
          </w:p>
        </w:tc>
        <w:tc>
          <w:tcPr>
            <w:tcW w:w="1871" w:type="dxa"/>
          </w:tcPr>
          <w:p w14:paraId="39ACC870"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/31/2009</w:t>
            </w:r>
            <w:r w:rsidRPr="00712B76">
              <w:rPr>
                <w:color w:val="0000FF"/>
                <w:sz w:val="20"/>
                <w:szCs w:val="20"/>
              </w:rPr>
              <w:t>]</w:t>
            </w:r>
          </w:p>
        </w:tc>
        <w:tc>
          <w:tcPr>
            <w:tcW w:w="1871" w:type="dxa"/>
          </w:tcPr>
          <w:p w14:paraId="34923F10"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698A2280"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735A7298"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3E83C622" w14:textId="77777777" w:rsidTr="00267BB5">
        <w:trPr>
          <w:jc w:val="center"/>
        </w:trPr>
        <w:tc>
          <w:tcPr>
            <w:tcW w:w="1871" w:type="dxa"/>
          </w:tcPr>
          <w:p w14:paraId="2DFEC088"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[01/01/20</w:t>
            </w:r>
            <w:r>
              <w:rPr>
                <w:color w:val="0000FF"/>
                <w:sz w:val="20"/>
                <w:szCs w:val="20"/>
              </w:rPr>
              <w:t>10</w:t>
            </w:r>
            <w:r w:rsidRPr="00712B76">
              <w:rPr>
                <w:color w:val="0000FF"/>
                <w:sz w:val="20"/>
                <w:szCs w:val="20"/>
              </w:rPr>
              <w:t>]</w:t>
            </w:r>
          </w:p>
        </w:tc>
        <w:tc>
          <w:tcPr>
            <w:tcW w:w="1871" w:type="dxa"/>
          </w:tcPr>
          <w:p w14:paraId="212CFB3F"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/31/2010</w:t>
            </w:r>
            <w:r w:rsidRPr="00712B76">
              <w:rPr>
                <w:color w:val="0000FF"/>
                <w:sz w:val="20"/>
                <w:szCs w:val="20"/>
              </w:rPr>
              <w:t>]</w:t>
            </w:r>
          </w:p>
        </w:tc>
        <w:tc>
          <w:tcPr>
            <w:tcW w:w="1871" w:type="dxa"/>
          </w:tcPr>
          <w:p w14:paraId="55AF718F"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46A45457"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29445BD5"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60FB24AD" w14:textId="77777777" w:rsidTr="00267BB5">
        <w:trPr>
          <w:jc w:val="center"/>
        </w:trPr>
        <w:tc>
          <w:tcPr>
            <w:tcW w:w="1871" w:type="dxa"/>
          </w:tcPr>
          <w:p w14:paraId="6054D254"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lastRenderedPageBreak/>
              <w:t>[01/01/20</w:t>
            </w:r>
            <w:r>
              <w:rPr>
                <w:color w:val="0000FF"/>
                <w:sz w:val="20"/>
                <w:szCs w:val="20"/>
              </w:rPr>
              <w:t>11</w:t>
            </w:r>
            <w:r w:rsidRPr="00712B76">
              <w:rPr>
                <w:color w:val="0000FF"/>
                <w:sz w:val="20"/>
                <w:szCs w:val="20"/>
              </w:rPr>
              <w:t>]</w:t>
            </w:r>
          </w:p>
        </w:tc>
        <w:tc>
          <w:tcPr>
            <w:tcW w:w="1871" w:type="dxa"/>
          </w:tcPr>
          <w:p w14:paraId="3115C166"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[12</w:t>
            </w:r>
            <w:r>
              <w:rPr>
                <w:color w:val="0000FF"/>
                <w:sz w:val="20"/>
                <w:szCs w:val="20"/>
              </w:rPr>
              <w:t>/31/2011</w:t>
            </w:r>
            <w:r w:rsidRPr="00712B76">
              <w:rPr>
                <w:color w:val="0000FF"/>
                <w:sz w:val="20"/>
                <w:szCs w:val="20"/>
              </w:rPr>
              <w:t>]</w:t>
            </w:r>
          </w:p>
        </w:tc>
        <w:tc>
          <w:tcPr>
            <w:tcW w:w="1871" w:type="dxa"/>
          </w:tcPr>
          <w:p w14:paraId="2AA93A93"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3938EF0C"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c>
          <w:tcPr>
            <w:tcW w:w="1871" w:type="dxa"/>
          </w:tcPr>
          <w:p w14:paraId="58376A70" w14:textId="77777777" w:rsidR="00393E77" w:rsidRPr="002B4516" w:rsidRDefault="00393E77" w:rsidP="00267BB5">
            <w:pPr>
              <w:autoSpaceDE w:val="0"/>
              <w:autoSpaceDN w:val="0"/>
              <w:adjustRightInd w:val="0"/>
              <w:spacing w:after="0" w:line="240" w:lineRule="atLeast"/>
              <w:jc w:val="center"/>
              <w:rPr>
                <w:color w:val="0000FF"/>
                <w:sz w:val="20"/>
                <w:szCs w:val="20"/>
              </w:rPr>
            </w:pPr>
            <w:r w:rsidRPr="00712B76">
              <w:rPr>
                <w:color w:val="0000FF"/>
                <w:sz w:val="20"/>
                <w:szCs w:val="20"/>
              </w:rPr>
              <w:t>[X]</w:t>
            </w:r>
          </w:p>
        </w:tc>
      </w:tr>
      <w:tr w:rsidR="00393E77" w:rsidRPr="002B4516" w14:paraId="657C0AA4" w14:textId="77777777" w:rsidTr="00267BB5">
        <w:trPr>
          <w:trHeight w:val="125"/>
          <w:jc w:val="center"/>
        </w:trPr>
        <w:tc>
          <w:tcPr>
            <w:tcW w:w="7484" w:type="dxa"/>
            <w:gridSpan w:val="4"/>
            <w:tcBorders>
              <w:left w:val="nil"/>
              <w:right w:val="nil"/>
            </w:tcBorders>
          </w:tcPr>
          <w:p w14:paraId="1DBAE075" w14:textId="77777777" w:rsidR="00393E77" w:rsidRPr="002B4516" w:rsidRDefault="00393E77" w:rsidP="00267BB5">
            <w:pPr>
              <w:autoSpaceDE w:val="0"/>
              <w:autoSpaceDN w:val="0"/>
              <w:adjustRightInd w:val="0"/>
              <w:spacing w:after="0" w:line="240" w:lineRule="atLeast"/>
              <w:rPr>
                <w:b/>
                <w:sz w:val="20"/>
                <w:szCs w:val="20"/>
              </w:rPr>
            </w:pPr>
          </w:p>
        </w:tc>
        <w:tc>
          <w:tcPr>
            <w:tcW w:w="1871" w:type="dxa"/>
            <w:tcBorders>
              <w:left w:val="nil"/>
              <w:right w:val="nil"/>
            </w:tcBorders>
          </w:tcPr>
          <w:p w14:paraId="2541B9A7" w14:textId="77777777" w:rsidR="00393E77" w:rsidRPr="002B4516" w:rsidRDefault="00393E77" w:rsidP="00267BB5">
            <w:pPr>
              <w:autoSpaceDE w:val="0"/>
              <w:autoSpaceDN w:val="0"/>
              <w:adjustRightInd w:val="0"/>
              <w:spacing w:after="0" w:line="240" w:lineRule="atLeast"/>
              <w:rPr>
                <w:b/>
                <w:sz w:val="20"/>
                <w:szCs w:val="20"/>
              </w:rPr>
            </w:pPr>
          </w:p>
        </w:tc>
      </w:tr>
      <w:tr w:rsidR="00393E77" w:rsidRPr="002B4516" w14:paraId="403E6FCC" w14:textId="77777777" w:rsidTr="00267BB5">
        <w:trPr>
          <w:jc w:val="center"/>
        </w:trPr>
        <w:tc>
          <w:tcPr>
            <w:tcW w:w="9355" w:type="dxa"/>
            <w:gridSpan w:val="5"/>
            <w:shd w:val="clear" w:color="auto" w:fill="92D050"/>
          </w:tcPr>
          <w:p w14:paraId="62B120A6" w14:textId="77777777" w:rsidR="00393E77" w:rsidRPr="002B4516" w:rsidDel="00770902" w:rsidRDefault="00393E77" w:rsidP="00267BB5">
            <w:pPr>
              <w:autoSpaceDE w:val="0"/>
              <w:autoSpaceDN w:val="0"/>
              <w:adjustRightInd w:val="0"/>
              <w:spacing w:after="0" w:line="240" w:lineRule="atLeast"/>
              <w:rPr>
                <w:b/>
                <w:sz w:val="20"/>
                <w:szCs w:val="20"/>
              </w:rPr>
            </w:pPr>
          </w:p>
        </w:tc>
      </w:tr>
    </w:tbl>
    <w:p w14:paraId="3653C9BD" w14:textId="77777777" w:rsidR="00393E77" w:rsidRDefault="00393E77" w:rsidP="00393E77">
      <w:pPr>
        <w:rPr>
          <w:b/>
        </w:rPr>
      </w:pPr>
    </w:p>
    <w:p w14:paraId="476F2F53" w14:textId="77777777" w:rsidR="00393E77" w:rsidRDefault="00393E77" w:rsidP="00393E77">
      <w:pPr>
        <w:spacing w:before="100" w:after="100"/>
        <w:jc w:val="center"/>
        <w:rPr>
          <w:u w:val="single"/>
        </w:rPr>
      </w:pPr>
      <w:r>
        <w:rPr>
          <w:i/>
          <w:iCs/>
        </w:rPr>
        <w:t>*** End of EXHIBIT G ***</w:t>
      </w:r>
    </w:p>
    <w:p w14:paraId="0F7770ED" w14:textId="77777777" w:rsidR="00393E77" w:rsidRDefault="00393E77" w:rsidP="00393E77"/>
    <w:p w14:paraId="48DB7657" w14:textId="77777777" w:rsidR="00393E77" w:rsidRDefault="00393E77" w:rsidP="007D1833">
      <w:pPr>
        <w:spacing w:after="0"/>
        <w:jc w:val="center"/>
        <w:rPr>
          <w:b/>
        </w:rPr>
        <w:sectPr w:rsidR="00393E77">
          <w:footerReference w:type="default" r:id="rId33"/>
          <w:pgSz w:w="12240" w:h="15840"/>
          <w:pgMar w:top="1440" w:right="1440" w:bottom="1440" w:left="1440" w:header="720" w:footer="720" w:gutter="0"/>
          <w:pgNumType w:start="1"/>
          <w:cols w:space="720"/>
          <w:docGrid w:linePitch="360"/>
        </w:sectPr>
      </w:pPr>
    </w:p>
    <w:p w14:paraId="62676785" w14:textId="4EA243A5" w:rsidR="006B1090" w:rsidRPr="0027789B" w:rsidRDefault="006B1090" w:rsidP="007D1833">
      <w:pPr>
        <w:spacing w:after="0"/>
        <w:jc w:val="center"/>
        <w:rPr>
          <w:b/>
        </w:rPr>
      </w:pPr>
      <w:r w:rsidRPr="0027789B">
        <w:rPr>
          <w:b/>
        </w:rPr>
        <w:lastRenderedPageBreak/>
        <w:t xml:space="preserve">EXHIBIT </w:t>
      </w:r>
      <w:bookmarkEnd w:id="637"/>
      <w:bookmarkEnd w:id="638"/>
      <w:bookmarkEnd w:id="639"/>
      <w:r w:rsidR="00393E77">
        <w:rPr>
          <w:b/>
        </w:rPr>
        <w:t>H</w:t>
      </w:r>
    </w:p>
    <w:p w14:paraId="33FB54A6" w14:textId="77777777" w:rsidR="006B1090" w:rsidRPr="0027789B" w:rsidRDefault="006B1090" w:rsidP="006B1090">
      <w:pPr>
        <w:spacing w:after="0"/>
        <w:jc w:val="center"/>
        <w:rPr>
          <w:b/>
        </w:rPr>
      </w:pPr>
      <w:bookmarkStart w:id="640" w:name="_Toc364783636"/>
      <w:bookmarkStart w:id="641" w:name="_Toc366241189"/>
      <w:bookmarkStart w:id="642" w:name="_Toc366249622"/>
      <w:r w:rsidRPr="0027789B">
        <w:rPr>
          <w:b/>
        </w:rPr>
        <w:t>MILESTONE SCHEDULE</w:t>
      </w:r>
      <w:bookmarkEnd w:id="640"/>
      <w:bookmarkEnd w:id="641"/>
      <w:bookmarkEnd w:id="642"/>
    </w:p>
    <w:p w14:paraId="4BEB3D65" w14:textId="77777777" w:rsidR="006B1090" w:rsidRPr="00DB7FE0" w:rsidRDefault="006B1090" w:rsidP="006B1090">
      <w:pPr>
        <w:jc w:val="center"/>
        <w:rPr>
          <w:i/>
        </w:rPr>
      </w:pPr>
      <w:r w:rsidRPr="00DB7FE0">
        <w:rPr>
          <w:i/>
          <w:color w:val="0000FF"/>
        </w:rPr>
        <w:t>[SCE Note: Exhibit is subject to modification for technology specific differences]</w:t>
      </w:r>
    </w:p>
    <w:p w14:paraId="1A9F2469" w14:textId="77777777" w:rsidR="006B1090" w:rsidRPr="0027789B" w:rsidRDefault="006B1090" w:rsidP="006B1090">
      <w:pPr>
        <w:pStyle w:val="AppendixHeading"/>
        <w:spacing w:after="120"/>
        <w:rPr>
          <w:b w:val="0"/>
        </w:rPr>
      </w:pPr>
    </w:p>
    <w:p w14:paraId="66448604" w14:textId="77777777" w:rsidR="006B1090" w:rsidRPr="0027789B" w:rsidRDefault="006B1090" w:rsidP="006B1090">
      <w:pPr>
        <w:pStyle w:val="Title"/>
        <w:keepNext w:val="0"/>
        <w:keepLines w:val="0"/>
        <w:spacing w:after="240"/>
        <w:rPr>
          <w:smallCaps w:val="0"/>
          <w:szCs w:val="22"/>
        </w:rPr>
      </w:pPr>
      <w:r w:rsidRPr="0027789B">
        <w:rPr>
          <w:smallCaps w:val="0"/>
          <w:szCs w:val="22"/>
        </w:rPr>
        <w:t xml:space="preserve">– Project Schedule – </w:t>
      </w:r>
    </w:p>
    <w:p w14:paraId="6DD6384B" w14:textId="77777777" w:rsidR="006B1090" w:rsidRPr="0027789B" w:rsidRDefault="006B1090" w:rsidP="006B1090">
      <w:r w:rsidRPr="0027789B">
        <w:t>Seller has provided dates for development, construction, commissioning, and testing of the Project, showing all significant elements and milestones, as applicable, such as permitting, procurement, financing, engineering, acceptance testing, Seller’s Expected Initial Delivery Date, and proposed Delivery Period.</w:t>
      </w:r>
    </w:p>
    <w:p w14:paraId="4E3A8437" w14:textId="77777777" w:rsidR="006B1090" w:rsidRPr="00DB7FE0" w:rsidRDefault="006B1090" w:rsidP="006B1090">
      <w:pPr>
        <w:jc w:val="center"/>
        <w:rPr>
          <w:b/>
          <w:color w:val="0000FF"/>
        </w:rPr>
      </w:pPr>
      <w:r w:rsidRPr="00DB7FE0">
        <w:rPr>
          <w:b/>
          <w:i/>
          <w:color w:val="0000FF"/>
        </w:rPr>
        <w:t>[SCE Comment: This list is illustrative only. Seller to insert project specific list]</w:t>
      </w:r>
    </w:p>
    <w:tbl>
      <w:tblPr>
        <w:tblW w:w="89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76"/>
        <w:gridCol w:w="2070"/>
        <w:gridCol w:w="5482"/>
      </w:tblGrid>
      <w:tr w:rsidR="006B1090" w:rsidRPr="0027789B" w14:paraId="4EF467EB" w14:textId="77777777" w:rsidTr="00CB0170">
        <w:trPr>
          <w:trHeight w:val="288"/>
          <w:tblHeader/>
          <w:jc w:val="center"/>
        </w:trPr>
        <w:tc>
          <w:tcPr>
            <w:tcW w:w="0" w:type="auto"/>
            <w:tcBorders>
              <w:top w:val="single" w:sz="12" w:space="0" w:color="000000"/>
              <w:bottom w:val="single" w:sz="12" w:space="0" w:color="000000"/>
            </w:tcBorders>
            <w:vAlign w:val="center"/>
          </w:tcPr>
          <w:p w14:paraId="35EF0C45" w14:textId="77777777" w:rsidR="006B1090" w:rsidRPr="0027789B" w:rsidRDefault="006B1090" w:rsidP="00CB0170">
            <w:pPr>
              <w:ind w:left="36"/>
              <w:jc w:val="center"/>
              <w:rPr>
                <w:iCs/>
                <w:color w:val="000000"/>
                <w:w w:val="0"/>
              </w:rPr>
            </w:pPr>
            <w:r w:rsidRPr="0027789B">
              <w:rPr>
                <w:iCs/>
                <w:color w:val="000000"/>
                <w:w w:val="0"/>
              </w:rPr>
              <w:t>Line</w:t>
            </w:r>
          </w:p>
        </w:tc>
        <w:tc>
          <w:tcPr>
            <w:tcW w:w="2070" w:type="dxa"/>
            <w:tcBorders>
              <w:top w:val="single" w:sz="12" w:space="0" w:color="000000"/>
              <w:bottom w:val="single" w:sz="12" w:space="0" w:color="000000"/>
            </w:tcBorders>
          </w:tcPr>
          <w:p w14:paraId="2EB68830" w14:textId="77777777" w:rsidR="006B1090" w:rsidRPr="0027789B" w:rsidRDefault="006B1090" w:rsidP="00CB0170">
            <w:pPr>
              <w:ind w:left="36"/>
              <w:jc w:val="center"/>
              <w:rPr>
                <w:iCs/>
                <w:color w:val="000000"/>
                <w:w w:val="0"/>
              </w:rPr>
            </w:pPr>
            <w:r w:rsidRPr="0027789B">
              <w:rPr>
                <w:iCs/>
                <w:color w:val="000000"/>
                <w:w w:val="0"/>
              </w:rPr>
              <w:t>Projected Completion Date</w:t>
            </w:r>
          </w:p>
        </w:tc>
        <w:tc>
          <w:tcPr>
            <w:tcW w:w="5482" w:type="dxa"/>
            <w:tcBorders>
              <w:top w:val="single" w:sz="12" w:space="0" w:color="000000"/>
              <w:bottom w:val="single" w:sz="12" w:space="0" w:color="000000"/>
            </w:tcBorders>
            <w:vAlign w:val="center"/>
          </w:tcPr>
          <w:p w14:paraId="2B935A1A" w14:textId="77777777" w:rsidR="006B1090" w:rsidRPr="0027789B" w:rsidRDefault="006B1090" w:rsidP="00CB0170">
            <w:pPr>
              <w:ind w:left="36"/>
              <w:jc w:val="center"/>
              <w:rPr>
                <w:iCs/>
                <w:color w:val="000000"/>
                <w:w w:val="0"/>
              </w:rPr>
            </w:pPr>
            <w:r w:rsidRPr="0027789B">
              <w:rPr>
                <w:iCs/>
                <w:color w:val="000000"/>
                <w:w w:val="0"/>
              </w:rPr>
              <w:t>Milestone</w:t>
            </w:r>
          </w:p>
        </w:tc>
      </w:tr>
      <w:tr w:rsidR="006B1090" w:rsidRPr="0027789B" w14:paraId="5890012B" w14:textId="77777777" w:rsidTr="00CB0170">
        <w:trPr>
          <w:trHeight w:val="288"/>
          <w:jc w:val="center"/>
        </w:trPr>
        <w:tc>
          <w:tcPr>
            <w:tcW w:w="0" w:type="auto"/>
          </w:tcPr>
          <w:p w14:paraId="11437F5C" w14:textId="77777777" w:rsidR="006B1090" w:rsidRPr="0027789B" w:rsidRDefault="006B1090" w:rsidP="00CB0170">
            <w:pPr>
              <w:ind w:left="36"/>
              <w:jc w:val="center"/>
              <w:rPr>
                <w:iCs/>
                <w:color w:val="000000"/>
                <w:w w:val="0"/>
              </w:rPr>
            </w:pPr>
            <w:r w:rsidRPr="0027789B">
              <w:rPr>
                <w:iCs/>
                <w:color w:val="000000"/>
                <w:w w:val="0"/>
              </w:rPr>
              <w:t>1</w:t>
            </w:r>
          </w:p>
        </w:tc>
        <w:tc>
          <w:tcPr>
            <w:tcW w:w="2070" w:type="dxa"/>
          </w:tcPr>
          <w:p w14:paraId="6579AFDB" w14:textId="77777777" w:rsidR="006B1090" w:rsidRPr="0027789B" w:rsidRDefault="006B1090" w:rsidP="00CB0170">
            <w:pPr>
              <w:ind w:left="-80"/>
              <w:jc w:val="center"/>
              <w:rPr>
                <w:iCs/>
                <w:color w:val="000000"/>
                <w:w w:val="0"/>
              </w:rPr>
            </w:pPr>
          </w:p>
        </w:tc>
        <w:tc>
          <w:tcPr>
            <w:tcW w:w="5482" w:type="dxa"/>
          </w:tcPr>
          <w:p w14:paraId="085C50AF" w14:textId="77777777" w:rsidR="006B1090" w:rsidRPr="0027789B" w:rsidRDefault="006B1090" w:rsidP="00CB0170">
            <w:pPr>
              <w:ind w:left="72"/>
              <w:rPr>
                <w:b/>
                <w:iCs/>
                <w:color w:val="000000"/>
                <w:w w:val="0"/>
              </w:rPr>
            </w:pPr>
            <w:r w:rsidRPr="0027789B">
              <w:rPr>
                <w:b/>
                <w:iCs/>
                <w:color w:val="000000"/>
                <w:w w:val="0"/>
              </w:rPr>
              <w:t>Front End Engineering / Permits / Agreements</w:t>
            </w:r>
          </w:p>
        </w:tc>
      </w:tr>
      <w:tr w:rsidR="006B1090" w:rsidRPr="0027789B" w14:paraId="296066AF" w14:textId="77777777" w:rsidTr="00CB0170">
        <w:trPr>
          <w:trHeight w:val="288"/>
          <w:jc w:val="center"/>
        </w:trPr>
        <w:tc>
          <w:tcPr>
            <w:tcW w:w="0" w:type="auto"/>
          </w:tcPr>
          <w:p w14:paraId="2789C649" w14:textId="77777777" w:rsidR="006B1090" w:rsidRPr="0027789B" w:rsidRDefault="006B1090" w:rsidP="00CB0170">
            <w:pPr>
              <w:ind w:left="36"/>
              <w:jc w:val="center"/>
              <w:rPr>
                <w:iCs/>
                <w:color w:val="000000"/>
                <w:w w:val="0"/>
              </w:rPr>
            </w:pPr>
            <w:r w:rsidRPr="0027789B">
              <w:rPr>
                <w:iCs/>
                <w:color w:val="000000"/>
                <w:w w:val="0"/>
              </w:rPr>
              <w:t>2</w:t>
            </w:r>
          </w:p>
        </w:tc>
        <w:tc>
          <w:tcPr>
            <w:tcW w:w="2070" w:type="dxa"/>
          </w:tcPr>
          <w:p w14:paraId="6B889511" w14:textId="77777777" w:rsidR="006B1090" w:rsidRPr="0027789B" w:rsidRDefault="006B1090" w:rsidP="00CB0170">
            <w:pPr>
              <w:ind w:left="-80"/>
              <w:jc w:val="center"/>
              <w:rPr>
                <w:iCs/>
                <w:color w:val="000000"/>
                <w:w w:val="0"/>
              </w:rPr>
            </w:pPr>
          </w:p>
        </w:tc>
        <w:tc>
          <w:tcPr>
            <w:tcW w:w="5482" w:type="dxa"/>
          </w:tcPr>
          <w:p w14:paraId="71CB9001" w14:textId="77777777" w:rsidR="006B1090" w:rsidRPr="0027789B" w:rsidRDefault="006B1090" w:rsidP="00CB0170">
            <w:pPr>
              <w:ind w:left="324"/>
              <w:rPr>
                <w:iCs/>
                <w:color w:val="000000"/>
                <w:w w:val="0"/>
              </w:rPr>
            </w:pPr>
            <w:r w:rsidRPr="0027789B">
              <w:rPr>
                <w:iCs/>
                <w:color w:val="000000"/>
                <w:w w:val="0"/>
              </w:rPr>
              <w:t>Submit Applicable Transmission Provider Interconnection Application</w:t>
            </w:r>
          </w:p>
        </w:tc>
      </w:tr>
      <w:tr w:rsidR="006B1090" w:rsidRPr="0027789B" w14:paraId="708927CB" w14:textId="77777777" w:rsidTr="00CB0170">
        <w:trPr>
          <w:trHeight w:val="288"/>
          <w:jc w:val="center"/>
        </w:trPr>
        <w:tc>
          <w:tcPr>
            <w:tcW w:w="0" w:type="auto"/>
          </w:tcPr>
          <w:p w14:paraId="725005D6" w14:textId="77777777" w:rsidR="006B1090" w:rsidRPr="0027789B" w:rsidRDefault="006B1090" w:rsidP="00CB0170">
            <w:pPr>
              <w:ind w:left="36"/>
              <w:jc w:val="center"/>
              <w:rPr>
                <w:iCs/>
                <w:color w:val="000000"/>
                <w:w w:val="0"/>
              </w:rPr>
            </w:pPr>
            <w:r w:rsidRPr="0027789B">
              <w:rPr>
                <w:iCs/>
                <w:color w:val="000000"/>
                <w:w w:val="0"/>
              </w:rPr>
              <w:t>3</w:t>
            </w:r>
          </w:p>
        </w:tc>
        <w:tc>
          <w:tcPr>
            <w:tcW w:w="2070" w:type="dxa"/>
          </w:tcPr>
          <w:p w14:paraId="02FCE0C7" w14:textId="77777777" w:rsidR="006B1090" w:rsidRPr="0027789B" w:rsidRDefault="006B1090" w:rsidP="00CB0170">
            <w:pPr>
              <w:ind w:left="-80"/>
              <w:jc w:val="center"/>
              <w:rPr>
                <w:iCs/>
                <w:color w:val="000000"/>
                <w:w w:val="0"/>
              </w:rPr>
            </w:pPr>
          </w:p>
        </w:tc>
        <w:tc>
          <w:tcPr>
            <w:tcW w:w="5482" w:type="dxa"/>
          </w:tcPr>
          <w:p w14:paraId="3A47D37D" w14:textId="77777777" w:rsidR="006B1090" w:rsidRPr="0027789B" w:rsidRDefault="006B1090" w:rsidP="00CB0170">
            <w:pPr>
              <w:ind w:left="324"/>
              <w:rPr>
                <w:iCs/>
                <w:color w:val="000000"/>
                <w:w w:val="0"/>
              </w:rPr>
            </w:pPr>
            <w:r w:rsidRPr="0027789B">
              <w:rPr>
                <w:iCs/>
                <w:color w:val="000000"/>
                <w:w w:val="0"/>
              </w:rPr>
              <w:t>File a CEC Certification and Verification Application</w:t>
            </w:r>
          </w:p>
        </w:tc>
      </w:tr>
      <w:tr w:rsidR="006B1090" w:rsidRPr="0027789B" w14:paraId="429AC176" w14:textId="77777777" w:rsidTr="00CB0170">
        <w:trPr>
          <w:trHeight w:val="288"/>
          <w:jc w:val="center"/>
        </w:trPr>
        <w:tc>
          <w:tcPr>
            <w:tcW w:w="0" w:type="auto"/>
          </w:tcPr>
          <w:p w14:paraId="58C88F3B" w14:textId="77777777" w:rsidR="006B1090" w:rsidRPr="0027789B" w:rsidRDefault="006B1090" w:rsidP="00CB0170">
            <w:pPr>
              <w:ind w:left="36"/>
              <w:jc w:val="center"/>
              <w:rPr>
                <w:iCs/>
                <w:color w:val="000000"/>
                <w:w w:val="0"/>
              </w:rPr>
            </w:pPr>
            <w:r w:rsidRPr="0027789B">
              <w:rPr>
                <w:iCs/>
                <w:color w:val="000000"/>
                <w:w w:val="0"/>
              </w:rPr>
              <w:t>4</w:t>
            </w:r>
          </w:p>
        </w:tc>
        <w:tc>
          <w:tcPr>
            <w:tcW w:w="2070" w:type="dxa"/>
          </w:tcPr>
          <w:p w14:paraId="212BA746" w14:textId="77777777" w:rsidR="006B1090" w:rsidRPr="0027789B" w:rsidRDefault="006B1090" w:rsidP="00CB0170">
            <w:pPr>
              <w:ind w:left="-80"/>
              <w:jc w:val="center"/>
              <w:rPr>
                <w:iCs/>
                <w:color w:val="000000"/>
                <w:w w:val="0"/>
              </w:rPr>
            </w:pPr>
          </w:p>
        </w:tc>
        <w:tc>
          <w:tcPr>
            <w:tcW w:w="5482" w:type="dxa"/>
          </w:tcPr>
          <w:p w14:paraId="22BCDDEE" w14:textId="77777777" w:rsidR="006B1090" w:rsidRPr="0027789B" w:rsidRDefault="006B1090" w:rsidP="00CB0170">
            <w:pPr>
              <w:ind w:left="324"/>
              <w:rPr>
                <w:iCs/>
                <w:color w:val="000000"/>
                <w:w w:val="0"/>
              </w:rPr>
            </w:pPr>
            <w:r w:rsidRPr="0027789B">
              <w:rPr>
                <w:iCs/>
                <w:color w:val="000000"/>
                <w:w w:val="0"/>
              </w:rPr>
              <w:t>Receive a Completed Interconnection System Impact Study (or equivalent)</w:t>
            </w:r>
          </w:p>
        </w:tc>
      </w:tr>
      <w:tr w:rsidR="006B1090" w:rsidRPr="0027789B" w14:paraId="3A2AF943" w14:textId="77777777" w:rsidTr="00CB0170">
        <w:trPr>
          <w:trHeight w:val="288"/>
          <w:jc w:val="center"/>
        </w:trPr>
        <w:tc>
          <w:tcPr>
            <w:tcW w:w="0" w:type="auto"/>
          </w:tcPr>
          <w:p w14:paraId="45FCA914" w14:textId="77777777" w:rsidR="006B1090" w:rsidRPr="0027789B" w:rsidRDefault="006B1090" w:rsidP="00CB0170">
            <w:pPr>
              <w:ind w:left="36"/>
              <w:jc w:val="center"/>
              <w:rPr>
                <w:iCs/>
                <w:color w:val="000000"/>
                <w:w w:val="0"/>
              </w:rPr>
            </w:pPr>
            <w:r w:rsidRPr="0027789B">
              <w:rPr>
                <w:iCs/>
                <w:color w:val="000000"/>
                <w:w w:val="0"/>
              </w:rPr>
              <w:t>5</w:t>
            </w:r>
          </w:p>
        </w:tc>
        <w:tc>
          <w:tcPr>
            <w:tcW w:w="2070" w:type="dxa"/>
          </w:tcPr>
          <w:p w14:paraId="08EF3C9C" w14:textId="77777777" w:rsidR="006B1090" w:rsidRPr="0027789B" w:rsidRDefault="006B1090" w:rsidP="00CB0170">
            <w:pPr>
              <w:ind w:left="-80"/>
              <w:jc w:val="center"/>
              <w:rPr>
                <w:iCs/>
                <w:color w:val="000000"/>
                <w:w w:val="0"/>
              </w:rPr>
            </w:pPr>
          </w:p>
        </w:tc>
        <w:tc>
          <w:tcPr>
            <w:tcW w:w="5482" w:type="dxa"/>
          </w:tcPr>
          <w:p w14:paraId="5CF4E611" w14:textId="77777777" w:rsidR="006B1090" w:rsidRPr="0027789B" w:rsidRDefault="006B1090" w:rsidP="00CB0170">
            <w:pPr>
              <w:ind w:left="324"/>
              <w:rPr>
                <w:iCs/>
                <w:color w:val="000000"/>
                <w:w w:val="0"/>
              </w:rPr>
            </w:pPr>
            <w:r w:rsidRPr="0027789B">
              <w:rPr>
                <w:iCs/>
                <w:color w:val="000000"/>
                <w:w w:val="0"/>
              </w:rPr>
              <w:t xml:space="preserve">Receive a Completed Interconnection Facilities Study (or equivalent) </w:t>
            </w:r>
          </w:p>
        </w:tc>
      </w:tr>
      <w:tr w:rsidR="006B1090" w:rsidRPr="0027789B" w14:paraId="180E05CC" w14:textId="77777777" w:rsidTr="00CB0170">
        <w:trPr>
          <w:trHeight w:val="288"/>
          <w:jc w:val="center"/>
        </w:trPr>
        <w:tc>
          <w:tcPr>
            <w:tcW w:w="0" w:type="auto"/>
          </w:tcPr>
          <w:p w14:paraId="1DA94613" w14:textId="77777777" w:rsidR="006B1090" w:rsidRPr="0027789B" w:rsidRDefault="006B1090" w:rsidP="00CB0170">
            <w:pPr>
              <w:ind w:left="36"/>
              <w:jc w:val="center"/>
              <w:rPr>
                <w:iCs/>
                <w:color w:val="000000"/>
                <w:w w:val="0"/>
              </w:rPr>
            </w:pPr>
            <w:r w:rsidRPr="0027789B">
              <w:rPr>
                <w:iCs/>
                <w:color w:val="000000"/>
                <w:w w:val="0"/>
              </w:rPr>
              <w:t>6</w:t>
            </w:r>
          </w:p>
        </w:tc>
        <w:tc>
          <w:tcPr>
            <w:tcW w:w="2070" w:type="dxa"/>
          </w:tcPr>
          <w:p w14:paraId="01F20C5D" w14:textId="77777777" w:rsidR="006B1090" w:rsidRPr="0027789B" w:rsidRDefault="006B1090" w:rsidP="00CB0170">
            <w:pPr>
              <w:ind w:left="-80"/>
              <w:jc w:val="center"/>
              <w:rPr>
                <w:iCs/>
                <w:color w:val="000000"/>
                <w:w w:val="0"/>
              </w:rPr>
            </w:pPr>
          </w:p>
        </w:tc>
        <w:tc>
          <w:tcPr>
            <w:tcW w:w="5482" w:type="dxa"/>
          </w:tcPr>
          <w:p w14:paraId="3DD10DDF" w14:textId="77777777" w:rsidR="006B1090" w:rsidRPr="0027789B" w:rsidRDefault="006B1090" w:rsidP="00CB0170">
            <w:pPr>
              <w:ind w:left="324"/>
              <w:rPr>
                <w:iCs/>
                <w:color w:val="000000"/>
                <w:w w:val="0"/>
              </w:rPr>
            </w:pPr>
            <w:r w:rsidRPr="0027789B">
              <w:rPr>
                <w:iCs/>
                <w:color w:val="000000"/>
                <w:w w:val="0"/>
              </w:rPr>
              <w:t>Finalize Labor Agreement Negotiations</w:t>
            </w:r>
          </w:p>
        </w:tc>
      </w:tr>
      <w:tr w:rsidR="006B1090" w:rsidRPr="0027789B" w14:paraId="30465EC8" w14:textId="77777777" w:rsidTr="00CB0170">
        <w:trPr>
          <w:trHeight w:val="288"/>
          <w:jc w:val="center"/>
        </w:trPr>
        <w:tc>
          <w:tcPr>
            <w:tcW w:w="0" w:type="auto"/>
          </w:tcPr>
          <w:p w14:paraId="6D012F29" w14:textId="77777777" w:rsidR="006B1090" w:rsidRPr="0027789B" w:rsidRDefault="006B1090" w:rsidP="00CB0170">
            <w:pPr>
              <w:ind w:left="36"/>
              <w:jc w:val="center"/>
              <w:rPr>
                <w:iCs/>
                <w:color w:val="000000"/>
                <w:w w:val="0"/>
              </w:rPr>
            </w:pPr>
            <w:r w:rsidRPr="0027789B">
              <w:rPr>
                <w:iCs/>
                <w:color w:val="000000"/>
                <w:w w:val="0"/>
              </w:rPr>
              <w:t>7</w:t>
            </w:r>
          </w:p>
        </w:tc>
        <w:tc>
          <w:tcPr>
            <w:tcW w:w="2070" w:type="dxa"/>
          </w:tcPr>
          <w:p w14:paraId="617B1FBE" w14:textId="77777777" w:rsidR="006B1090" w:rsidRPr="0027789B" w:rsidRDefault="006B1090" w:rsidP="00CB0170">
            <w:pPr>
              <w:ind w:left="-80"/>
              <w:jc w:val="center"/>
              <w:rPr>
                <w:iCs/>
                <w:color w:val="000000"/>
                <w:w w:val="0"/>
              </w:rPr>
            </w:pPr>
          </w:p>
        </w:tc>
        <w:tc>
          <w:tcPr>
            <w:tcW w:w="5482" w:type="dxa"/>
          </w:tcPr>
          <w:p w14:paraId="4B7DB2EF" w14:textId="77777777" w:rsidR="006B1090" w:rsidRPr="0027789B" w:rsidRDefault="006B1090" w:rsidP="00CB0170">
            <w:pPr>
              <w:ind w:left="324"/>
              <w:rPr>
                <w:iCs/>
                <w:color w:val="000000"/>
                <w:w w:val="0"/>
              </w:rPr>
            </w:pPr>
            <w:r w:rsidRPr="0027789B">
              <w:rPr>
                <w:iCs/>
                <w:color w:val="000000"/>
                <w:w w:val="0"/>
              </w:rPr>
              <w:t xml:space="preserve">Execute a Transmission Provider Interconnection Agreement </w:t>
            </w:r>
          </w:p>
        </w:tc>
      </w:tr>
      <w:tr w:rsidR="006B1090" w:rsidRPr="0027789B" w14:paraId="2EE1664D" w14:textId="77777777" w:rsidTr="00CB0170">
        <w:trPr>
          <w:trHeight w:val="288"/>
          <w:jc w:val="center"/>
        </w:trPr>
        <w:tc>
          <w:tcPr>
            <w:tcW w:w="0" w:type="auto"/>
          </w:tcPr>
          <w:p w14:paraId="16AEDDF9" w14:textId="77777777" w:rsidR="006B1090" w:rsidRPr="0027789B" w:rsidRDefault="006B1090" w:rsidP="00CB0170">
            <w:pPr>
              <w:ind w:left="36"/>
              <w:jc w:val="center"/>
              <w:rPr>
                <w:iCs/>
                <w:color w:val="000000"/>
                <w:w w:val="0"/>
              </w:rPr>
            </w:pPr>
            <w:r w:rsidRPr="0027789B">
              <w:rPr>
                <w:iCs/>
                <w:color w:val="000000"/>
                <w:w w:val="0"/>
              </w:rPr>
              <w:t>8</w:t>
            </w:r>
          </w:p>
        </w:tc>
        <w:tc>
          <w:tcPr>
            <w:tcW w:w="2070" w:type="dxa"/>
          </w:tcPr>
          <w:p w14:paraId="4D865F97" w14:textId="77777777" w:rsidR="006B1090" w:rsidRPr="0027789B" w:rsidRDefault="006B1090" w:rsidP="00CB0170">
            <w:pPr>
              <w:ind w:left="-80"/>
              <w:jc w:val="center"/>
              <w:rPr>
                <w:iCs/>
                <w:color w:val="000000"/>
                <w:w w:val="0"/>
              </w:rPr>
            </w:pPr>
          </w:p>
        </w:tc>
        <w:tc>
          <w:tcPr>
            <w:tcW w:w="5482" w:type="dxa"/>
          </w:tcPr>
          <w:p w14:paraId="370DFE4B" w14:textId="77777777" w:rsidR="006B1090" w:rsidRPr="0027789B" w:rsidRDefault="006B1090" w:rsidP="00CB0170">
            <w:pPr>
              <w:ind w:left="324"/>
              <w:rPr>
                <w:iCs/>
                <w:color w:val="000000"/>
                <w:w w:val="0"/>
              </w:rPr>
            </w:pPr>
            <w:r w:rsidRPr="0027789B">
              <w:rPr>
                <w:iCs/>
                <w:color w:val="000000"/>
                <w:w w:val="0"/>
              </w:rPr>
              <w:t>Receive FERC Acceptance of Interconnection Agreement and Transmission Agreement(s)</w:t>
            </w:r>
          </w:p>
        </w:tc>
      </w:tr>
      <w:tr w:rsidR="006B1090" w:rsidRPr="0027789B" w14:paraId="7FCCA20B" w14:textId="77777777" w:rsidTr="00CB0170">
        <w:trPr>
          <w:trHeight w:val="288"/>
          <w:jc w:val="center"/>
        </w:trPr>
        <w:tc>
          <w:tcPr>
            <w:tcW w:w="0" w:type="auto"/>
          </w:tcPr>
          <w:p w14:paraId="181E76C2" w14:textId="77777777" w:rsidR="006B1090" w:rsidRPr="0027789B" w:rsidRDefault="006B1090" w:rsidP="00CB0170">
            <w:pPr>
              <w:ind w:left="36"/>
              <w:jc w:val="center"/>
              <w:rPr>
                <w:iCs/>
                <w:color w:val="000000"/>
                <w:w w:val="0"/>
              </w:rPr>
            </w:pPr>
            <w:r w:rsidRPr="0027789B">
              <w:rPr>
                <w:iCs/>
                <w:color w:val="000000"/>
                <w:w w:val="0"/>
              </w:rPr>
              <w:lastRenderedPageBreak/>
              <w:t>9</w:t>
            </w:r>
          </w:p>
        </w:tc>
        <w:tc>
          <w:tcPr>
            <w:tcW w:w="2070" w:type="dxa"/>
          </w:tcPr>
          <w:p w14:paraId="63BEC1B2" w14:textId="77777777" w:rsidR="006B1090" w:rsidRPr="0027789B" w:rsidRDefault="006B1090" w:rsidP="00CB0170">
            <w:pPr>
              <w:ind w:left="-80"/>
              <w:jc w:val="center"/>
              <w:rPr>
                <w:iCs/>
                <w:color w:val="000000"/>
                <w:w w:val="0"/>
              </w:rPr>
            </w:pPr>
          </w:p>
        </w:tc>
        <w:tc>
          <w:tcPr>
            <w:tcW w:w="5482" w:type="dxa"/>
          </w:tcPr>
          <w:p w14:paraId="2819C5F9" w14:textId="77777777" w:rsidR="006B1090" w:rsidRPr="0027789B" w:rsidRDefault="006B1090" w:rsidP="00CB0170">
            <w:pPr>
              <w:ind w:left="324"/>
              <w:rPr>
                <w:iCs/>
                <w:color w:val="000000"/>
                <w:w w:val="0"/>
              </w:rPr>
            </w:pPr>
            <w:r w:rsidRPr="0027789B">
              <w:rPr>
                <w:iCs/>
                <w:color w:val="000000"/>
                <w:w w:val="0"/>
              </w:rPr>
              <w:t>Receive CEC Certification and Verification or APCD permit if applicable</w:t>
            </w:r>
          </w:p>
        </w:tc>
      </w:tr>
      <w:tr w:rsidR="006B1090" w:rsidRPr="0027789B" w14:paraId="39DFB249" w14:textId="77777777" w:rsidTr="00CB0170">
        <w:trPr>
          <w:trHeight w:val="288"/>
          <w:jc w:val="center"/>
        </w:trPr>
        <w:tc>
          <w:tcPr>
            <w:tcW w:w="0" w:type="auto"/>
          </w:tcPr>
          <w:p w14:paraId="68716FDD" w14:textId="77777777" w:rsidR="006B1090" w:rsidRPr="0027789B" w:rsidRDefault="006B1090" w:rsidP="00CB0170">
            <w:pPr>
              <w:ind w:left="36"/>
              <w:jc w:val="center"/>
              <w:rPr>
                <w:iCs/>
                <w:color w:val="000000"/>
                <w:w w:val="0"/>
              </w:rPr>
            </w:pPr>
            <w:r w:rsidRPr="0027789B">
              <w:rPr>
                <w:iCs/>
                <w:color w:val="000000"/>
                <w:w w:val="0"/>
              </w:rPr>
              <w:t>10</w:t>
            </w:r>
          </w:p>
        </w:tc>
        <w:tc>
          <w:tcPr>
            <w:tcW w:w="2070" w:type="dxa"/>
          </w:tcPr>
          <w:p w14:paraId="62DD5277" w14:textId="77777777" w:rsidR="006B1090" w:rsidRPr="0027789B" w:rsidRDefault="006B1090" w:rsidP="00CB0170">
            <w:pPr>
              <w:ind w:left="-80"/>
              <w:jc w:val="center"/>
              <w:rPr>
                <w:iCs/>
                <w:color w:val="000000"/>
                <w:w w:val="0"/>
              </w:rPr>
            </w:pPr>
          </w:p>
        </w:tc>
        <w:tc>
          <w:tcPr>
            <w:tcW w:w="5482" w:type="dxa"/>
          </w:tcPr>
          <w:p w14:paraId="5FB18F9F" w14:textId="77777777" w:rsidR="006B1090" w:rsidRPr="0027789B" w:rsidRDefault="006B1090" w:rsidP="00CB0170">
            <w:pPr>
              <w:ind w:left="324"/>
              <w:rPr>
                <w:iCs/>
                <w:color w:val="000000"/>
                <w:w w:val="0"/>
              </w:rPr>
            </w:pPr>
            <w:r w:rsidRPr="0027789B">
              <w:rPr>
                <w:iCs/>
                <w:color w:val="000000"/>
                <w:w w:val="0"/>
              </w:rPr>
              <w:t>Obtain Control Of All Lands and Rights-Of-Way Comprising The Site</w:t>
            </w:r>
          </w:p>
        </w:tc>
      </w:tr>
      <w:tr w:rsidR="006B1090" w:rsidRPr="0027789B" w14:paraId="460AED82" w14:textId="77777777" w:rsidTr="00CB0170">
        <w:trPr>
          <w:trHeight w:val="288"/>
          <w:jc w:val="center"/>
        </w:trPr>
        <w:tc>
          <w:tcPr>
            <w:tcW w:w="0" w:type="auto"/>
          </w:tcPr>
          <w:p w14:paraId="55C76718" w14:textId="77777777" w:rsidR="006B1090" w:rsidRPr="0027789B" w:rsidRDefault="006B1090" w:rsidP="00CB0170">
            <w:pPr>
              <w:ind w:left="36"/>
              <w:jc w:val="center"/>
              <w:rPr>
                <w:iCs/>
                <w:color w:val="000000"/>
                <w:w w:val="0"/>
              </w:rPr>
            </w:pPr>
            <w:r w:rsidRPr="0027789B">
              <w:rPr>
                <w:iCs/>
                <w:color w:val="000000"/>
                <w:w w:val="0"/>
              </w:rPr>
              <w:t>11</w:t>
            </w:r>
          </w:p>
        </w:tc>
        <w:tc>
          <w:tcPr>
            <w:tcW w:w="2070" w:type="dxa"/>
          </w:tcPr>
          <w:p w14:paraId="5DCAF5FC" w14:textId="77777777" w:rsidR="006B1090" w:rsidRPr="0027789B" w:rsidRDefault="006B1090" w:rsidP="00CB0170">
            <w:pPr>
              <w:ind w:left="-80"/>
              <w:jc w:val="center"/>
              <w:rPr>
                <w:iCs/>
                <w:color w:val="000000"/>
                <w:w w:val="0"/>
              </w:rPr>
            </w:pPr>
          </w:p>
        </w:tc>
        <w:tc>
          <w:tcPr>
            <w:tcW w:w="5482" w:type="dxa"/>
          </w:tcPr>
          <w:p w14:paraId="4E4B9E76" w14:textId="77777777" w:rsidR="006B1090" w:rsidRPr="0027789B" w:rsidRDefault="006B1090" w:rsidP="00CB0170">
            <w:pPr>
              <w:ind w:left="324"/>
              <w:rPr>
                <w:iCs/>
                <w:color w:val="000000"/>
                <w:w w:val="0"/>
              </w:rPr>
            </w:pPr>
            <w:r w:rsidRPr="0027789B">
              <w:rPr>
                <w:iCs/>
                <w:color w:val="000000"/>
                <w:w w:val="0"/>
              </w:rPr>
              <w:t>Receive CEC Full Notice To Proceed</w:t>
            </w:r>
          </w:p>
        </w:tc>
      </w:tr>
      <w:tr w:rsidR="006B1090" w:rsidRPr="0027789B" w14:paraId="745E8D90" w14:textId="77777777" w:rsidTr="00CB0170">
        <w:trPr>
          <w:trHeight w:val="288"/>
          <w:jc w:val="center"/>
        </w:trPr>
        <w:tc>
          <w:tcPr>
            <w:tcW w:w="0" w:type="auto"/>
          </w:tcPr>
          <w:p w14:paraId="2C46697F" w14:textId="77777777" w:rsidR="006B1090" w:rsidRPr="0027789B" w:rsidRDefault="006B1090" w:rsidP="00CB0170">
            <w:pPr>
              <w:ind w:left="36"/>
              <w:jc w:val="center"/>
              <w:rPr>
                <w:iCs/>
                <w:color w:val="000000"/>
                <w:w w:val="0"/>
              </w:rPr>
            </w:pPr>
            <w:r w:rsidRPr="0027789B">
              <w:rPr>
                <w:iCs/>
                <w:color w:val="000000"/>
                <w:w w:val="0"/>
              </w:rPr>
              <w:t>12</w:t>
            </w:r>
          </w:p>
        </w:tc>
        <w:tc>
          <w:tcPr>
            <w:tcW w:w="2070" w:type="dxa"/>
          </w:tcPr>
          <w:p w14:paraId="2449FBBD" w14:textId="77777777" w:rsidR="006B1090" w:rsidRPr="0027789B" w:rsidRDefault="006B1090" w:rsidP="00CB0170">
            <w:pPr>
              <w:ind w:left="-80"/>
              <w:jc w:val="center"/>
              <w:rPr>
                <w:iCs/>
                <w:color w:val="000000"/>
                <w:w w:val="0"/>
              </w:rPr>
            </w:pPr>
          </w:p>
        </w:tc>
        <w:tc>
          <w:tcPr>
            <w:tcW w:w="5482" w:type="dxa"/>
          </w:tcPr>
          <w:p w14:paraId="454B49E4" w14:textId="77777777" w:rsidR="006B1090" w:rsidRPr="0027789B" w:rsidRDefault="006B1090" w:rsidP="00CB0170">
            <w:pPr>
              <w:ind w:left="324"/>
              <w:rPr>
                <w:iCs/>
                <w:color w:val="000000"/>
                <w:w w:val="0"/>
              </w:rPr>
            </w:pPr>
            <w:r w:rsidRPr="0027789B">
              <w:rPr>
                <w:iCs/>
                <w:color w:val="000000"/>
                <w:w w:val="0"/>
              </w:rPr>
              <w:t>Receive All Other Permits</w:t>
            </w:r>
          </w:p>
        </w:tc>
      </w:tr>
      <w:tr w:rsidR="006B1090" w:rsidRPr="0027789B" w14:paraId="72FF136B" w14:textId="77777777" w:rsidTr="00CB0170">
        <w:trPr>
          <w:trHeight w:val="288"/>
          <w:jc w:val="center"/>
        </w:trPr>
        <w:tc>
          <w:tcPr>
            <w:tcW w:w="0" w:type="auto"/>
          </w:tcPr>
          <w:p w14:paraId="6A69B011" w14:textId="77777777" w:rsidR="006B1090" w:rsidRPr="0027789B" w:rsidRDefault="006B1090" w:rsidP="00CB0170">
            <w:pPr>
              <w:ind w:left="36"/>
              <w:jc w:val="center"/>
              <w:rPr>
                <w:iCs/>
                <w:color w:val="000000"/>
                <w:w w:val="0"/>
              </w:rPr>
            </w:pPr>
            <w:r w:rsidRPr="0027789B">
              <w:rPr>
                <w:iCs/>
                <w:color w:val="000000"/>
                <w:w w:val="0"/>
              </w:rPr>
              <w:t>13</w:t>
            </w:r>
          </w:p>
        </w:tc>
        <w:tc>
          <w:tcPr>
            <w:tcW w:w="2070" w:type="dxa"/>
          </w:tcPr>
          <w:p w14:paraId="73946599" w14:textId="77777777" w:rsidR="006B1090" w:rsidRPr="0027789B" w:rsidRDefault="006B1090" w:rsidP="00CB0170">
            <w:pPr>
              <w:ind w:left="-80"/>
              <w:jc w:val="center"/>
              <w:rPr>
                <w:iCs/>
                <w:color w:val="000000"/>
                <w:w w:val="0"/>
              </w:rPr>
            </w:pPr>
          </w:p>
        </w:tc>
        <w:tc>
          <w:tcPr>
            <w:tcW w:w="5482" w:type="dxa"/>
          </w:tcPr>
          <w:p w14:paraId="1F0A8E3A" w14:textId="77777777" w:rsidR="006B1090" w:rsidRPr="0027789B" w:rsidRDefault="006B1090" w:rsidP="00CB0170">
            <w:pPr>
              <w:ind w:left="64"/>
              <w:rPr>
                <w:b/>
                <w:iCs/>
                <w:color w:val="000000"/>
                <w:w w:val="0"/>
              </w:rPr>
            </w:pPr>
            <w:r w:rsidRPr="0027789B">
              <w:rPr>
                <w:b/>
                <w:iCs/>
                <w:color w:val="000000"/>
                <w:w w:val="0"/>
              </w:rPr>
              <w:t>Financing</w:t>
            </w:r>
          </w:p>
        </w:tc>
      </w:tr>
      <w:tr w:rsidR="006B1090" w:rsidRPr="0027789B" w14:paraId="45F15148" w14:textId="77777777" w:rsidTr="00CB0170">
        <w:trPr>
          <w:trHeight w:val="288"/>
          <w:jc w:val="center"/>
        </w:trPr>
        <w:tc>
          <w:tcPr>
            <w:tcW w:w="0" w:type="auto"/>
          </w:tcPr>
          <w:p w14:paraId="3E98F398" w14:textId="77777777" w:rsidR="006B1090" w:rsidRPr="0027789B" w:rsidRDefault="006B1090" w:rsidP="00CB0170">
            <w:pPr>
              <w:ind w:left="36"/>
              <w:jc w:val="center"/>
              <w:rPr>
                <w:iCs/>
                <w:color w:val="000000"/>
                <w:w w:val="0"/>
              </w:rPr>
            </w:pPr>
            <w:r w:rsidRPr="0027789B">
              <w:rPr>
                <w:iCs/>
                <w:color w:val="000000"/>
                <w:w w:val="0"/>
              </w:rPr>
              <w:t>14</w:t>
            </w:r>
          </w:p>
        </w:tc>
        <w:tc>
          <w:tcPr>
            <w:tcW w:w="2070" w:type="dxa"/>
          </w:tcPr>
          <w:p w14:paraId="0CC5F4A6" w14:textId="77777777" w:rsidR="006B1090" w:rsidRPr="0027789B" w:rsidRDefault="006B1090" w:rsidP="00CB0170">
            <w:pPr>
              <w:ind w:left="-80"/>
              <w:jc w:val="center"/>
              <w:rPr>
                <w:iCs/>
                <w:color w:val="000000"/>
                <w:w w:val="0"/>
              </w:rPr>
            </w:pPr>
          </w:p>
        </w:tc>
        <w:tc>
          <w:tcPr>
            <w:tcW w:w="5482" w:type="dxa"/>
          </w:tcPr>
          <w:p w14:paraId="21474366" w14:textId="77777777" w:rsidR="006B1090" w:rsidRPr="0027789B" w:rsidRDefault="006B1090" w:rsidP="00CB0170">
            <w:pPr>
              <w:ind w:left="382"/>
              <w:rPr>
                <w:iCs/>
                <w:color w:val="000000"/>
                <w:w w:val="0"/>
              </w:rPr>
            </w:pPr>
            <w:r w:rsidRPr="0027789B">
              <w:rPr>
                <w:iCs/>
                <w:color w:val="000000"/>
                <w:w w:val="0"/>
              </w:rPr>
              <w:t>Verify That Seller’s Bank Has Received All Required Due Diligence Information</w:t>
            </w:r>
          </w:p>
        </w:tc>
      </w:tr>
      <w:tr w:rsidR="006B1090" w:rsidRPr="0027789B" w14:paraId="011BFBD0" w14:textId="77777777" w:rsidTr="00CB0170">
        <w:trPr>
          <w:trHeight w:val="288"/>
          <w:jc w:val="center"/>
        </w:trPr>
        <w:tc>
          <w:tcPr>
            <w:tcW w:w="0" w:type="auto"/>
          </w:tcPr>
          <w:p w14:paraId="55C81DF5" w14:textId="77777777" w:rsidR="006B1090" w:rsidRPr="0027789B" w:rsidRDefault="006B1090" w:rsidP="00CB0170">
            <w:pPr>
              <w:ind w:left="36"/>
              <w:jc w:val="center"/>
              <w:rPr>
                <w:iCs/>
                <w:color w:val="000000"/>
                <w:w w:val="0"/>
              </w:rPr>
            </w:pPr>
            <w:r w:rsidRPr="0027789B">
              <w:rPr>
                <w:iCs/>
                <w:color w:val="000000"/>
                <w:w w:val="0"/>
              </w:rPr>
              <w:t>15</w:t>
            </w:r>
          </w:p>
        </w:tc>
        <w:tc>
          <w:tcPr>
            <w:tcW w:w="2070" w:type="dxa"/>
          </w:tcPr>
          <w:p w14:paraId="793221EF" w14:textId="77777777" w:rsidR="006B1090" w:rsidRPr="0027789B" w:rsidRDefault="006B1090" w:rsidP="00CB0170">
            <w:pPr>
              <w:ind w:left="-80"/>
              <w:jc w:val="center"/>
              <w:rPr>
                <w:iCs/>
                <w:color w:val="000000"/>
                <w:w w:val="0"/>
              </w:rPr>
            </w:pPr>
          </w:p>
        </w:tc>
        <w:tc>
          <w:tcPr>
            <w:tcW w:w="5482" w:type="dxa"/>
          </w:tcPr>
          <w:p w14:paraId="134CB72D" w14:textId="77777777" w:rsidR="006B1090" w:rsidRPr="0027789B" w:rsidRDefault="006B1090" w:rsidP="00CB0170">
            <w:pPr>
              <w:ind w:left="382"/>
              <w:rPr>
                <w:iCs/>
                <w:color w:val="000000"/>
                <w:w w:val="0"/>
              </w:rPr>
            </w:pPr>
            <w:r w:rsidRPr="0027789B">
              <w:rPr>
                <w:iCs/>
                <w:color w:val="000000"/>
                <w:w w:val="0"/>
              </w:rPr>
              <w:t xml:space="preserve">Complete Bank Financing </w:t>
            </w:r>
          </w:p>
        </w:tc>
      </w:tr>
      <w:tr w:rsidR="006B1090" w:rsidRPr="0027789B" w14:paraId="3FAB09DF" w14:textId="77777777" w:rsidTr="00CB0170">
        <w:trPr>
          <w:trHeight w:val="288"/>
          <w:jc w:val="center"/>
        </w:trPr>
        <w:tc>
          <w:tcPr>
            <w:tcW w:w="0" w:type="auto"/>
          </w:tcPr>
          <w:p w14:paraId="29981276" w14:textId="77777777" w:rsidR="006B1090" w:rsidRPr="0027789B" w:rsidRDefault="006B1090" w:rsidP="00CB0170">
            <w:pPr>
              <w:ind w:left="36"/>
              <w:jc w:val="center"/>
              <w:rPr>
                <w:iCs/>
                <w:color w:val="000000"/>
                <w:w w:val="0"/>
              </w:rPr>
            </w:pPr>
            <w:r w:rsidRPr="0027789B">
              <w:rPr>
                <w:iCs/>
                <w:color w:val="000000"/>
                <w:w w:val="0"/>
              </w:rPr>
              <w:t>16</w:t>
            </w:r>
          </w:p>
        </w:tc>
        <w:tc>
          <w:tcPr>
            <w:tcW w:w="2070" w:type="dxa"/>
          </w:tcPr>
          <w:p w14:paraId="4A08FFAD" w14:textId="77777777" w:rsidR="006B1090" w:rsidRPr="0027789B" w:rsidRDefault="006B1090" w:rsidP="00CB0170">
            <w:pPr>
              <w:ind w:left="-80"/>
              <w:jc w:val="center"/>
              <w:rPr>
                <w:iCs/>
                <w:color w:val="000000"/>
                <w:w w:val="0"/>
              </w:rPr>
            </w:pPr>
          </w:p>
        </w:tc>
        <w:tc>
          <w:tcPr>
            <w:tcW w:w="5482" w:type="dxa"/>
          </w:tcPr>
          <w:p w14:paraId="564567C6" w14:textId="77777777" w:rsidR="006B1090" w:rsidRPr="0027789B" w:rsidRDefault="006B1090" w:rsidP="00CB0170">
            <w:pPr>
              <w:ind w:left="64"/>
              <w:rPr>
                <w:b/>
                <w:iCs/>
                <w:color w:val="000000"/>
                <w:w w:val="0"/>
              </w:rPr>
            </w:pPr>
            <w:r w:rsidRPr="0027789B">
              <w:rPr>
                <w:b/>
                <w:iCs/>
                <w:color w:val="000000"/>
                <w:w w:val="0"/>
              </w:rPr>
              <w:t>Engineering</w:t>
            </w:r>
          </w:p>
        </w:tc>
      </w:tr>
      <w:tr w:rsidR="006B1090" w:rsidRPr="0027789B" w14:paraId="015BF726" w14:textId="77777777" w:rsidTr="00CB0170">
        <w:trPr>
          <w:trHeight w:val="288"/>
          <w:jc w:val="center"/>
        </w:trPr>
        <w:tc>
          <w:tcPr>
            <w:tcW w:w="0" w:type="auto"/>
          </w:tcPr>
          <w:p w14:paraId="1FA67BEB" w14:textId="77777777" w:rsidR="006B1090" w:rsidRPr="0027789B" w:rsidRDefault="006B1090" w:rsidP="00CB0170">
            <w:pPr>
              <w:ind w:left="36"/>
              <w:jc w:val="center"/>
              <w:rPr>
                <w:iCs/>
                <w:color w:val="000000"/>
                <w:w w:val="0"/>
              </w:rPr>
            </w:pPr>
            <w:r w:rsidRPr="0027789B">
              <w:rPr>
                <w:iCs/>
                <w:color w:val="000000"/>
                <w:w w:val="0"/>
              </w:rPr>
              <w:t>17</w:t>
            </w:r>
          </w:p>
        </w:tc>
        <w:tc>
          <w:tcPr>
            <w:tcW w:w="2070" w:type="dxa"/>
          </w:tcPr>
          <w:p w14:paraId="50EC99EC" w14:textId="77777777" w:rsidR="006B1090" w:rsidRPr="0027789B" w:rsidRDefault="006B1090" w:rsidP="00CB0170">
            <w:pPr>
              <w:ind w:left="-80"/>
              <w:jc w:val="center"/>
              <w:rPr>
                <w:iCs/>
                <w:color w:val="000000"/>
                <w:w w:val="0"/>
              </w:rPr>
            </w:pPr>
          </w:p>
        </w:tc>
        <w:tc>
          <w:tcPr>
            <w:tcW w:w="5482" w:type="dxa"/>
          </w:tcPr>
          <w:p w14:paraId="1FD9CB60" w14:textId="77777777" w:rsidR="006B1090" w:rsidRPr="0027789B" w:rsidRDefault="006B1090" w:rsidP="00CB0170">
            <w:pPr>
              <w:ind w:left="382"/>
              <w:rPr>
                <w:iCs/>
                <w:color w:val="000000"/>
                <w:w w:val="0"/>
              </w:rPr>
            </w:pPr>
            <w:r w:rsidRPr="0027789B">
              <w:rPr>
                <w:iCs/>
                <w:color w:val="000000"/>
                <w:w w:val="0"/>
              </w:rPr>
              <w:t>Execute EPC Contract</w:t>
            </w:r>
          </w:p>
        </w:tc>
      </w:tr>
      <w:tr w:rsidR="006B1090" w:rsidRPr="0027789B" w14:paraId="2677EACE" w14:textId="77777777" w:rsidTr="00CB0170">
        <w:trPr>
          <w:trHeight w:val="288"/>
          <w:jc w:val="center"/>
        </w:trPr>
        <w:tc>
          <w:tcPr>
            <w:tcW w:w="0" w:type="auto"/>
          </w:tcPr>
          <w:p w14:paraId="4025150B" w14:textId="77777777" w:rsidR="006B1090" w:rsidRPr="0027789B" w:rsidRDefault="006B1090" w:rsidP="00CB0170">
            <w:pPr>
              <w:ind w:left="36"/>
              <w:jc w:val="center"/>
              <w:rPr>
                <w:iCs/>
                <w:color w:val="000000"/>
                <w:w w:val="0"/>
              </w:rPr>
            </w:pPr>
            <w:r w:rsidRPr="0027789B">
              <w:rPr>
                <w:iCs/>
                <w:color w:val="000000"/>
                <w:w w:val="0"/>
              </w:rPr>
              <w:t>18</w:t>
            </w:r>
          </w:p>
        </w:tc>
        <w:tc>
          <w:tcPr>
            <w:tcW w:w="2070" w:type="dxa"/>
          </w:tcPr>
          <w:p w14:paraId="69A50F3A" w14:textId="77777777" w:rsidR="006B1090" w:rsidRPr="0027789B" w:rsidRDefault="006B1090" w:rsidP="00CB0170">
            <w:pPr>
              <w:ind w:left="-80"/>
              <w:jc w:val="center"/>
              <w:rPr>
                <w:iCs/>
                <w:color w:val="000000"/>
                <w:w w:val="0"/>
              </w:rPr>
            </w:pPr>
          </w:p>
        </w:tc>
        <w:tc>
          <w:tcPr>
            <w:tcW w:w="5482" w:type="dxa"/>
          </w:tcPr>
          <w:p w14:paraId="7C460D44" w14:textId="77777777" w:rsidR="006B1090" w:rsidRPr="0027789B" w:rsidRDefault="006B1090" w:rsidP="00CB0170">
            <w:pPr>
              <w:ind w:left="382"/>
              <w:rPr>
                <w:iCs/>
                <w:color w:val="000000"/>
                <w:w w:val="0"/>
              </w:rPr>
            </w:pPr>
            <w:r w:rsidRPr="0027789B">
              <w:rPr>
                <w:iCs/>
                <w:color w:val="000000"/>
                <w:w w:val="0"/>
              </w:rPr>
              <w:t>Begin Existing Site Re-Engineering</w:t>
            </w:r>
          </w:p>
        </w:tc>
      </w:tr>
      <w:tr w:rsidR="006B1090" w:rsidRPr="0027789B" w14:paraId="0B2D05BD" w14:textId="77777777" w:rsidTr="00CB0170">
        <w:trPr>
          <w:trHeight w:val="288"/>
          <w:jc w:val="center"/>
        </w:trPr>
        <w:tc>
          <w:tcPr>
            <w:tcW w:w="0" w:type="auto"/>
          </w:tcPr>
          <w:p w14:paraId="6177B979" w14:textId="77777777" w:rsidR="006B1090" w:rsidRPr="0027789B" w:rsidRDefault="006B1090" w:rsidP="00CB0170">
            <w:pPr>
              <w:ind w:left="36"/>
              <w:jc w:val="center"/>
              <w:rPr>
                <w:iCs/>
                <w:color w:val="000000"/>
                <w:w w:val="0"/>
              </w:rPr>
            </w:pPr>
            <w:r w:rsidRPr="0027789B">
              <w:rPr>
                <w:iCs/>
                <w:color w:val="000000"/>
                <w:w w:val="0"/>
              </w:rPr>
              <w:t>19</w:t>
            </w:r>
          </w:p>
        </w:tc>
        <w:tc>
          <w:tcPr>
            <w:tcW w:w="2070" w:type="dxa"/>
          </w:tcPr>
          <w:p w14:paraId="49135297" w14:textId="77777777" w:rsidR="006B1090" w:rsidRPr="0027789B" w:rsidRDefault="006B1090" w:rsidP="00CB0170">
            <w:pPr>
              <w:ind w:left="-80"/>
              <w:jc w:val="center"/>
              <w:rPr>
                <w:iCs/>
                <w:color w:val="000000"/>
                <w:w w:val="0"/>
              </w:rPr>
            </w:pPr>
          </w:p>
        </w:tc>
        <w:tc>
          <w:tcPr>
            <w:tcW w:w="5482" w:type="dxa"/>
          </w:tcPr>
          <w:p w14:paraId="05543976" w14:textId="77777777" w:rsidR="006B1090" w:rsidRPr="0027789B" w:rsidRDefault="006B1090" w:rsidP="00CB0170">
            <w:pPr>
              <w:ind w:left="382"/>
              <w:rPr>
                <w:iCs/>
                <w:color w:val="000000"/>
                <w:w w:val="0"/>
              </w:rPr>
            </w:pPr>
            <w:r w:rsidRPr="0027789B">
              <w:rPr>
                <w:iCs/>
                <w:color w:val="000000"/>
                <w:w w:val="0"/>
              </w:rPr>
              <w:t>Begin New Storage Unit Engineering Design</w:t>
            </w:r>
          </w:p>
        </w:tc>
      </w:tr>
      <w:tr w:rsidR="006B1090" w:rsidRPr="0027789B" w14:paraId="25E311D4" w14:textId="77777777" w:rsidTr="00CB0170">
        <w:trPr>
          <w:trHeight w:val="288"/>
          <w:jc w:val="center"/>
        </w:trPr>
        <w:tc>
          <w:tcPr>
            <w:tcW w:w="0" w:type="auto"/>
          </w:tcPr>
          <w:p w14:paraId="5941DB08" w14:textId="77777777" w:rsidR="006B1090" w:rsidRPr="0027789B" w:rsidRDefault="006B1090" w:rsidP="00CB0170">
            <w:pPr>
              <w:ind w:left="36"/>
              <w:jc w:val="center"/>
              <w:rPr>
                <w:iCs/>
                <w:color w:val="000000"/>
                <w:w w:val="0"/>
              </w:rPr>
            </w:pPr>
            <w:r w:rsidRPr="0027789B">
              <w:rPr>
                <w:iCs/>
                <w:color w:val="000000"/>
                <w:w w:val="0"/>
              </w:rPr>
              <w:t>20</w:t>
            </w:r>
          </w:p>
        </w:tc>
        <w:tc>
          <w:tcPr>
            <w:tcW w:w="2070" w:type="dxa"/>
          </w:tcPr>
          <w:p w14:paraId="4E7CA4A9" w14:textId="77777777" w:rsidR="006B1090" w:rsidRPr="0027789B" w:rsidRDefault="006B1090" w:rsidP="00CB0170">
            <w:pPr>
              <w:ind w:left="-80"/>
              <w:jc w:val="center"/>
              <w:rPr>
                <w:iCs/>
                <w:color w:val="000000"/>
                <w:w w:val="0"/>
              </w:rPr>
            </w:pPr>
          </w:p>
        </w:tc>
        <w:tc>
          <w:tcPr>
            <w:tcW w:w="5482" w:type="dxa"/>
          </w:tcPr>
          <w:p w14:paraId="1EC5D0AC" w14:textId="77777777" w:rsidR="006B1090" w:rsidRPr="0027789B" w:rsidRDefault="006B1090" w:rsidP="00CB0170">
            <w:pPr>
              <w:ind w:left="382"/>
              <w:rPr>
                <w:iCs/>
                <w:color w:val="000000"/>
                <w:w w:val="0"/>
              </w:rPr>
            </w:pPr>
            <w:r w:rsidRPr="0027789B">
              <w:rPr>
                <w:iCs/>
                <w:color w:val="000000"/>
                <w:w w:val="0"/>
              </w:rPr>
              <w:t>Lump Sum Estimate Preparation</w:t>
            </w:r>
          </w:p>
        </w:tc>
      </w:tr>
      <w:tr w:rsidR="006B1090" w:rsidRPr="0027789B" w14:paraId="6969C047" w14:textId="77777777" w:rsidTr="00CB0170">
        <w:trPr>
          <w:trHeight w:val="288"/>
          <w:jc w:val="center"/>
        </w:trPr>
        <w:tc>
          <w:tcPr>
            <w:tcW w:w="0" w:type="auto"/>
          </w:tcPr>
          <w:p w14:paraId="132FC676" w14:textId="77777777" w:rsidR="006B1090" w:rsidRPr="0027789B" w:rsidRDefault="006B1090" w:rsidP="00CB0170">
            <w:pPr>
              <w:ind w:left="36"/>
              <w:jc w:val="center"/>
              <w:rPr>
                <w:iCs/>
                <w:color w:val="000000"/>
                <w:w w:val="0"/>
              </w:rPr>
            </w:pPr>
            <w:r w:rsidRPr="0027789B">
              <w:rPr>
                <w:iCs/>
                <w:color w:val="000000"/>
                <w:w w:val="0"/>
              </w:rPr>
              <w:t>21</w:t>
            </w:r>
          </w:p>
        </w:tc>
        <w:tc>
          <w:tcPr>
            <w:tcW w:w="2070" w:type="dxa"/>
          </w:tcPr>
          <w:p w14:paraId="2ADD6B8B" w14:textId="77777777" w:rsidR="006B1090" w:rsidRPr="0027789B" w:rsidRDefault="006B1090" w:rsidP="00CB0170">
            <w:pPr>
              <w:ind w:left="-80"/>
              <w:jc w:val="center"/>
              <w:rPr>
                <w:iCs/>
                <w:color w:val="000000"/>
                <w:w w:val="0"/>
              </w:rPr>
            </w:pPr>
          </w:p>
        </w:tc>
        <w:tc>
          <w:tcPr>
            <w:tcW w:w="5482" w:type="dxa"/>
          </w:tcPr>
          <w:p w14:paraId="0B7382B3" w14:textId="77777777" w:rsidR="006B1090" w:rsidRPr="0027789B" w:rsidRDefault="006B1090" w:rsidP="00CB0170">
            <w:pPr>
              <w:ind w:left="382"/>
              <w:rPr>
                <w:iCs/>
                <w:color w:val="000000"/>
                <w:w w:val="0"/>
              </w:rPr>
            </w:pPr>
            <w:r w:rsidRPr="0027789B">
              <w:rPr>
                <w:iCs/>
                <w:color w:val="000000"/>
                <w:w w:val="0"/>
              </w:rPr>
              <w:t>Complete Existing Site Re-Engineering</w:t>
            </w:r>
          </w:p>
        </w:tc>
      </w:tr>
      <w:tr w:rsidR="006B1090" w:rsidRPr="0027789B" w14:paraId="10DBD8E9" w14:textId="77777777" w:rsidTr="00CB0170">
        <w:trPr>
          <w:trHeight w:val="288"/>
          <w:jc w:val="center"/>
        </w:trPr>
        <w:tc>
          <w:tcPr>
            <w:tcW w:w="0" w:type="auto"/>
          </w:tcPr>
          <w:p w14:paraId="190246ED" w14:textId="77777777" w:rsidR="006B1090" w:rsidRPr="0027789B" w:rsidRDefault="006B1090" w:rsidP="00CB0170">
            <w:pPr>
              <w:ind w:left="36"/>
              <w:jc w:val="center"/>
              <w:rPr>
                <w:iCs/>
                <w:color w:val="000000"/>
                <w:w w:val="0"/>
              </w:rPr>
            </w:pPr>
            <w:r w:rsidRPr="0027789B">
              <w:rPr>
                <w:iCs/>
                <w:color w:val="000000"/>
                <w:w w:val="0"/>
              </w:rPr>
              <w:t>22</w:t>
            </w:r>
          </w:p>
        </w:tc>
        <w:tc>
          <w:tcPr>
            <w:tcW w:w="2070" w:type="dxa"/>
          </w:tcPr>
          <w:p w14:paraId="0767B17E" w14:textId="77777777" w:rsidR="006B1090" w:rsidRPr="0027789B" w:rsidRDefault="006B1090" w:rsidP="00CB0170">
            <w:pPr>
              <w:ind w:left="-80"/>
              <w:jc w:val="center"/>
              <w:rPr>
                <w:iCs/>
                <w:color w:val="000000"/>
                <w:w w:val="0"/>
              </w:rPr>
            </w:pPr>
          </w:p>
        </w:tc>
        <w:tc>
          <w:tcPr>
            <w:tcW w:w="5482" w:type="dxa"/>
          </w:tcPr>
          <w:p w14:paraId="3010D583" w14:textId="77777777" w:rsidR="006B1090" w:rsidRPr="0027789B" w:rsidRDefault="006B1090" w:rsidP="00CB0170">
            <w:pPr>
              <w:ind w:left="382"/>
              <w:rPr>
                <w:iCs/>
                <w:color w:val="000000"/>
                <w:w w:val="0"/>
              </w:rPr>
            </w:pPr>
            <w:r w:rsidRPr="0027789B">
              <w:rPr>
                <w:iCs/>
                <w:color w:val="000000"/>
                <w:w w:val="0"/>
              </w:rPr>
              <w:t>Complete New Storage Unit Engineering Design</w:t>
            </w:r>
          </w:p>
        </w:tc>
      </w:tr>
      <w:tr w:rsidR="006B1090" w:rsidRPr="0027789B" w14:paraId="36BBFC29" w14:textId="77777777" w:rsidTr="00CB0170">
        <w:trPr>
          <w:trHeight w:val="288"/>
          <w:jc w:val="center"/>
        </w:trPr>
        <w:tc>
          <w:tcPr>
            <w:tcW w:w="0" w:type="auto"/>
          </w:tcPr>
          <w:p w14:paraId="5D1D1FB6" w14:textId="77777777" w:rsidR="006B1090" w:rsidRPr="0027789B" w:rsidRDefault="006B1090" w:rsidP="00CB0170">
            <w:pPr>
              <w:ind w:left="36"/>
              <w:jc w:val="center"/>
              <w:rPr>
                <w:iCs/>
                <w:color w:val="000000"/>
                <w:w w:val="0"/>
              </w:rPr>
            </w:pPr>
            <w:r w:rsidRPr="0027789B">
              <w:rPr>
                <w:iCs/>
                <w:color w:val="000000"/>
                <w:w w:val="0"/>
              </w:rPr>
              <w:t>23</w:t>
            </w:r>
          </w:p>
        </w:tc>
        <w:tc>
          <w:tcPr>
            <w:tcW w:w="2070" w:type="dxa"/>
          </w:tcPr>
          <w:p w14:paraId="41566461" w14:textId="77777777" w:rsidR="006B1090" w:rsidRPr="0027789B" w:rsidRDefault="006B1090" w:rsidP="00CB0170">
            <w:pPr>
              <w:ind w:left="-80"/>
              <w:jc w:val="center"/>
              <w:rPr>
                <w:iCs/>
                <w:color w:val="000000"/>
                <w:w w:val="0"/>
              </w:rPr>
            </w:pPr>
          </w:p>
        </w:tc>
        <w:tc>
          <w:tcPr>
            <w:tcW w:w="5482" w:type="dxa"/>
          </w:tcPr>
          <w:p w14:paraId="2A55C038" w14:textId="77777777" w:rsidR="006B1090" w:rsidRPr="0027789B" w:rsidRDefault="006B1090" w:rsidP="00CB0170">
            <w:pPr>
              <w:ind w:left="64"/>
              <w:rPr>
                <w:b/>
                <w:iCs/>
                <w:color w:val="000000"/>
                <w:w w:val="0"/>
              </w:rPr>
            </w:pPr>
            <w:r w:rsidRPr="0027789B">
              <w:rPr>
                <w:b/>
                <w:iCs/>
                <w:color w:val="000000"/>
                <w:w w:val="0"/>
              </w:rPr>
              <w:t>Construction – Initial Site Work</w:t>
            </w:r>
          </w:p>
        </w:tc>
      </w:tr>
      <w:tr w:rsidR="006B1090" w:rsidRPr="0027789B" w14:paraId="057D051C" w14:textId="77777777" w:rsidTr="00CB0170">
        <w:trPr>
          <w:trHeight w:val="288"/>
          <w:jc w:val="center"/>
        </w:trPr>
        <w:tc>
          <w:tcPr>
            <w:tcW w:w="0" w:type="auto"/>
          </w:tcPr>
          <w:p w14:paraId="64C5863C" w14:textId="77777777" w:rsidR="006B1090" w:rsidRPr="0027789B" w:rsidRDefault="006B1090" w:rsidP="00CB0170">
            <w:pPr>
              <w:ind w:left="36"/>
              <w:jc w:val="center"/>
              <w:rPr>
                <w:iCs/>
                <w:color w:val="000000"/>
                <w:w w:val="0"/>
              </w:rPr>
            </w:pPr>
            <w:r w:rsidRPr="0027789B">
              <w:rPr>
                <w:iCs/>
                <w:color w:val="000000"/>
                <w:w w:val="0"/>
              </w:rPr>
              <w:t>24</w:t>
            </w:r>
          </w:p>
        </w:tc>
        <w:tc>
          <w:tcPr>
            <w:tcW w:w="2070" w:type="dxa"/>
          </w:tcPr>
          <w:p w14:paraId="08BBA7BB" w14:textId="77777777" w:rsidR="006B1090" w:rsidRPr="0027789B" w:rsidRDefault="006B1090" w:rsidP="00CB0170">
            <w:pPr>
              <w:ind w:left="-80"/>
              <w:jc w:val="center"/>
              <w:rPr>
                <w:iCs/>
                <w:color w:val="000000"/>
                <w:w w:val="0"/>
              </w:rPr>
            </w:pPr>
          </w:p>
        </w:tc>
        <w:tc>
          <w:tcPr>
            <w:tcW w:w="5482" w:type="dxa"/>
          </w:tcPr>
          <w:p w14:paraId="221E750C" w14:textId="77777777" w:rsidR="006B1090" w:rsidRPr="0027789B" w:rsidRDefault="006B1090" w:rsidP="00CB0170">
            <w:pPr>
              <w:ind w:left="382"/>
              <w:rPr>
                <w:iCs/>
                <w:color w:val="000000"/>
                <w:w w:val="0"/>
              </w:rPr>
            </w:pPr>
            <w:r w:rsidRPr="0027789B">
              <w:rPr>
                <w:iCs/>
                <w:color w:val="000000"/>
                <w:w w:val="0"/>
              </w:rPr>
              <w:t>Begin Civil Tasks - CTG’s</w:t>
            </w:r>
          </w:p>
        </w:tc>
      </w:tr>
      <w:tr w:rsidR="006B1090" w:rsidRPr="0027789B" w14:paraId="76480B70" w14:textId="77777777" w:rsidTr="00CB0170">
        <w:trPr>
          <w:trHeight w:val="288"/>
          <w:jc w:val="center"/>
        </w:trPr>
        <w:tc>
          <w:tcPr>
            <w:tcW w:w="0" w:type="auto"/>
          </w:tcPr>
          <w:p w14:paraId="2839BC0B" w14:textId="77777777" w:rsidR="006B1090" w:rsidRPr="0027789B" w:rsidRDefault="006B1090" w:rsidP="00CB0170">
            <w:pPr>
              <w:ind w:left="36"/>
              <w:jc w:val="center"/>
              <w:rPr>
                <w:iCs/>
                <w:color w:val="000000"/>
                <w:w w:val="0"/>
              </w:rPr>
            </w:pPr>
            <w:r w:rsidRPr="0027789B">
              <w:rPr>
                <w:iCs/>
                <w:color w:val="000000"/>
                <w:w w:val="0"/>
              </w:rPr>
              <w:t>25</w:t>
            </w:r>
          </w:p>
        </w:tc>
        <w:tc>
          <w:tcPr>
            <w:tcW w:w="2070" w:type="dxa"/>
          </w:tcPr>
          <w:p w14:paraId="49EFC6AA" w14:textId="77777777" w:rsidR="006B1090" w:rsidRPr="0027789B" w:rsidRDefault="006B1090" w:rsidP="00CB0170">
            <w:pPr>
              <w:ind w:left="-80"/>
              <w:jc w:val="center"/>
              <w:rPr>
                <w:iCs/>
                <w:color w:val="000000"/>
                <w:w w:val="0"/>
              </w:rPr>
            </w:pPr>
          </w:p>
        </w:tc>
        <w:tc>
          <w:tcPr>
            <w:tcW w:w="5482" w:type="dxa"/>
          </w:tcPr>
          <w:p w14:paraId="0EA54B57" w14:textId="77777777" w:rsidR="006B1090" w:rsidRPr="0027789B" w:rsidRDefault="006B1090" w:rsidP="00CB0170">
            <w:pPr>
              <w:ind w:left="382"/>
              <w:rPr>
                <w:iCs/>
                <w:color w:val="000000"/>
                <w:w w:val="0"/>
              </w:rPr>
            </w:pPr>
            <w:r w:rsidRPr="0027789B">
              <w:rPr>
                <w:iCs/>
                <w:color w:val="000000"/>
                <w:w w:val="0"/>
              </w:rPr>
              <w:t>Begin Mechanical Tasks - U/G Piping</w:t>
            </w:r>
          </w:p>
        </w:tc>
      </w:tr>
      <w:tr w:rsidR="006B1090" w:rsidRPr="0027789B" w14:paraId="69B86F60" w14:textId="77777777" w:rsidTr="00CB0170">
        <w:trPr>
          <w:trHeight w:val="288"/>
          <w:jc w:val="center"/>
        </w:trPr>
        <w:tc>
          <w:tcPr>
            <w:tcW w:w="0" w:type="auto"/>
          </w:tcPr>
          <w:p w14:paraId="44EBC8CA" w14:textId="77777777" w:rsidR="006B1090" w:rsidRPr="0027789B" w:rsidRDefault="006B1090" w:rsidP="00CB0170">
            <w:pPr>
              <w:ind w:left="36"/>
              <w:jc w:val="center"/>
              <w:rPr>
                <w:iCs/>
                <w:color w:val="000000"/>
                <w:w w:val="0"/>
              </w:rPr>
            </w:pPr>
            <w:r w:rsidRPr="0027789B">
              <w:rPr>
                <w:iCs/>
                <w:color w:val="000000"/>
                <w:w w:val="0"/>
              </w:rPr>
              <w:t>26</w:t>
            </w:r>
          </w:p>
        </w:tc>
        <w:tc>
          <w:tcPr>
            <w:tcW w:w="2070" w:type="dxa"/>
          </w:tcPr>
          <w:p w14:paraId="2482C606" w14:textId="77777777" w:rsidR="006B1090" w:rsidRPr="0027789B" w:rsidRDefault="006B1090" w:rsidP="00CB0170">
            <w:pPr>
              <w:ind w:left="-80"/>
              <w:jc w:val="center"/>
              <w:rPr>
                <w:iCs/>
                <w:w w:val="0"/>
              </w:rPr>
            </w:pPr>
          </w:p>
        </w:tc>
        <w:tc>
          <w:tcPr>
            <w:tcW w:w="5482" w:type="dxa"/>
          </w:tcPr>
          <w:p w14:paraId="47F3A973" w14:textId="77777777" w:rsidR="006B1090" w:rsidRPr="0027789B" w:rsidRDefault="006B1090" w:rsidP="00CB0170">
            <w:pPr>
              <w:ind w:left="382"/>
              <w:rPr>
                <w:iCs/>
                <w:w w:val="0"/>
              </w:rPr>
            </w:pPr>
            <w:r w:rsidRPr="0027789B">
              <w:rPr>
                <w:iCs/>
                <w:w w:val="0"/>
              </w:rPr>
              <w:t>Begin Electrical Tasks - U/G Electrical</w:t>
            </w:r>
          </w:p>
        </w:tc>
      </w:tr>
      <w:tr w:rsidR="006B1090" w:rsidRPr="0027789B" w14:paraId="39C7CA7E" w14:textId="77777777" w:rsidTr="00CB0170">
        <w:trPr>
          <w:trHeight w:val="288"/>
          <w:jc w:val="center"/>
        </w:trPr>
        <w:tc>
          <w:tcPr>
            <w:tcW w:w="0" w:type="auto"/>
          </w:tcPr>
          <w:p w14:paraId="6395A478" w14:textId="77777777" w:rsidR="006B1090" w:rsidRPr="0027789B" w:rsidRDefault="006B1090" w:rsidP="00CB0170">
            <w:pPr>
              <w:ind w:left="36"/>
              <w:jc w:val="center"/>
              <w:rPr>
                <w:iCs/>
                <w:color w:val="000000"/>
                <w:w w:val="0"/>
              </w:rPr>
            </w:pPr>
            <w:r w:rsidRPr="0027789B">
              <w:rPr>
                <w:iCs/>
                <w:color w:val="000000"/>
                <w:w w:val="0"/>
              </w:rPr>
              <w:lastRenderedPageBreak/>
              <w:t>27</w:t>
            </w:r>
          </w:p>
        </w:tc>
        <w:tc>
          <w:tcPr>
            <w:tcW w:w="2070" w:type="dxa"/>
          </w:tcPr>
          <w:p w14:paraId="7ED36D53" w14:textId="77777777" w:rsidR="006B1090" w:rsidRPr="0027789B" w:rsidRDefault="006B1090" w:rsidP="00CB0170">
            <w:pPr>
              <w:ind w:left="-80"/>
              <w:jc w:val="center"/>
              <w:rPr>
                <w:iCs/>
                <w:color w:val="000000"/>
                <w:w w:val="0"/>
              </w:rPr>
            </w:pPr>
          </w:p>
        </w:tc>
        <w:tc>
          <w:tcPr>
            <w:tcW w:w="5482" w:type="dxa"/>
          </w:tcPr>
          <w:p w14:paraId="10161246" w14:textId="77777777" w:rsidR="006B1090" w:rsidRPr="0027789B" w:rsidRDefault="006B1090" w:rsidP="00CB0170">
            <w:pPr>
              <w:ind w:left="10"/>
              <w:rPr>
                <w:b/>
                <w:iCs/>
                <w:color w:val="000000"/>
                <w:w w:val="0"/>
              </w:rPr>
            </w:pPr>
            <w:r w:rsidRPr="0027789B">
              <w:rPr>
                <w:b/>
                <w:iCs/>
                <w:color w:val="000000"/>
                <w:w w:val="0"/>
              </w:rPr>
              <w:t>Construction</w:t>
            </w:r>
          </w:p>
        </w:tc>
      </w:tr>
      <w:tr w:rsidR="006B1090" w:rsidRPr="0027789B" w14:paraId="1C463ADC" w14:textId="77777777" w:rsidTr="00CB0170">
        <w:trPr>
          <w:trHeight w:val="288"/>
          <w:jc w:val="center"/>
        </w:trPr>
        <w:tc>
          <w:tcPr>
            <w:tcW w:w="0" w:type="auto"/>
          </w:tcPr>
          <w:p w14:paraId="40B00D0E" w14:textId="77777777" w:rsidR="006B1090" w:rsidRPr="0027789B" w:rsidRDefault="006B1090" w:rsidP="00CB0170">
            <w:pPr>
              <w:ind w:left="36"/>
              <w:jc w:val="center"/>
              <w:rPr>
                <w:iCs/>
                <w:color w:val="000000"/>
                <w:w w:val="0"/>
              </w:rPr>
            </w:pPr>
            <w:r w:rsidRPr="0027789B">
              <w:rPr>
                <w:iCs/>
                <w:color w:val="000000"/>
                <w:w w:val="0"/>
              </w:rPr>
              <w:t>28</w:t>
            </w:r>
          </w:p>
        </w:tc>
        <w:tc>
          <w:tcPr>
            <w:tcW w:w="2070" w:type="dxa"/>
          </w:tcPr>
          <w:p w14:paraId="3CF19E4A" w14:textId="77777777" w:rsidR="006B1090" w:rsidRPr="0027789B" w:rsidRDefault="006B1090" w:rsidP="00CB0170">
            <w:pPr>
              <w:ind w:left="-80"/>
              <w:jc w:val="center"/>
              <w:rPr>
                <w:iCs/>
                <w:w w:val="0"/>
              </w:rPr>
            </w:pPr>
          </w:p>
        </w:tc>
        <w:tc>
          <w:tcPr>
            <w:tcW w:w="5482" w:type="dxa"/>
          </w:tcPr>
          <w:p w14:paraId="1C524C4F" w14:textId="77777777" w:rsidR="006B1090" w:rsidRPr="0027789B" w:rsidRDefault="006B1090" w:rsidP="00CB0170">
            <w:pPr>
              <w:ind w:left="382"/>
              <w:rPr>
                <w:iCs/>
                <w:w w:val="0"/>
              </w:rPr>
            </w:pPr>
            <w:r w:rsidRPr="0027789B">
              <w:rPr>
                <w:iCs/>
                <w:w w:val="0"/>
              </w:rPr>
              <w:t>Begin Construction of the Project - Erect Equipment</w:t>
            </w:r>
          </w:p>
        </w:tc>
      </w:tr>
      <w:tr w:rsidR="006B1090" w:rsidRPr="0027789B" w14:paraId="287DC648" w14:textId="77777777" w:rsidTr="00CB0170">
        <w:trPr>
          <w:trHeight w:val="288"/>
          <w:jc w:val="center"/>
        </w:trPr>
        <w:tc>
          <w:tcPr>
            <w:tcW w:w="0" w:type="auto"/>
          </w:tcPr>
          <w:p w14:paraId="4D4CBA53" w14:textId="77777777" w:rsidR="006B1090" w:rsidRPr="0027789B" w:rsidRDefault="006B1090" w:rsidP="00CB0170">
            <w:pPr>
              <w:ind w:left="36"/>
              <w:jc w:val="center"/>
              <w:rPr>
                <w:iCs/>
                <w:color w:val="000000"/>
                <w:w w:val="0"/>
              </w:rPr>
            </w:pPr>
            <w:r w:rsidRPr="0027789B">
              <w:rPr>
                <w:iCs/>
                <w:color w:val="000000"/>
                <w:w w:val="0"/>
              </w:rPr>
              <w:t>29</w:t>
            </w:r>
          </w:p>
        </w:tc>
        <w:tc>
          <w:tcPr>
            <w:tcW w:w="2070" w:type="dxa"/>
          </w:tcPr>
          <w:p w14:paraId="1394E908" w14:textId="77777777" w:rsidR="006B1090" w:rsidRPr="0027789B" w:rsidRDefault="006B1090" w:rsidP="00CB0170">
            <w:pPr>
              <w:ind w:left="-80"/>
              <w:jc w:val="center"/>
              <w:rPr>
                <w:iCs/>
                <w:color w:val="000000"/>
                <w:w w:val="0"/>
              </w:rPr>
            </w:pPr>
          </w:p>
        </w:tc>
        <w:tc>
          <w:tcPr>
            <w:tcW w:w="5482" w:type="dxa"/>
          </w:tcPr>
          <w:p w14:paraId="52BC9A71" w14:textId="77777777" w:rsidR="006B1090" w:rsidRPr="0027789B" w:rsidRDefault="006B1090" w:rsidP="00CB0170">
            <w:pPr>
              <w:ind w:left="382"/>
              <w:rPr>
                <w:iCs/>
                <w:color w:val="000000"/>
                <w:w w:val="0"/>
              </w:rPr>
            </w:pPr>
            <w:r w:rsidRPr="0027789B">
              <w:rPr>
                <w:iCs/>
                <w:color w:val="000000"/>
                <w:w w:val="0"/>
              </w:rPr>
              <w:t>Civil Tasks - Balance of Plant</w:t>
            </w:r>
          </w:p>
        </w:tc>
      </w:tr>
      <w:tr w:rsidR="006B1090" w:rsidRPr="0027789B" w14:paraId="632E5ECB" w14:textId="77777777" w:rsidTr="00CB0170">
        <w:trPr>
          <w:trHeight w:val="288"/>
          <w:jc w:val="center"/>
        </w:trPr>
        <w:tc>
          <w:tcPr>
            <w:tcW w:w="0" w:type="auto"/>
          </w:tcPr>
          <w:p w14:paraId="7C2C7AD7" w14:textId="77777777" w:rsidR="006B1090" w:rsidRPr="0027789B" w:rsidRDefault="006B1090" w:rsidP="00CB0170">
            <w:pPr>
              <w:ind w:left="36"/>
              <w:jc w:val="center"/>
              <w:rPr>
                <w:iCs/>
                <w:color w:val="000000"/>
                <w:w w:val="0"/>
              </w:rPr>
            </w:pPr>
            <w:r w:rsidRPr="0027789B">
              <w:rPr>
                <w:iCs/>
                <w:color w:val="000000"/>
                <w:w w:val="0"/>
              </w:rPr>
              <w:t>30</w:t>
            </w:r>
          </w:p>
        </w:tc>
        <w:tc>
          <w:tcPr>
            <w:tcW w:w="2070" w:type="dxa"/>
          </w:tcPr>
          <w:p w14:paraId="51717D45" w14:textId="77777777" w:rsidR="006B1090" w:rsidRPr="0027789B" w:rsidRDefault="006B1090" w:rsidP="00CB0170">
            <w:pPr>
              <w:ind w:left="-80"/>
              <w:jc w:val="center"/>
              <w:rPr>
                <w:iCs/>
                <w:color w:val="000000"/>
                <w:w w:val="0"/>
              </w:rPr>
            </w:pPr>
          </w:p>
        </w:tc>
        <w:tc>
          <w:tcPr>
            <w:tcW w:w="5482" w:type="dxa"/>
          </w:tcPr>
          <w:p w14:paraId="09DFA0F4" w14:textId="77777777" w:rsidR="006B1090" w:rsidRPr="0027789B" w:rsidRDefault="006B1090" w:rsidP="00CB0170">
            <w:pPr>
              <w:ind w:left="382"/>
              <w:rPr>
                <w:iCs/>
                <w:color w:val="000000"/>
                <w:w w:val="0"/>
              </w:rPr>
            </w:pPr>
            <w:r w:rsidRPr="0027789B">
              <w:rPr>
                <w:iCs/>
                <w:color w:val="000000"/>
                <w:w w:val="0"/>
              </w:rPr>
              <w:t>Mechanical Tasks - A/G Piping</w:t>
            </w:r>
          </w:p>
        </w:tc>
      </w:tr>
      <w:tr w:rsidR="006B1090" w:rsidRPr="0027789B" w14:paraId="4FA061FE" w14:textId="77777777" w:rsidTr="00CB0170">
        <w:trPr>
          <w:trHeight w:val="288"/>
          <w:jc w:val="center"/>
        </w:trPr>
        <w:tc>
          <w:tcPr>
            <w:tcW w:w="0" w:type="auto"/>
          </w:tcPr>
          <w:p w14:paraId="04F78DC2" w14:textId="77777777" w:rsidR="006B1090" w:rsidRPr="0027789B" w:rsidRDefault="006B1090" w:rsidP="00CB0170">
            <w:pPr>
              <w:ind w:left="36"/>
              <w:jc w:val="center"/>
              <w:rPr>
                <w:iCs/>
                <w:color w:val="000000"/>
                <w:w w:val="0"/>
              </w:rPr>
            </w:pPr>
            <w:r w:rsidRPr="0027789B">
              <w:rPr>
                <w:iCs/>
                <w:color w:val="000000"/>
                <w:w w:val="0"/>
              </w:rPr>
              <w:t>31</w:t>
            </w:r>
          </w:p>
        </w:tc>
        <w:tc>
          <w:tcPr>
            <w:tcW w:w="2070" w:type="dxa"/>
          </w:tcPr>
          <w:p w14:paraId="2805F031" w14:textId="77777777" w:rsidR="006B1090" w:rsidRPr="0027789B" w:rsidRDefault="006B1090" w:rsidP="00CB0170">
            <w:pPr>
              <w:ind w:left="-80"/>
              <w:jc w:val="center"/>
              <w:rPr>
                <w:iCs/>
                <w:color w:val="000000"/>
                <w:w w:val="0"/>
              </w:rPr>
            </w:pPr>
          </w:p>
        </w:tc>
        <w:tc>
          <w:tcPr>
            <w:tcW w:w="5482" w:type="dxa"/>
          </w:tcPr>
          <w:p w14:paraId="06DC61CB" w14:textId="77777777" w:rsidR="006B1090" w:rsidRPr="0027789B" w:rsidRDefault="006B1090" w:rsidP="00CB0170">
            <w:pPr>
              <w:ind w:left="382"/>
              <w:rPr>
                <w:iCs/>
                <w:color w:val="000000"/>
                <w:w w:val="0"/>
              </w:rPr>
            </w:pPr>
            <w:r w:rsidRPr="0027789B">
              <w:rPr>
                <w:iCs/>
                <w:color w:val="000000"/>
                <w:w w:val="0"/>
              </w:rPr>
              <w:t>Electrical Tasks - A/G Electrical</w:t>
            </w:r>
          </w:p>
        </w:tc>
      </w:tr>
      <w:tr w:rsidR="006B1090" w:rsidRPr="0027789B" w14:paraId="215B4FA6" w14:textId="77777777" w:rsidTr="00CB0170">
        <w:trPr>
          <w:trHeight w:val="288"/>
          <w:jc w:val="center"/>
        </w:trPr>
        <w:tc>
          <w:tcPr>
            <w:tcW w:w="0" w:type="auto"/>
          </w:tcPr>
          <w:p w14:paraId="56DC1E6B" w14:textId="77777777" w:rsidR="006B1090" w:rsidRPr="0027789B" w:rsidRDefault="006B1090" w:rsidP="00CB0170">
            <w:pPr>
              <w:ind w:left="36"/>
              <w:jc w:val="center"/>
              <w:rPr>
                <w:iCs/>
                <w:color w:val="000000"/>
                <w:w w:val="0"/>
              </w:rPr>
            </w:pPr>
            <w:r w:rsidRPr="0027789B">
              <w:rPr>
                <w:iCs/>
                <w:color w:val="000000"/>
                <w:w w:val="0"/>
              </w:rPr>
              <w:t>32</w:t>
            </w:r>
          </w:p>
        </w:tc>
        <w:tc>
          <w:tcPr>
            <w:tcW w:w="2070" w:type="dxa"/>
          </w:tcPr>
          <w:p w14:paraId="5587E435" w14:textId="77777777" w:rsidR="006B1090" w:rsidRPr="0027789B" w:rsidRDefault="006B1090" w:rsidP="00CB0170">
            <w:pPr>
              <w:ind w:left="-80"/>
              <w:jc w:val="center"/>
              <w:rPr>
                <w:iCs/>
                <w:color w:val="000000"/>
                <w:w w:val="0"/>
              </w:rPr>
            </w:pPr>
          </w:p>
        </w:tc>
        <w:tc>
          <w:tcPr>
            <w:tcW w:w="5482" w:type="dxa"/>
          </w:tcPr>
          <w:p w14:paraId="594AB053" w14:textId="77777777" w:rsidR="006B1090" w:rsidRPr="0027789B" w:rsidRDefault="006B1090" w:rsidP="00CB0170">
            <w:pPr>
              <w:ind w:left="382"/>
              <w:rPr>
                <w:iCs/>
                <w:color w:val="000000"/>
                <w:w w:val="0"/>
              </w:rPr>
            </w:pPr>
            <w:r w:rsidRPr="0027789B">
              <w:rPr>
                <w:iCs/>
                <w:color w:val="000000"/>
                <w:w w:val="0"/>
              </w:rPr>
              <w:t>Erect Storage Units</w:t>
            </w:r>
          </w:p>
        </w:tc>
      </w:tr>
      <w:tr w:rsidR="006B1090" w:rsidRPr="0027789B" w14:paraId="1A76FAB5" w14:textId="77777777" w:rsidTr="00CB0170">
        <w:trPr>
          <w:trHeight w:val="288"/>
          <w:jc w:val="center"/>
        </w:trPr>
        <w:tc>
          <w:tcPr>
            <w:tcW w:w="0" w:type="auto"/>
          </w:tcPr>
          <w:p w14:paraId="470B5192" w14:textId="77777777" w:rsidR="006B1090" w:rsidRPr="0027789B" w:rsidRDefault="006B1090" w:rsidP="00CB0170">
            <w:pPr>
              <w:ind w:left="36"/>
              <w:jc w:val="center"/>
              <w:rPr>
                <w:iCs/>
                <w:color w:val="000000"/>
                <w:w w:val="0"/>
              </w:rPr>
            </w:pPr>
            <w:r w:rsidRPr="0027789B">
              <w:rPr>
                <w:iCs/>
                <w:color w:val="000000"/>
                <w:w w:val="0"/>
              </w:rPr>
              <w:t>33</w:t>
            </w:r>
          </w:p>
        </w:tc>
        <w:tc>
          <w:tcPr>
            <w:tcW w:w="2070" w:type="dxa"/>
          </w:tcPr>
          <w:p w14:paraId="184525B5" w14:textId="77777777" w:rsidR="006B1090" w:rsidRPr="0027789B" w:rsidRDefault="006B1090" w:rsidP="00CB0170">
            <w:pPr>
              <w:ind w:left="-80"/>
              <w:jc w:val="center"/>
              <w:rPr>
                <w:iCs/>
                <w:color w:val="000000"/>
                <w:w w:val="0"/>
              </w:rPr>
            </w:pPr>
          </w:p>
        </w:tc>
        <w:tc>
          <w:tcPr>
            <w:tcW w:w="5482" w:type="dxa"/>
          </w:tcPr>
          <w:p w14:paraId="2FC45829" w14:textId="77777777" w:rsidR="006B1090" w:rsidRPr="0027789B" w:rsidRDefault="006B1090" w:rsidP="00CB0170">
            <w:pPr>
              <w:ind w:left="382"/>
              <w:rPr>
                <w:iCs/>
                <w:color w:val="000000"/>
                <w:w w:val="0"/>
              </w:rPr>
            </w:pPr>
            <w:r w:rsidRPr="0027789B">
              <w:rPr>
                <w:iCs/>
                <w:color w:val="000000"/>
                <w:w w:val="0"/>
              </w:rPr>
              <w:t>Commission Storage Units</w:t>
            </w:r>
          </w:p>
        </w:tc>
      </w:tr>
      <w:tr w:rsidR="006B1090" w:rsidRPr="0027789B" w14:paraId="4D85F8BD" w14:textId="77777777" w:rsidTr="00CB0170">
        <w:trPr>
          <w:trHeight w:val="288"/>
          <w:jc w:val="center"/>
        </w:trPr>
        <w:tc>
          <w:tcPr>
            <w:tcW w:w="0" w:type="auto"/>
          </w:tcPr>
          <w:p w14:paraId="617CB51D" w14:textId="77777777" w:rsidR="006B1090" w:rsidRPr="0027789B" w:rsidRDefault="006B1090" w:rsidP="00CB0170">
            <w:pPr>
              <w:ind w:left="36"/>
              <w:jc w:val="center"/>
              <w:rPr>
                <w:iCs/>
                <w:color w:val="000000"/>
                <w:w w:val="0"/>
              </w:rPr>
            </w:pPr>
            <w:r w:rsidRPr="0027789B">
              <w:rPr>
                <w:iCs/>
                <w:color w:val="000000"/>
                <w:w w:val="0"/>
              </w:rPr>
              <w:t>34</w:t>
            </w:r>
          </w:p>
        </w:tc>
        <w:tc>
          <w:tcPr>
            <w:tcW w:w="2070" w:type="dxa"/>
          </w:tcPr>
          <w:p w14:paraId="083CFEB1" w14:textId="77777777" w:rsidR="006B1090" w:rsidRPr="0027789B" w:rsidRDefault="006B1090" w:rsidP="00CB0170">
            <w:pPr>
              <w:ind w:left="-80"/>
              <w:jc w:val="center"/>
              <w:rPr>
                <w:iCs/>
                <w:color w:val="000000"/>
                <w:w w:val="0"/>
              </w:rPr>
            </w:pPr>
          </w:p>
        </w:tc>
        <w:tc>
          <w:tcPr>
            <w:tcW w:w="5482" w:type="dxa"/>
          </w:tcPr>
          <w:p w14:paraId="27038805" w14:textId="77777777" w:rsidR="006B1090" w:rsidRPr="0027789B" w:rsidRDefault="006B1090" w:rsidP="00CB0170">
            <w:pPr>
              <w:ind w:left="382"/>
              <w:rPr>
                <w:iCs/>
                <w:color w:val="000000"/>
                <w:w w:val="0"/>
              </w:rPr>
            </w:pPr>
            <w:r w:rsidRPr="0027789B">
              <w:rPr>
                <w:iCs/>
                <w:color w:val="000000"/>
                <w:w w:val="0"/>
              </w:rPr>
              <w:t>Complete Construction of the Project</w:t>
            </w:r>
          </w:p>
        </w:tc>
      </w:tr>
      <w:tr w:rsidR="006B1090" w:rsidRPr="0027789B" w14:paraId="09A223F2" w14:textId="77777777" w:rsidTr="00CB0170">
        <w:trPr>
          <w:trHeight w:val="288"/>
          <w:jc w:val="center"/>
        </w:trPr>
        <w:tc>
          <w:tcPr>
            <w:tcW w:w="0" w:type="auto"/>
          </w:tcPr>
          <w:p w14:paraId="27A44B18" w14:textId="77777777" w:rsidR="006B1090" w:rsidRPr="0027789B" w:rsidRDefault="006B1090" w:rsidP="00CB0170">
            <w:pPr>
              <w:ind w:left="36"/>
              <w:jc w:val="center"/>
              <w:rPr>
                <w:iCs/>
                <w:color w:val="000000"/>
                <w:w w:val="0"/>
              </w:rPr>
            </w:pPr>
            <w:r w:rsidRPr="0027789B">
              <w:rPr>
                <w:iCs/>
                <w:color w:val="000000"/>
                <w:w w:val="0"/>
              </w:rPr>
              <w:t>35</w:t>
            </w:r>
          </w:p>
        </w:tc>
        <w:tc>
          <w:tcPr>
            <w:tcW w:w="2070" w:type="dxa"/>
          </w:tcPr>
          <w:p w14:paraId="64E1A8CA" w14:textId="77777777" w:rsidR="006B1090" w:rsidRPr="0027789B" w:rsidRDefault="006B1090" w:rsidP="00CB0170">
            <w:pPr>
              <w:ind w:left="-80"/>
              <w:jc w:val="center"/>
              <w:rPr>
                <w:iCs/>
                <w:color w:val="000000"/>
                <w:w w:val="0"/>
              </w:rPr>
            </w:pPr>
          </w:p>
        </w:tc>
        <w:tc>
          <w:tcPr>
            <w:tcW w:w="5482" w:type="dxa"/>
          </w:tcPr>
          <w:p w14:paraId="40153BC1" w14:textId="77777777" w:rsidR="006B1090" w:rsidRPr="0027789B" w:rsidRDefault="006B1090" w:rsidP="00CB0170">
            <w:pPr>
              <w:ind w:left="382"/>
              <w:rPr>
                <w:iCs/>
                <w:color w:val="000000"/>
                <w:w w:val="0"/>
              </w:rPr>
            </w:pPr>
            <w:r w:rsidRPr="0027789B">
              <w:rPr>
                <w:iCs/>
                <w:color w:val="000000"/>
                <w:w w:val="0"/>
              </w:rPr>
              <w:t>Commissioning</w:t>
            </w:r>
          </w:p>
        </w:tc>
      </w:tr>
      <w:tr w:rsidR="006B1090" w:rsidRPr="0027789B" w14:paraId="58F0BD23" w14:textId="77777777" w:rsidTr="00CB0170">
        <w:trPr>
          <w:trHeight w:val="288"/>
          <w:jc w:val="center"/>
        </w:trPr>
        <w:tc>
          <w:tcPr>
            <w:tcW w:w="0" w:type="auto"/>
          </w:tcPr>
          <w:p w14:paraId="2C49C3AC" w14:textId="77777777" w:rsidR="006B1090" w:rsidRPr="0027789B" w:rsidRDefault="006B1090" w:rsidP="00CB0170">
            <w:pPr>
              <w:ind w:left="36"/>
              <w:jc w:val="center"/>
              <w:rPr>
                <w:iCs/>
                <w:color w:val="000000"/>
                <w:w w:val="0"/>
              </w:rPr>
            </w:pPr>
            <w:r w:rsidRPr="0027789B">
              <w:rPr>
                <w:iCs/>
                <w:color w:val="000000"/>
                <w:w w:val="0"/>
              </w:rPr>
              <w:t>36</w:t>
            </w:r>
          </w:p>
        </w:tc>
        <w:tc>
          <w:tcPr>
            <w:tcW w:w="2070" w:type="dxa"/>
          </w:tcPr>
          <w:p w14:paraId="24E45F46" w14:textId="77777777" w:rsidR="006B1090" w:rsidRPr="0027789B" w:rsidRDefault="006B1090" w:rsidP="00CB0170">
            <w:pPr>
              <w:ind w:left="-80"/>
              <w:jc w:val="center"/>
              <w:rPr>
                <w:iCs/>
                <w:color w:val="000000"/>
                <w:w w:val="0"/>
              </w:rPr>
            </w:pPr>
          </w:p>
        </w:tc>
        <w:tc>
          <w:tcPr>
            <w:tcW w:w="5482" w:type="dxa"/>
          </w:tcPr>
          <w:p w14:paraId="6827C656" w14:textId="77777777" w:rsidR="006B1090" w:rsidRPr="0027789B" w:rsidRDefault="006B1090" w:rsidP="00CB0170">
            <w:pPr>
              <w:ind w:left="382"/>
              <w:rPr>
                <w:iCs/>
                <w:color w:val="000000"/>
                <w:w w:val="0"/>
              </w:rPr>
            </w:pPr>
            <w:r w:rsidRPr="0027789B">
              <w:rPr>
                <w:iCs/>
                <w:color w:val="000000"/>
                <w:w w:val="0"/>
              </w:rPr>
              <w:t xml:space="preserve">Begin Start-Up </w:t>
            </w:r>
            <w:r w:rsidRPr="0027789B">
              <w:rPr>
                <w:iCs/>
                <w:w w:val="0"/>
              </w:rPr>
              <w:t>Activities - BOP Systems</w:t>
            </w:r>
          </w:p>
        </w:tc>
      </w:tr>
      <w:tr w:rsidR="006B1090" w:rsidRPr="0027789B" w14:paraId="34302DC5" w14:textId="77777777" w:rsidTr="00CB0170">
        <w:trPr>
          <w:trHeight w:val="288"/>
          <w:jc w:val="center"/>
        </w:trPr>
        <w:tc>
          <w:tcPr>
            <w:tcW w:w="0" w:type="auto"/>
          </w:tcPr>
          <w:p w14:paraId="2694D723" w14:textId="77777777" w:rsidR="006B1090" w:rsidRPr="0027789B" w:rsidRDefault="006B1090" w:rsidP="00CB0170">
            <w:pPr>
              <w:ind w:left="36"/>
              <w:jc w:val="center"/>
              <w:rPr>
                <w:iCs/>
                <w:color w:val="000000"/>
                <w:w w:val="0"/>
              </w:rPr>
            </w:pPr>
            <w:r>
              <w:rPr>
                <w:iCs/>
                <w:color w:val="000000"/>
                <w:w w:val="0"/>
              </w:rPr>
              <w:t>37</w:t>
            </w:r>
          </w:p>
        </w:tc>
        <w:tc>
          <w:tcPr>
            <w:tcW w:w="2070" w:type="dxa"/>
          </w:tcPr>
          <w:p w14:paraId="370E1103" w14:textId="77777777" w:rsidR="006B1090" w:rsidRPr="0027789B" w:rsidRDefault="006B1090" w:rsidP="00CB0170">
            <w:pPr>
              <w:ind w:left="-80"/>
              <w:jc w:val="center"/>
              <w:rPr>
                <w:iCs/>
                <w:color w:val="000000"/>
                <w:w w:val="0"/>
              </w:rPr>
            </w:pPr>
          </w:p>
        </w:tc>
        <w:tc>
          <w:tcPr>
            <w:tcW w:w="5482" w:type="dxa"/>
          </w:tcPr>
          <w:p w14:paraId="31AF7BE1" w14:textId="77777777" w:rsidR="006B1090" w:rsidRPr="0027789B" w:rsidRDefault="006B1090" w:rsidP="00CB0170">
            <w:pPr>
              <w:ind w:left="382"/>
              <w:rPr>
                <w:iCs/>
                <w:color w:val="000000"/>
                <w:w w:val="0"/>
              </w:rPr>
            </w:pPr>
            <w:r w:rsidRPr="001D4101">
              <w:rPr>
                <w:iCs/>
                <w:color w:val="000000"/>
                <w:w w:val="0"/>
              </w:rPr>
              <w:t xml:space="preserve">Conference with SCE Contract Manager regarding startup activities </w:t>
            </w:r>
            <w:r w:rsidRPr="00DB7FE0">
              <w:rPr>
                <w:i/>
                <w:color w:val="0000FF"/>
              </w:rPr>
              <w:t>{SCE Comment:  Conference should occur no later than 150 days prior to the Commercial Operation Date.}</w:t>
            </w:r>
          </w:p>
        </w:tc>
      </w:tr>
      <w:tr w:rsidR="006B1090" w:rsidRPr="0027789B" w14:paraId="628169E8" w14:textId="77777777" w:rsidTr="00CB0170">
        <w:trPr>
          <w:trHeight w:val="288"/>
          <w:jc w:val="center"/>
        </w:trPr>
        <w:tc>
          <w:tcPr>
            <w:tcW w:w="0" w:type="auto"/>
          </w:tcPr>
          <w:p w14:paraId="3758BFE6" w14:textId="77777777" w:rsidR="006B1090" w:rsidRPr="0027789B" w:rsidRDefault="006B1090" w:rsidP="00CB0170">
            <w:pPr>
              <w:ind w:left="36"/>
              <w:jc w:val="center"/>
              <w:rPr>
                <w:iCs/>
                <w:color w:val="000000"/>
                <w:w w:val="0"/>
              </w:rPr>
            </w:pPr>
            <w:r w:rsidRPr="0027789B">
              <w:rPr>
                <w:iCs/>
                <w:color w:val="000000"/>
                <w:w w:val="0"/>
              </w:rPr>
              <w:t>3</w:t>
            </w:r>
            <w:r>
              <w:rPr>
                <w:iCs/>
                <w:color w:val="000000"/>
                <w:w w:val="0"/>
              </w:rPr>
              <w:t>8</w:t>
            </w:r>
          </w:p>
        </w:tc>
        <w:tc>
          <w:tcPr>
            <w:tcW w:w="2070" w:type="dxa"/>
          </w:tcPr>
          <w:p w14:paraId="62C6B285" w14:textId="77777777" w:rsidR="006B1090" w:rsidRPr="0027789B" w:rsidRDefault="006B1090" w:rsidP="00CB0170">
            <w:pPr>
              <w:ind w:left="-80"/>
              <w:jc w:val="center"/>
              <w:rPr>
                <w:iCs/>
                <w:color w:val="000000"/>
                <w:w w:val="0"/>
              </w:rPr>
            </w:pPr>
          </w:p>
        </w:tc>
        <w:tc>
          <w:tcPr>
            <w:tcW w:w="5482" w:type="dxa"/>
          </w:tcPr>
          <w:p w14:paraId="7BBB7B98" w14:textId="77777777" w:rsidR="006B1090" w:rsidRPr="0027789B" w:rsidRDefault="006B1090" w:rsidP="00CB0170">
            <w:pPr>
              <w:ind w:left="382"/>
              <w:rPr>
                <w:iCs/>
                <w:color w:val="000000"/>
                <w:w w:val="0"/>
              </w:rPr>
            </w:pPr>
            <w:r w:rsidRPr="0027789B">
              <w:rPr>
                <w:iCs/>
                <w:color w:val="000000"/>
                <w:w w:val="0"/>
              </w:rPr>
              <w:t>Achieve Initial Operation</w:t>
            </w:r>
          </w:p>
        </w:tc>
      </w:tr>
      <w:tr w:rsidR="006B1090" w:rsidRPr="0027789B" w14:paraId="733EF23F" w14:textId="77777777" w:rsidTr="00CB0170">
        <w:trPr>
          <w:trHeight w:val="288"/>
          <w:jc w:val="center"/>
        </w:trPr>
        <w:tc>
          <w:tcPr>
            <w:tcW w:w="0" w:type="auto"/>
          </w:tcPr>
          <w:p w14:paraId="19C8D482" w14:textId="77777777" w:rsidR="006B1090" w:rsidRPr="0027789B" w:rsidRDefault="006B1090" w:rsidP="00CB0170">
            <w:pPr>
              <w:ind w:left="36"/>
              <w:jc w:val="center"/>
              <w:rPr>
                <w:iCs/>
                <w:color w:val="000000"/>
                <w:w w:val="0"/>
              </w:rPr>
            </w:pPr>
            <w:r w:rsidRPr="0027789B">
              <w:rPr>
                <w:iCs/>
                <w:color w:val="000000"/>
                <w:w w:val="0"/>
              </w:rPr>
              <w:t>3</w:t>
            </w:r>
            <w:r>
              <w:rPr>
                <w:iCs/>
                <w:color w:val="000000"/>
                <w:w w:val="0"/>
              </w:rPr>
              <w:t>9</w:t>
            </w:r>
          </w:p>
        </w:tc>
        <w:tc>
          <w:tcPr>
            <w:tcW w:w="2070" w:type="dxa"/>
          </w:tcPr>
          <w:p w14:paraId="488D2FEE" w14:textId="77777777" w:rsidR="006B1090" w:rsidRPr="0027789B" w:rsidRDefault="006B1090" w:rsidP="00CB0170">
            <w:pPr>
              <w:ind w:left="-80"/>
              <w:jc w:val="center"/>
              <w:rPr>
                <w:iCs/>
                <w:color w:val="000000"/>
                <w:w w:val="0"/>
              </w:rPr>
            </w:pPr>
          </w:p>
        </w:tc>
        <w:tc>
          <w:tcPr>
            <w:tcW w:w="5482" w:type="dxa"/>
          </w:tcPr>
          <w:p w14:paraId="6B7499D8" w14:textId="77777777" w:rsidR="006B1090" w:rsidRPr="0027789B" w:rsidRDefault="006B1090" w:rsidP="00CB0170">
            <w:pPr>
              <w:ind w:left="382"/>
              <w:rPr>
                <w:iCs/>
                <w:color w:val="000000"/>
                <w:w w:val="0"/>
              </w:rPr>
            </w:pPr>
            <w:r w:rsidRPr="0027789B">
              <w:rPr>
                <w:iCs/>
                <w:color w:val="000000"/>
                <w:w w:val="0"/>
              </w:rPr>
              <w:t>Demonstrate Contract Capacity</w:t>
            </w:r>
          </w:p>
        </w:tc>
      </w:tr>
      <w:tr w:rsidR="006B1090" w:rsidRPr="0027789B" w14:paraId="6699DFFF" w14:textId="77777777" w:rsidTr="00CB0170">
        <w:trPr>
          <w:trHeight w:val="288"/>
          <w:jc w:val="center"/>
        </w:trPr>
        <w:tc>
          <w:tcPr>
            <w:tcW w:w="0" w:type="auto"/>
          </w:tcPr>
          <w:p w14:paraId="50E0419D" w14:textId="77777777" w:rsidR="006B1090" w:rsidRPr="0027789B" w:rsidRDefault="006B1090" w:rsidP="00CB0170">
            <w:pPr>
              <w:ind w:left="36"/>
              <w:jc w:val="center"/>
              <w:rPr>
                <w:iCs/>
                <w:color w:val="000000"/>
                <w:w w:val="0"/>
              </w:rPr>
            </w:pPr>
            <w:r>
              <w:rPr>
                <w:iCs/>
                <w:color w:val="000000"/>
                <w:w w:val="0"/>
              </w:rPr>
              <w:t>40</w:t>
            </w:r>
          </w:p>
        </w:tc>
        <w:tc>
          <w:tcPr>
            <w:tcW w:w="2070" w:type="dxa"/>
          </w:tcPr>
          <w:p w14:paraId="4641FF13" w14:textId="77777777" w:rsidR="006B1090" w:rsidRPr="0027789B" w:rsidRDefault="006B1090" w:rsidP="00CB0170">
            <w:pPr>
              <w:ind w:left="-80"/>
              <w:jc w:val="center"/>
              <w:rPr>
                <w:iCs/>
                <w:color w:val="000000"/>
                <w:w w:val="0"/>
              </w:rPr>
            </w:pPr>
          </w:p>
        </w:tc>
        <w:tc>
          <w:tcPr>
            <w:tcW w:w="5482" w:type="dxa"/>
            <w:tcBorders>
              <w:bottom w:val="single" w:sz="12" w:space="0" w:color="000000"/>
            </w:tcBorders>
          </w:tcPr>
          <w:p w14:paraId="6CE349FA" w14:textId="77777777" w:rsidR="006B1090" w:rsidRPr="0027789B" w:rsidRDefault="006B1090" w:rsidP="00CB0170">
            <w:pPr>
              <w:ind w:left="382"/>
              <w:rPr>
                <w:iCs/>
                <w:color w:val="000000"/>
                <w:w w:val="0"/>
              </w:rPr>
            </w:pPr>
            <w:r w:rsidRPr="0027789B">
              <w:rPr>
                <w:iCs/>
                <w:color w:val="000000"/>
                <w:w w:val="0"/>
              </w:rPr>
              <w:t>Expected Initial Delivery Date</w:t>
            </w:r>
          </w:p>
        </w:tc>
      </w:tr>
    </w:tbl>
    <w:p w14:paraId="3833344C" w14:textId="77777777" w:rsidR="006B1090" w:rsidRPr="0027789B" w:rsidRDefault="006B1090" w:rsidP="006B1090"/>
    <w:p w14:paraId="1F6A085A" w14:textId="77777777" w:rsidR="006B1090" w:rsidRPr="0027789B" w:rsidRDefault="006B1090" w:rsidP="006B1090"/>
    <w:p w14:paraId="71D0F1DA" w14:textId="4209FC2A" w:rsidR="006B1090" w:rsidRDefault="006B1090" w:rsidP="006B1090">
      <w:pPr>
        <w:spacing w:before="100" w:after="100"/>
        <w:jc w:val="center"/>
        <w:rPr>
          <w:u w:val="single"/>
        </w:rPr>
      </w:pPr>
      <w:r>
        <w:rPr>
          <w:i/>
          <w:iCs/>
        </w:rPr>
        <w:t xml:space="preserve">*** End of EXHIBIT </w:t>
      </w:r>
      <w:r w:rsidR="00393E77">
        <w:rPr>
          <w:i/>
          <w:iCs/>
        </w:rPr>
        <w:t>H</w:t>
      </w:r>
      <w:r>
        <w:rPr>
          <w:i/>
          <w:iCs/>
        </w:rPr>
        <w:t xml:space="preserve"> ***</w:t>
      </w:r>
    </w:p>
    <w:p w14:paraId="77DB3420" w14:textId="77777777" w:rsidR="006B1090" w:rsidRDefault="006B1090" w:rsidP="006B1090"/>
    <w:p w14:paraId="41CF15C6" w14:textId="77777777" w:rsidR="006B1090" w:rsidRPr="0027789B" w:rsidRDefault="006B1090" w:rsidP="006B1090">
      <w:pPr>
        <w:sectPr w:rsidR="006B1090" w:rsidRPr="0027789B">
          <w:footerReference w:type="default" r:id="rId34"/>
          <w:pgSz w:w="12240" w:h="15840"/>
          <w:pgMar w:top="1440" w:right="1440" w:bottom="1440" w:left="1440" w:header="720" w:footer="720" w:gutter="0"/>
          <w:pgNumType w:start="1"/>
          <w:cols w:space="720"/>
          <w:docGrid w:linePitch="360"/>
        </w:sectPr>
      </w:pPr>
    </w:p>
    <w:p w14:paraId="408325CC" w14:textId="141BAE54" w:rsidR="006B1090" w:rsidRPr="0027789B" w:rsidRDefault="006B1090" w:rsidP="006B1090">
      <w:pPr>
        <w:spacing w:after="0"/>
        <w:jc w:val="center"/>
        <w:rPr>
          <w:b/>
        </w:rPr>
      </w:pPr>
      <w:bookmarkStart w:id="643" w:name="_Toc364783637"/>
      <w:bookmarkStart w:id="644" w:name="_Toc366241190"/>
      <w:bookmarkStart w:id="645" w:name="_Toc366249623"/>
      <w:r w:rsidRPr="0027789B">
        <w:rPr>
          <w:b/>
        </w:rPr>
        <w:lastRenderedPageBreak/>
        <w:t xml:space="preserve">EXHIBIT </w:t>
      </w:r>
      <w:bookmarkEnd w:id="643"/>
      <w:bookmarkEnd w:id="644"/>
      <w:bookmarkEnd w:id="645"/>
      <w:r w:rsidR="00393E77">
        <w:rPr>
          <w:b/>
        </w:rPr>
        <w:t>I</w:t>
      </w:r>
    </w:p>
    <w:p w14:paraId="024DC6EC" w14:textId="77777777" w:rsidR="006B1090" w:rsidRPr="0027789B" w:rsidRDefault="006B1090" w:rsidP="006B1090">
      <w:pPr>
        <w:spacing w:after="0"/>
        <w:jc w:val="center"/>
      </w:pPr>
      <w:bookmarkStart w:id="646" w:name="_Toc364783638"/>
      <w:bookmarkStart w:id="647" w:name="_Toc366241191"/>
      <w:bookmarkStart w:id="648" w:name="_Toc366249624"/>
      <w:r w:rsidRPr="0027789B">
        <w:rPr>
          <w:b/>
        </w:rPr>
        <w:t>CONSTRUCTION REPORT</w:t>
      </w:r>
      <w:bookmarkEnd w:id="646"/>
      <w:bookmarkEnd w:id="647"/>
      <w:bookmarkEnd w:id="648"/>
    </w:p>
    <w:p w14:paraId="7CD50DF8" w14:textId="77777777" w:rsidR="006B1090" w:rsidRPr="00D5646C" w:rsidRDefault="006B1090" w:rsidP="006B1090">
      <w:pPr>
        <w:spacing w:after="120"/>
        <w:jc w:val="center"/>
        <w:rPr>
          <w:b/>
          <w:i/>
          <w:color w:val="FF0000"/>
        </w:rPr>
      </w:pPr>
      <w:r w:rsidRPr="00DB7FE0">
        <w:rPr>
          <w:i/>
          <w:color w:val="0000FF"/>
        </w:rPr>
        <w:t>[SCE Note: Exhibit is subject to modification for technology specific differences]</w:t>
      </w:r>
    </w:p>
    <w:p w14:paraId="1485D2D1" w14:textId="77777777" w:rsidR="006B1090" w:rsidRPr="0027789B" w:rsidRDefault="006B1090" w:rsidP="006B1090">
      <w:pPr>
        <w:pStyle w:val="Title"/>
        <w:keepNext w:val="0"/>
        <w:keepLines w:val="0"/>
        <w:spacing w:after="240"/>
        <w:rPr>
          <w:smallCaps w:val="0"/>
          <w:szCs w:val="24"/>
        </w:rPr>
      </w:pPr>
      <w:r w:rsidRPr="0027789B">
        <w:rPr>
          <w:smallCaps w:val="0"/>
          <w:szCs w:val="24"/>
        </w:rPr>
        <w:t>Monthly Project Progress Report</w:t>
      </w:r>
    </w:p>
    <w:p w14:paraId="6CF55FBC" w14:textId="77777777" w:rsidR="006B1090" w:rsidRPr="0027789B" w:rsidRDefault="006B1090" w:rsidP="006B1090">
      <w:pPr>
        <w:tabs>
          <w:tab w:val="left" w:pos="0"/>
        </w:tabs>
      </w:pPr>
      <w:r w:rsidRPr="0027789B">
        <w:t>From the Effective Date of this Agreement and continuing until the Initial Delivery Date, Seller will provide a monthly Project progress report containing, at a minimum, the information listed below.</w:t>
      </w:r>
    </w:p>
    <w:p w14:paraId="1C6697E6" w14:textId="77777777" w:rsidR="006B1090" w:rsidRPr="0027789B" w:rsidRDefault="006B1090" w:rsidP="006B1090">
      <w:pPr>
        <w:pStyle w:val="Level2"/>
        <w:rPr>
          <w:rFonts w:ascii="Times New Roman" w:hAnsi="Times New Roman" w:cs="Times New Roman"/>
          <w:sz w:val="24"/>
          <w:szCs w:val="20"/>
        </w:rPr>
      </w:pPr>
      <w:r w:rsidRPr="0027789B">
        <w:rPr>
          <w:rFonts w:ascii="Times New Roman" w:hAnsi="Times New Roman" w:cs="Times New Roman"/>
          <w:sz w:val="24"/>
          <w:szCs w:val="24"/>
        </w:rPr>
        <w:t>An executive summary;</w:t>
      </w:r>
    </w:p>
    <w:p w14:paraId="26DE1BE9" w14:textId="77777777" w:rsidR="006B1090" w:rsidRPr="0027789B" w:rsidRDefault="006B1090" w:rsidP="006B1090">
      <w:pPr>
        <w:pStyle w:val="Level2"/>
        <w:rPr>
          <w:rFonts w:ascii="Times New Roman" w:hAnsi="Times New Roman" w:cs="Times New Roman"/>
          <w:sz w:val="24"/>
          <w:szCs w:val="24"/>
        </w:rPr>
      </w:pPr>
      <w:r w:rsidRPr="0027789B">
        <w:rPr>
          <w:rFonts w:ascii="Times New Roman" w:hAnsi="Times New Roman" w:cs="Times New Roman"/>
          <w:sz w:val="24"/>
          <w:szCs w:val="24"/>
        </w:rPr>
        <w:t>Project bar chart schedule (including current status of all events);</w:t>
      </w:r>
    </w:p>
    <w:p w14:paraId="31E18CD1" w14:textId="77777777" w:rsidR="006B1090" w:rsidRPr="0027789B" w:rsidRDefault="006B1090" w:rsidP="006B1090">
      <w:pPr>
        <w:pStyle w:val="Level2"/>
        <w:rPr>
          <w:rFonts w:ascii="Times New Roman" w:hAnsi="Times New Roman" w:cs="Times New Roman"/>
          <w:sz w:val="24"/>
          <w:szCs w:val="24"/>
        </w:rPr>
      </w:pPr>
      <w:r w:rsidRPr="0027789B">
        <w:rPr>
          <w:rFonts w:ascii="Times New Roman" w:hAnsi="Times New Roman" w:cs="Times New Roman"/>
          <w:sz w:val="24"/>
          <w:szCs w:val="24"/>
        </w:rPr>
        <w:t>Assessment of percent construction complete and percent change from immediately previous report;</w:t>
      </w:r>
    </w:p>
    <w:p w14:paraId="34E3F93B" w14:textId="77777777" w:rsidR="006B1090" w:rsidRPr="0027789B" w:rsidRDefault="006B1090" w:rsidP="006B1090">
      <w:pPr>
        <w:pStyle w:val="Level2"/>
        <w:rPr>
          <w:rFonts w:ascii="Times New Roman" w:hAnsi="Times New Roman" w:cs="Times New Roman"/>
          <w:sz w:val="24"/>
          <w:szCs w:val="24"/>
        </w:rPr>
      </w:pPr>
      <w:r w:rsidRPr="0027789B">
        <w:rPr>
          <w:rFonts w:ascii="Times New Roman" w:hAnsi="Times New Roman" w:cs="Times New Roman"/>
          <w:sz w:val="24"/>
          <w:szCs w:val="24"/>
        </w:rPr>
        <w:t xml:space="preserve">Description of general work status (including short passages as applicable) on: </w:t>
      </w:r>
    </w:p>
    <w:p w14:paraId="28DD14F7" w14:textId="77777777" w:rsidR="006B1090" w:rsidRPr="0027789B" w:rsidRDefault="006B1090" w:rsidP="006B1090">
      <w:pPr>
        <w:pStyle w:val="Level3"/>
        <w:rPr>
          <w:rFonts w:ascii="Times New Roman" w:hAnsi="Times New Roman" w:cs="Times New Roman"/>
          <w:sz w:val="24"/>
          <w:szCs w:val="24"/>
        </w:rPr>
      </w:pPr>
      <w:r w:rsidRPr="0027789B">
        <w:rPr>
          <w:rFonts w:ascii="Times New Roman" w:hAnsi="Times New Roman" w:cs="Times New Roman"/>
          <w:sz w:val="24"/>
          <w:szCs w:val="24"/>
        </w:rPr>
        <w:t>Engineering;</w:t>
      </w:r>
    </w:p>
    <w:p w14:paraId="447A1AFA" w14:textId="77777777" w:rsidR="006B1090" w:rsidRPr="0027789B" w:rsidRDefault="006B1090" w:rsidP="006B1090">
      <w:pPr>
        <w:pStyle w:val="Level3"/>
        <w:rPr>
          <w:rFonts w:ascii="Times New Roman" w:hAnsi="Times New Roman" w:cs="Times New Roman"/>
          <w:sz w:val="24"/>
          <w:szCs w:val="24"/>
        </w:rPr>
      </w:pPr>
      <w:r w:rsidRPr="0027789B">
        <w:rPr>
          <w:rFonts w:ascii="Times New Roman" w:hAnsi="Times New Roman" w:cs="Times New Roman"/>
          <w:sz w:val="24"/>
          <w:szCs w:val="24"/>
        </w:rPr>
        <w:t>Procurement;</w:t>
      </w:r>
    </w:p>
    <w:p w14:paraId="1B69BB18" w14:textId="77777777" w:rsidR="006B1090" w:rsidRPr="0027789B" w:rsidRDefault="006B1090" w:rsidP="006B1090">
      <w:pPr>
        <w:pStyle w:val="Level3"/>
        <w:rPr>
          <w:rFonts w:ascii="Times New Roman" w:hAnsi="Times New Roman" w:cs="Times New Roman"/>
          <w:sz w:val="24"/>
          <w:szCs w:val="24"/>
        </w:rPr>
      </w:pPr>
      <w:r w:rsidRPr="0027789B">
        <w:rPr>
          <w:rFonts w:ascii="Times New Roman" w:hAnsi="Times New Roman" w:cs="Times New Roman"/>
          <w:sz w:val="24"/>
          <w:szCs w:val="24"/>
        </w:rPr>
        <w:t>Permitting (include status of any required regulatory determinations for approval of Federal New Source Review permitting exemptions, expedited permitting processes, and status of acquisition of required ERCs and other emission credits in terms of impact on the Project’s permitting schedule, over-all Project schedule, and ability of Project to meet Expected Initial Delivery Date);</w:t>
      </w:r>
    </w:p>
    <w:p w14:paraId="423B4C21" w14:textId="77777777" w:rsidR="006B1090" w:rsidRPr="0027789B" w:rsidRDefault="006B1090" w:rsidP="006B1090">
      <w:pPr>
        <w:pStyle w:val="Level3"/>
        <w:rPr>
          <w:rFonts w:ascii="Times New Roman" w:hAnsi="Times New Roman" w:cs="Times New Roman"/>
          <w:sz w:val="24"/>
          <w:szCs w:val="24"/>
        </w:rPr>
      </w:pPr>
      <w:r w:rsidRPr="0027789B">
        <w:rPr>
          <w:rFonts w:ascii="Times New Roman" w:hAnsi="Times New Roman" w:cs="Times New Roman"/>
          <w:sz w:val="24"/>
          <w:szCs w:val="24"/>
        </w:rPr>
        <w:t>Major construction activities in the prior month;</w:t>
      </w:r>
    </w:p>
    <w:p w14:paraId="77E4619B" w14:textId="77777777" w:rsidR="006B1090" w:rsidRPr="0027789B" w:rsidRDefault="006B1090" w:rsidP="006B1090">
      <w:pPr>
        <w:pStyle w:val="Level3"/>
        <w:rPr>
          <w:rFonts w:ascii="Times New Roman" w:hAnsi="Times New Roman" w:cs="Times New Roman"/>
          <w:sz w:val="24"/>
          <w:szCs w:val="24"/>
        </w:rPr>
      </w:pPr>
      <w:r w:rsidRPr="0027789B">
        <w:rPr>
          <w:rFonts w:ascii="Times New Roman" w:hAnsi="Times New Roman" w:cs="Times New Roman"/>
          <w:sz w:val="24"/>
          <w:szCs w:val="24"/>
        </w:rPr>
        <w:t>Testing;</w:t>
      </w:r>
    </w:p>
    <w:p w14:paraId="0F816C6D" w14:textId="77777777" w:rsidR="006B1090" w:rsidRPr="0027789B" w:rsidRDefault="006B1090" w:rsidP="006B1090">
      <w:pPr>
        <w:pStyle w:val="Level3"/>
        <w:rPr>
          <w:rFonts w:ascii="Times New Roman" w:hAnsi="Times New Roman" w:cs="Times New Roman"/>
          <w:sz w:val="24"/>
          <w:szCs w:val="24"/>
        </w:rPr>
      </w:pPr>
      <w:r w:rsidRPr="0027789B">
        <w:rPr>
          <w:rFonts w:ascii="Times New Roman" w:hAnsi="Times New Roman" w:cs="Times New Roman"/>
          <w:sz w:val="24"/>
          <w:szCs w:val="24"/>
        </w:rPr>
        <w:t>Electrical interconnection status; and</w:t>
      </w:r>
    </w:p>
    <w:p w14:paraId="73294179" w14:textId="77777777" w:rsidR="006B1090" w:rsidRPr="0027789B" w:rsidRDefault="006B1090" w:rsidP="006B1090">
      <w:pPr>
        <w:pStyle w:val="Level3"/>
        <w:rPr>
          <w:rFonts w:ascii="Times New Roman" w:hAnsi="Times New Roman" w:cs="Times New Roman"/>
          <w:sz w:val="24"/>
          <w:szCs w:val="24"/>
        </w:rPr>
      </w:pPr>
      <w:r w:rsidRPr="0027789B">
        <w:rPr>
          <w:rFonts w:ascii="Times New Roman" w:hAnsi="Times New Roman" w:cs="Times New Roman"/>
          <w:sz w:val="24"/>
          <w:szCs w:val="24"/>
        </w:rPr>
        <w:t>Any other required interconnections.</w:t>
      </w:r>
    </w:p>
    <w:p w14:paraId="10C1C1C9" w14:textId="77777777" w:rsidR="006B1090" w:rsidRPr="0027789B" w:rsidRDefault="006B1090" w:rsidP="006B1090">
      <w:pPr>
        <w:pStyle w:val="Level2"/>
        <w:rPr>
          <w:rFonts w:ascii="Times New Roman" w:hAnsi="Times New Roman" w:cs="Times New Roman"/>
          <w:sz w:val="24"/>
          <w:szCs w:val="24"/>
        </w:rPr>
      </w:pPr>
      <w:r w:rsidRPr="0027789B">
        <w:rPr>
          <w:rFonts w:ascii="Times New Roman" w:hAnsi="Times New Roman" w:cs="Times New Roman"/>
          <w:sz w:val="24"/>
          <w:szCs w:val="24"/>
        </w:rPr>
        <w:t>Forecast activities for next month; and</w:t>
      </w:r>
    </w:p>
    <w:p w14:paraId="7433F530" w14:textId="77777777" w:rsidR="006B1090" w:rsidRPr="0027789B" w:rsidRDefault="006B1090" w:rsidP="006B1090">
      <w:pPr>
        <w:pStyle w:val="Level2"/>
        <w:spacing w:after="240"/>
        <w:rPr>
          <w:rFonts w:ascii="Times New Roman" w:hAnsi="Times New Roman" w:cs="Times New Roman"/>
          <w:sz w:val="24"/>
          <w:szCs w:val="24"/>
        </w:rPr>
      </w:pPr>
      <w:r w:rsidRPr="0027789B">
        <w:rPr>
          <w:rFonts w:ascii="Times New Roman" w:hAnsi="Times New Roman" w:cs="Times New Roman"/>
          <w:sz w:val="24"/>
          <w:szCs w:val="24"/>
        </w:rPr>
        <w:t>Potential issues affecting the Project.</w:t>
      </w:r>
    </w:p>
    <w:p w14:paraId="085222FC" w14:textId="1DD75F18" w:rsidR="006B1090" w:rsidRPr="0027789B" w:rsidRDefault="006B1090" w:rsidP="006B1090">
      <w:r w:rsidRPr="0027789B">
        <w:t xml:space="preserve">Seller must notify SCE’s contract manager for the Agreement in writing of its receipt of any additional documents, which fall into the categories, listed (in </w:t>
      </w:r>
      <w:r>
        <w:t>7</w:t>
      </w:r>
      <w:r w:rsidRPr="0027789B">
        <w:t xml:space="preserve"> – </w:t>
      </w:r>
      <w:r>
        <w:t>12</w:t>
      </w:r>
      <w:r w:rsidRPr="0027789B">
        <w:t xml:space="preserve">) below, and make such documents available to SCE within two (2) Business Days </w:t>
      </w:r>
      <w:r w:rsidR="005E44F5">
        <w:t>after</w:t>
      </w:r>
      <w:r w:rsidRPr="0027789B">
        <w:t xml:space="preserve"> such receipt:</w:t>
      </w:r>
    </w:p>
    <w:p w14:paraId="5214CA6E" w14:textId="77777777" w:rsidR="006B1090" w:rsidRPr="00572E5C" w:rsidRDefault="006B1090" w:rsidP="006B1090">
      <w:pPr>
        <w:pStyle w:val="Level2"/>
      </w:pPr>
      <w:bookmarkStart w:id="649" w:name="_Toc470014892"/>
      <w:bookmarkStart w:id="650" w:name="_Toc470017267"/>
      <w:bookmarkStart w:id="651" w:name="_Toc470856083"/>
      <w:r w:rsidRPr="00FF157D">
        <w:rPr>
          <w:rFonts w:ascii="Times New Roman" w:hAnsi="Times New Roman"/>
          <w:sz w:val="24"/>
        </w:rPr>
        <w:t>All material written commitments regarding construction work at the Project that could impact the completion schedule or Initial Delivery Date;</w:t>
      </w:r>
      <w:bookmarkEnd w:id="649"/>
      <w:bookmarkEnd w:id="650"/>
      <w:bookmarkEnd w:id="651"/>
    </w:p>
    <w:p w14:paraId="02A6B03C" w14:textId="77777777" w:rsidR="006B1090" w:rsidRPr="00572E5C" w:rsidRDefault="006B1090" w:rsidP="006B1090">
      <w:pPr>
        <w:pStyle w:val="Level2"/>
      </w:pPr>
      <w:bookmarkStart w:id="652" w:name="_Toc470014893"/>
      <w:bookmarkStart w:id="653" w:name="_Toc470017268"/>
      <w:bookmarkStart w:id="654" w:name="_Toc470856084"/>
      <w:r w:rsidRPr="00FF157D">
        <w:rPr>
          <w:rFonts w:ascii="Times New Roman" w:hAnsi="Times New Roman"/>
          <w:sz w:val="24"/>
        </w:rPr>
        <w:t>Executed work orders for construction of the Project;</w:t>
      </w:r>
      <w:bookmarkEnd w:id="652"/>
      <w:bookmarkEnd w:id="653"/>
      <w:bookmarkEnd w:id="654"/>
    </w:p>
    <w:p w14:paraId="4FC3B235" w14:textId="77777777" w:rsidR="006B1090" w:rsidRPr="00572E5C" w:rsidRDefault="006B1090" w:rsidP="006B1090">
      <w:pPr>
        <w:pStyle w:val="Level2"/>
      </w:pPr>
      <w:bookmarkStart w:id="655" w:name="_Toc470014894"/>
      <w:bookmarkStart w:id="656" w:name="_Toc470017269"/>
      <w:bookmarkStart w:id="657" w:name="_Toc470856085"/>
      <w:r w:rsidRPr="00FF157D">
        <w:rPr>
          <w:rFonts w:ascii="Times New Roman" w:hAnsi="Times New Roman"/>
          <w:sz w:val="24"/>
        </w:rPr>
        <w:t>Construction agreements;</w:t>
      </w:r>
      <w:bookmarkEnd w:id="655"/>
      <w:bookmarkEnd w:id="656"/>
      <w:bookmarkEnd w:id="657"/>
    </w:p>
    <w:p w14:paraId="21986EE1" w14:textId="77777777" w:rsidR="006B1090" w:rsidRPr="00572E5C" w:rsidRDefault="006B1090" w:rsidP="006B1090">
      <w:pPr>
        <w:pStyle w:val="Level2"/>
      </w:pPr>
      <w:bookmarkStart w:id="658" w:name="_Toc470014895"/>
      <w:bookmarkStart w:id="659" w:name="_Toc470017270"/>
      <w:bookmarkStart w:id="660" w:name="_Toc470856086"/>
      <w:r w:rsidRPr="00FF157D">
        <w:rPr>
          <w:rFonts w:ascii="Times New Roman" w:hAnsi="Times New Roman"/>
          <w:sz w:val="24"/>
        </w:rPr>
        <w:t>Letters of intent;</w:t>
      </w:r>
      <w:bookmarkEnd w:id="658"/>
      <w:bookmarkEnd w:id="659"/>
      <w:bookmarkEnd w:id="660"/>
    </w:p>
    <w:p w14:paraId="6FE26D20" w14:textId="77777777" w:rsidR="006B1090" w:rsidRPr="00572E5C" w:rsidRDefault="006B1090" w:rsidP="006B1090">
      <w:pPr>
        <w:pStyle w:val="Level2"/>
      </w:pPr>
      <w:bookmarkStart w:id="661" w:name="_Toc470014896"/>
      <w:bookmarkStart w:id="662" w:name="_Toc470017271"/>
      <w:bookmarkStart w:id="663" w:name="_Toc470856087"/>
      <w:r w:rsidRPr="00FF157D">
        <w:rPr>
          <w:rFonts w:ascii="Times New Roman" w:hAnsi="Times New Roman"/>
          <w:sz w:val="24"/>
        </w:rPr>
        <w:lastRenderedPageBreak/>
        <w:t>Precedent agreements; and</w:t>
      </w:r>
      <w:bookmarkEnd w:id="661"/>
      <w:bookmarkEnd w:id="662"/>
      <w:bookmarkEnd w:id="663"/>
    </w:p>
    <w:p w14:paraId="5C815817" w14:textId="77777777" w:rsidR="006B1090" w:rsidRPr="00572E5C" w:rsidRDefault="006B1090" w:rsidP="006B1090">
      <w:pPr>
        <w:pStyle w:val="Level2"/>
      </w:pPr>
      <w:bookmarkStart w:id="664" w:name="_Toc470014897"/>
      <w:bookmarkStart w:id="665" w:name="_Toc470017272"/>
      <w:bookmarkStart w:id="666" w:name="_Toc470856088"/>
      <w:r w:rsidRPr="00FF157D">
        <w:rPr>
          <w:rFonts w:ascii="Times New Roman" w:hAnsi="Times New Roman"/>
          <w:sz w:val="24"/>
        </w:rPr>
        <w:t>Engineering assessments of the Project or any Storage Unit.</w:t>
      </w:r>
      <w:bookmarkEnd w:id="664"/>
      <w:bookmarkEnd w:id="665"/>
      <w:bookmarkEnd w:id="666"/>
    </w:p>
    <w:p w14:paraId="0CBCB5D1" w14:textId="77777777" w:rsidR="006B1090" w:rsidRDefault="006B1090" w:rsidP="006B1090">
      <w:pPr>
        <w:spacing w:before="100" w:after="100"/>
        <w:jc w:val="center"/>
        <w:rPr>
          <w:i/>
          <w:iCs/>
        </w:rPr>
      </w:pPr>
    </w:p>
    <w:p w14:paraId="691D40BF" w14:textId="04FB828B" w:rsidR="006B1090" w:rsidRDefault="006B1090" w:rsidP="006B1090">
      <w:pPr>
        <w:spacing w:before="100" w:after="100"/>
        <w:jc w:val="center"/>
      </w:pPr>
      <w:r>
        <w:rPr>
          <w:i/>
          <w:iCs/>
        </w:rPr>
        <w:t xml:space="preserve">*** End of EXHIBIT </w:t>
      </w:r>
      <w:r w:rsidR="00393E77">
        <w:rPr>
          <w:i/>
          <w:iCs/>
        </w:rPr>
        <w:t>I</w:t>
      </w:r>
      <w:r>
        <w:rPr>
          <w:i/>
          <w:iCs/>
        </w:rPr>
        <w:t xml:space="preserve"> ***</w:t>
      </w:r>
    </w:p>
    <w:p w14:paraId="78CD7A3B" w14:textId="77777777" w:rsidR="006B1090" w:rsidRPr="0027789B" w:rsidRDefault="006B1090" w:rsidP="006B1090">
      <w:pPr>
        <w:sectPr w:rsidR="006B1090" w:rsidRPr="0027789B">
          <w:footerReference w:type="default" r:id="rId35"/>
          <w:pgSz w:w="12240" w:h="15840"/>
          <w:pgMar w:top="1440" w:right="1440" w:bottom="1440" w:left="1440" w:header="720" w:footer="720" w:gutter="0"/>
          <w:pgNumType w:start="1"/>
          <w:cols w:space="720"/>
          <w:docGrid w:linePitch="360"/>
        </w:sectPr>
      </w:pPr>
    </w:p>
    <w:p w14:paraId="385CD147" w14:textId="77777777" w:rsidR="00393E77" w:rsidRDefault="00393E77" w:rsidP="00393E77">
      <w:pPr>
        <w:jc w:val="center"/>
        <w:rPr>
          <w:b/>
        </w:rPr>
      </w:pPr>
      <w:bookmarkStart w:id="667" w:name="_Toc364783645"/>
      <w:bookmarkStart w:id="668" w:name="_Toc366241198"/>
      <w:bookmarkStart w:id="669" w:name="_Toc366249632"/>
      <w:r>
        <w:rPr>
          <w:b/>
        </w:rPr>
        <w:lastRenderedPageBreak/>
        <w:t>EXHIBIT J</w:t>
      </w:r>
    </w:p>
    <w:p w14:paraId="5BD55547" w14:textId="77777777" w:rsidR="00393E77" w:rsidRDefault="00393E77" w:rsidP="00393E77">
      <w:pPr>
        <w:tabs>
          <w:tab w:val="num" w:pos="1080"/>
        </w:tabs>
        <w:jc w:val="center"/>
        <w:rPr>
          <w:b/>
        </w:rPr>
      </w:pPr>
      <w:r>
        <w:rPr>
          <w:b/>
        </w:rPr>
        <w:t>SELF-SCHEDULE REQUEST</w:t>
      </w:r>
    </w:p>
    <w:p w14:paraId="51094A88" w14:textId="77777777" w:rsidR="007B3818" w:rsidRDefault="007B3818" w:rsidP="007B3818">
      <w:pPr>
        <w:spacing w:before="100" w:after="100"/>
        <w:jc w:val="center"/>
        <w:rPr>
          <w:i/>
          <w:iCs/>
        </w:rPr>
      </w:pPr>
      <w:r>
        <w:rPr>
          <w:noProof/>
        </w:rPr>
        <w:drawing>
          <wp:inline distT="0" distB="0" distL="0" distR="0" wp14:anchorId="6C7D257C" wp14:editId="1813FD56">
            <wp:extent cx="5943600" cy="4160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2436" t="20307" r="39872" b="15077"/>
                    <a:stretch/>
                  </pic:blipFill>
                  <pic:spPr bwMode="auto">
                    <a:xfrm>
                      <a:off x="0" y="0"/>
                      <a:ext cx="5943600" cy="4160580"/>
                    </a:xfrm>
                    <a:prstGeom prst="rect">
                      <a:avLst/>
                    </a:prstGeom>
                    <a:ln>
                      <a:noFill/>
                    </a:ln>
                    <a:extLst>
                      <a:ext uri="{53640926-AAD7-44D8-BBD7-CCE9431645EC}">
                        <a14:shadowObscured xmlns:a14="http://schemas.microsoft.com/office/drawing/2010/main"/>
                      </a:ext>
                    </a:extLst>
                  </pic:spPr>
                </pic:pic>
              </a:graphicData>
            </a:graphic>
          </wp:inline>
        </w:drawing>
      </w:r>
    </w:p>
    <w:p w14:paraId="1F56B238" w14:textId="77777777" w:rsidR="007B3818" w:rsidRDefault="007B3818" w:rsidP="00393E77">
      <w:pPr>
        <w:spacing w:before="100" w:after="100"/>
        <w:jc w:val="center"/>
        <w:rPr>
          <w:i/>
          <w:iCs/>
        </w:rPr>
      </w:pPr>
    </w:p>
    <w:p w14:paraId="22355F62" w14:textId="77777777" w:rsidR="00393E77" w:rsidRDefault="00393E77" w:rsidP="00393E77">
      <w:pPr>
        <w:spacing w:before="100" w:after="100"/>
        <w:jc w:val="center"/>
      </w:pPr>
      <w:r>
        <w:rPr>
          <w:i/>
          <w:iCs/>
        </w:rPr>
        <w:t xml:space="preserve">*** End </w:t>
      </w:r>
      <w:r w:rsidRPr="00425178">
        <w:rPr>
          <w:i/>
          <w:iCs/>
        </w:rPr>
        <w:t xml:space="preserve">of </w:t>
      </w:r>
      <w:r>
        <w:rPr>
          <w:i/>
          <w:iCs/>
        </w:rPr>
        <w:t>EXHIBIT J</w:t>
      </w:r>
      <w:r w:rsidRPr="00425178">
        <w:rPr>
          <w:i/>
          <w:iCs/>
        </w:rPr>
        <w:t xml:space="preserve"> ***</w:t>
      </w:r>
    </w:p>
    <w:p w14:paraId="7498FD3A" w14:textId="77777777" w:rsidR="00393E77" w:rsidRDefault="00393E77" w:rsidP="00393E77">
      <w:pPr>
        <w:tabs>
          <w:tab w:val="num" w:pos="1080"/>
        </w:tabs>
        <w:jc w:val="center"/>
        <w:rPr>
          <w:b/>
        </w:rPr>
      </w:pPr>
    </w:p>
    <w:p w14:paraId="2C3796FA" w14:textId="77777777" w:rsidR="00393E77" w:rsidRDefault="00393E77" w:rsidP="00393E77">
      <w:pPr>
        <w:spacing w:before="100" w:after="100"/>
        <w:jc w:val="center"/>
        <w:sectPr w:rsidR="00393E77">
          <w:footerReference w:type="default" r:id="rId37"/>
          <w:pgSz w:w="12240" w:h="15840"/>
          <w:pgMar w:top="1440" w:right="1440" w:bottom="1440" w:left="1440" w:header="720" w:footer="720" w:gutter="0"/>
          <w:pgNumType w:start="1"/>
          <w:cols w:space="720"/>
          <w:docGrid w:linePitch="360"/>
        </w:sectPr>
      </w:pPr>
    </w:p>
    <w:p w14:paraId="09EEDE1F" w14:textId="77777777" w:rsidR="00393E77" w:rsidRPr="0027789B" w:rsidRDefault="00393E77" w:rsidP="00393E77">
      <w:pPr>
        <w:spacing w:after="0"/>
        <w:jc w:val="center"/>
        <w:rPr>
          <w:b/>
        </w:rPr>
      </w:pPr>
      <w:r>
        <w:rPr>
          <w:b/>
        </w:rPr>
        <w:lastRenderedPageBreak/>
        <w:t>EXHIBIT K</w:t>
      </w:r>
    </w:p>
    <w:p w14:paraId="2BCC0705" w14:textId="77777777" w:rsidR="00393E77" w:rsidRPr="0027789B" w:rsidRDefault="00393E77" w:rsidP="00393E77">
      <w:pPr>
        <w:spacing w:after="0"/>
        <w:jc w:val="center"/>
        <w:rPr>
          <w:b/>
        </w:rPr>
      </w:pPr>
      <w:r w:rsidRPr="0027789B">
        <w:rPr>
          <w:b/>
        </w:rPr>
        <w:t>COMMUNICATIONS PROTOCOLS</w:t>
      </w:r>
    </w:p>
    <w:p w14:paraId="4D360C0A" w14:textId="77777777" w:rsidR="00393E77" w:rsidRPr="0027789B" w:rsidRDefault="00393E77" w:rsidP="00393E77">
      <w:pPr>
        <w:spacing w:after="0"/>
        <w:jc w:val="center"/>
      </w:pPr>
    </w:p>
    <w:p w14:paraId="2D78CD30" w14:textId="77777777" w:rsidR="00393E77" w:rsidRPr="0027789B" w:rsidRDefault="00393E77" w:rsidP="00393E77">
      <w:pPr>
        <w:spacing w:after="0"/>
        <w:jc w:val="center"/>
      </w:pPr>
    </w:p>
    <w:p w14:paraId="0E647BAA" w14:textId="77777777" w:rsidR="00393E77" w:rsidRPr="0027789B" w:rsidRDefault="00393E77" w:rsidP="00393E77">
      <w:pPr>
        <w:spacing w:after="0"/>
        <w:rPr>
          <w:b/>
          <w:u w:val="single"/>
        </w:rPr>
      </w:pPr>
      <w:r w:rsidRPr="0027789B">
        <w:rPr>
          <w:b/>
          <w:u w:val="single"/>
        </w:rPr>
        <w:t>Communication Protocols</w:t>
      </w:r>
    </w:p>
    <w:p w14:paraId="3FE8D856" w14:textId="77777777" w:rsidR="00393E77" w:rsidRPr="0027789B" w:rsidRDefault="00393E77" w:rsidP="00393E77">
      <w:pPr>
        <w:spacing w:after="0"/>
      </w:pPr>
    </w:p>
    <w:p w14:paraId="62C04231" w14:textId="77777777" w:rsidR="00393E77" w:rsidRPr="0027789B" w:rsidRDefault="00393E77" w:rsidP="00393E77">
      <w:pPr>
        <w:spacing w:after="0"/>
      </w:pPr>
      <w:r w:rsidRPr="0027789B">
        <w:t>These Communication Protocols are subject to change and shall be modified as evolving market conditions and rules may require.</w:t>
      </w:r>
    </w:p>
    <w:p w14:paraId="04B841AC" w14:textId="77777777" w:rsidR="00393E77" w:rsidRPr="0027789B" w:rsidRDefault="00393E77" w:rsidP="00393E77">
      <w:pPr>
        <w:spacing w:after="0"/>
      </w:pPr>
    </w:p>
    <w:p w14:paraId="2BBC1E3B" w14:textId="77777777" w:rsidR="00393E77" w:rsidRPr="0027789B" w:rsidRDefault="00393E77" w:rsidP="00393E77">
      <w:pPr>
        <w:rPr>
          <w:b/>
          <w:u w:val="single"/>
        </w:rPr>
      </w:pPr>
      <w:r w:rsidRPr="0027789B">
        <w:rPr>
          <w:b/>
        </w:rPr>
        <w:t>1</w:t>
      </w:r>
      <w:r>
        <w:rPr>
          <w:b/>
        </w:rPr>
        <w:t xml:space="preserve">. </w:t>
      </w:r>
      <w:r w:rsidRPr="0027789B">
        <w:rPr>
          <w:b/>
          <w:u w:val="single"/>
        </w:rPr>
        <w:t>Contacts and Authorized Representatives</w:t>
      </w:r>
    </w:p>
    <w:p w14:paraId="6AE0807E" w14:textId="77777777" w:rsidR="00393E77" w:rsidRPr="0027789B" w:rsidRDefault="00393E77" w:rsidP="00393E77">
      <w:r w:rsidRPr="0027789B">
        <w:t>The “Contact Information” tables set forth those contact functions, phone/fax numbers and e-mail information by which each Party elects to be contacted by the other</w:t>
      </w:r>
      <w:r>
        <w:t xml:space="preserve">. </w:t>
      </w:r>
      <w:r w:rsidRPr="0027789B">
        <w:t>Notification provided under this Agreement shall be made to the applicable point of contact as set forth in the Contact Information Table</w:t>
      </w:r>
      <w:r>
        <w:t xml:space="preserve">. </w:t>
      </w:r>
      <w:r w:rsidRPr="0027789B">
        <w:t>A Party may update its Contact Information by providing Notice to the other Party.</w:t>
      </w:r>
    </w:p>
    <w:p w14:paraId="41AE516B" w14:textId="77777777" w:rsidR="00393E77" w:rsidRPr="0027789B" w:rsidRDefault="00393E77" w:rsidP="00393E77">
      <w:pPr>
        <w:rPr>
          <w:b/>
          <w:u w:val="single"/>
        </w:rPr>
      </w:pPr>
      <w:r w:rsidRPr="0027789B">
        <w:rPr>
          <w:b/>
        </w:rPr>
        <w:t>2</w:t>
      </w:r>
      <w:r>
        <w:rPr>
          <w:b/>
        </w:rPr>
        <w:t xml:space="preserve">. </w:t>
      </w:r>
      <w:r w:rsidRPr="0027789B">
        <w:rPr>
          <w:b/>
          <w:u w:val="single"/>
        </w:rPr>
        <w:t>Communication Protocols – General</w:t>
      </w:r>
    </w:p>
    <w:p w14:paraId="57764239" w14:textId="77777777" w:rsidR="00393E77" w:rsidRPr="0027789B" w:rsidRDefault="00393E77" w:rsidP="00393E77">
      <w:r w:rsidRPr="0027789B">
        <w:rPr>
          <w:u w:val="single"/>
        </w:rPr>
        <w:t>2.1 Intra-day Communication:</w:t>
      </w:r>
      <w:r w:rsidRPr="0027789B">
        <w:t xml:space="preserve">  All communications and notices between the Parties that occur intra-day and intra-hour for the applicable Operating Day including those regarding emergencies Dispatch Notices, Availability Notices, and notices to avoid imbalance penalties, uninstructed deviation charges/credits or any other CAISO charges, and </w:t>
      </w:r>
      <w:r w:rsidRPr="0027789B">
        <w:rPr>
          <w:b/>
          <w:bCs/>
          <w:u w:val="single"/>
        </w:rPr>
        <w:t>shall be provided electronically or telephonically as SCE directs</w:t>
      </w:r>
      <w:r w:rsidRPr="0027789B">
        <w:t xml:space="preserve"> to the applicable Party.</w:t>
      </w:r>
    </w:p>
    <w:p w14:paraId="6ED76211" w14:textId="77777777" w:rsidR="00393E77" w:rsidRPr="0027789B" w:rsidRDefault="00393E77" w:rsidP="00393E77">
      <w:pPr>
        <w:rPr>
          <w:bCs/>
        </w:rPr>
      </w:pPr>
      <w:r w:rsidRPr="0027789B">
        <w:t xml:space="preserve">If to Seller, such notices and communications shall be provided to the following contact, in order of priority, (1) </w:t>
      </w:r>
      <w:r w:rsidRPr="00FF157D">
        <w:t>___________</w:t>
      </w:r>
      <w:r w:rsidRPr="0027789B">
        <w:t xml:space="preserve">, (2) </w:t>
      </w:r>
      <w:r w:rsidRPr="00FF157D">
        <w:t>___________</w:t>
      </w:r>
      <w:r w:rsidRPr="0027789B">
        <w:t xml:space="preserve">, (3) </w:t>
      </w:r>
      <w:r w:rsidRPr="00FF157D">
        <w:t>___________</w:t>
      </w:r>
      <w:r>
        <w:t xml:space="preserve">. </w:t>
      </w:r>
      <w:r w:rsidRPr="0027789B">
        <w:t>If to SCE, such notices and communications shall be provided to Real Time</w:t>
      </w:r>
      <w:r>
        <w:t xml:space="preserve">. </w:t>
      </w:r>
      <w:r w:rsidRPr="0027789B">
        <w:rPr>
          <w:b/>
          <w:bCs/>
          <w:u w:val="single"/>
        </w:rPr>
        <w:t>Each Party shall confirm all Intra-day Communication either electronically or via telephone as soon as practicable.</w:t>
      </w:r>
    </w:p>
    <w:p w14:paraId="57DA0C74" w14:textId="77777777" w:rsidR="00393E77" w:rsidRPr="0027789B" w:rsidRDefault="00393E77" w:rsidP="00393E77">
      <w:r w:rsidRPr="0027789B">
        <w:rPr>
          <w:u w:val="single"/>
        </w:rPr>
        <w:t>2.2 Communication Failure</w:t>
      </w:r>
      <w:r w:rsidRPr="0027789B">
        <w:t>:  In the event of a failure of the primary communication link between Seller and SCE, both Parties will try all available means to communicate, including cell phones or additional communication devices as installed.</w:t>
      </w:r>
    </w:p>
    <w:p w14:paraId="631C95BB" w14:textId="77777777" w:rsidR="00393E77" w:rsidRPr="0027789B" w:rsidRDefault="00393E77" w:rsidP="00393E77">
      <w:r w:rsidRPr="0027789B">
        <w:rPr>
          <w:u w:val="single"/>
        </w:rPr>
        <w:t>2.3 System Emergency</w:t>
      </w:r>
      <w:r w:rsidRPr="0027789B">
        <w:t>:  SCE and Seller shall communicate as soon as possible all changes to the schedule requested by the CAISO as a result of a system emergency.</w:t>
      </w:r>
    </w:p>
    <w:p w14:paraId="5AA90DBC" w14:textId="77777777" w:rsidR="00393E77" w:rsidRPr="0027789B" w:rsidRDefault="00393E77" w:rsidP="00393E77">
      <w:r w:rsidRPr="0027789B">
        <w:rPr>
          <w:u w:val="single"/>
        </w:rPr>
        <w:lastRenderedPageBreak/>
        <w:t>2.4 Confidentiality</w:t>
      </w:r>
      <w:r w:rsidRPr="0027789B">
        <w:t>:  Confidential communications between the Parties in discharging their rights and obligations under the Agreement and these Communication Protocols will be subject to the applicable restrictions set forth in the Agreement.</w:t>
      </w:r>
    </w:p>
    <w:p w14:paraId="2280C73B" w14:textId="77777777" w:rsidR="00393E77" w:rsidRPr="0027789B" w:rsidRDefault="00393E77" w:rsidP="00393E77">
      <w:r w:rsidRPr="0027789B">
        <w:rPr>
          <w:u w:val="single"/>
        </w:rPr>
        <w:t>2.5 Staffing</w:t>
      </w:r>
      <w:r w:rsidRPr="0027789B">
        <w:t>:  The Parties will have available 24 hours a day, seven days a week, personnel available to communicate regarding the implementation of these Communication Protocols.</w:t>
      </w:r>
    </w:p>
    <w:p w14:paraId="4167E56B" w14:textId="77777777" w:rsidR="00393E77" w:rsidRPr="0027789B" w:rsidRDefault="00393E77" w:rsidP="00393E77">
      <w:pPr>
        <w:jc w:val="center"/>
        <w:rPr>
          <w:b/>
          <w:bCs/>
        </w:rPr>
      </w:pPr>
      <w:r w:rsidRPr="0027789B">
        <w:rPr>
          <w:b/>
          <w:bCs/>
        </w:rPr>
        <w:t>Contact Information Table</w:t>
      </w:r>
    </w:p>
    <w:p w14:paraId="49D9228C" w14:textId="77777777" w:rsidR="00393E77" w:rsidRPr="0027789B" w:rsidRDefault="00393E77" w:rsidP="00393E77">
      <w:pPr>
        <w:jc w:val="center"/>
        <w:rPr>
          <w:bCs/>
        </w:rPr>
      </w:pPr>
    </w:p>
    <w:p w14:paraId="2A0F252F" w14:textId="77777777" w:rsidR="00393E77" w:rsidRPr="0027789B" w:rsidRDefault="00393E77" w:rsidP="00393E77">
      <w:pPr>
        <w:rPr>
          <w:b/>
          <w:u w:val="single"/>
        </w:rPr>
      </w:pPr>
      <w:r w:rsidRPr="0027789B">
        <w:rPr>
          <w:b/>
          <w:u w:val="single"/>
        </w:rPr>
        <w:t>Contacts and Authorized Representatives for SCE</w:t>
      </w:r>
    </w:p>
    <w:p w14:paraId="22124B20" w14:textId="77777777" w:rsidR="00393E77" w:rsidRPr="0027789B" w:rsidRDefault="00393E77" w:rsidP="00393E77">
      <w:r w:rsidRPr="0027789B">
        <w:t>Outlined below is the contact and communication information for the relevant contact groups</w:t>
      </w:r>
      <w:r>
        <w:t xml:space="preserve">. </w:t>
      </w:r>
      <w:r w:rsidRPr="0027789B">
        <w:t>This list may be amended by SCE with timely Notice to Seller.</w:t>
      </w:r>
    </w:p>
    <w:p w14:paraId="32D8D64E" w14:textId="77777777" w:rsidR="00393E77" w:rsidRPr="0027789B" w:rsidRDefault="00393E77" w:rsidP="00393E77"/>
    <w:tbl>
      <w:tblPr>
        <w:tblStyle w:val="TableGrid"/>
        <w:tblW w:w="0" w:type="auto"/>
        <w:tblCellMar>
          <w:top w:w="72" w:type="dxa"/>
          <w:left w:w="115" w:type="dxa"/>
          <w:bottom w:w="72" w:type="dxa"/>
          <w:right w:w="115" w:type="dxa"/>
        </w:tblCellMar>
        <w:tblLook w:val="04A0" w:firstRow="1" w:lastRow="0" w:firstColumn="1" w:lastColumn="0" w:noHBand="0" w:noVBand="1"/>
      </w:tblPr>
      <w:tblGrid>
        <w:gridCol w:w="1791"/>
        <w:gridCol w:w="1703"/>
        <w:gridCol w:w="1757"/>
        <w:gridCol w:w="1583"/>
        <w:gridCol w:w="2516"/>
      </w:tblGrid>
      <w:tr w:rsidR="00393E77" w:rsidRPr="0027789B" w14:paraId="04232AC1" w14:textId="77777777" w:rsidTr="00267BB5">
        <w:tc>
          <w:tcPr>
            <w:tcW w:w="1824" w:type="dxa"/>
            <w:vAlign w:val="center"/>
          </w:tcPr>
          <w:p w14:paraId="43A23358" w14:textId="77777777" w:rsidR="00393E77" w:rsidRPr="0027789B" w:rsidRDefault="00393E77" w:rsidP="00267BB5">
            <w:pPr>
              <w:jc w:val="center"/>
              <w:rPr>
                <w:b/>
              </w:rPr>
            </w:pPr>
            <w:r w:rsidRPr="0027789B">
              <w:rPr>
                <w:b/>
              </w:rPr>
              <w:t>Contact</w:t>
            </w:r>
          </w:p>
        </w:tc>
        <w:tc>
          <w:tcPr>
            <w:tcW w:w="1761" w:type="dxa"/>
            <w:vAlign w:val="center"/>
          </w:tcPr>
          <w:p w14:paraId="40989BF9" w14:textId="77777777" w:rsidR="00393E77" w:rsidRPr="0027789B" w:rsidRDefault="00393E77" w:rsidP="00267BB5">
            <w:pPr>
              <w:jc w:val="center"/>
              <w:rPr>
                <w:b/>
              </w:rPr>
            </w:pPr>
            <w:r w:rsidRPr="0027789B">
              <w:rPr>
                <w:b/>
              </w:rPr>
              <w:t>Primary Phone</w:t>
            </w:r>
          </w:p>
        </w:tc>
        <w:tc>
          <w:tcPr>
            <w:tcW w:w="1800" w:type="dxa"/>
            <w:vAlign w:val="center"/>
          </w:tcPr>
          <w:p w14:paraId="39A4739A" w14:textId="77777777" w:rsidR="00393E77" w:rsidRPr="0027789B" w:rsidRDefault="00393E77" w:rsidP="00267BB5">
            <w:pPr>
              <w:jc w:val="center"/>
              <w:rPr>
                <w:b/>
              </w:rPr>
            </w:pPr>
            <w:r w:rsidRPr="0027789B">
              <w:rPr>
                <w:b/>
              </w:rPr>
              <w:t>Secondary Phone</w:t>
            </w:r>
          </w:p>
        </w:tc>
        <w:tc>
          <w:tcPr>
            <w:tcW w:w="1674" w:type="dxa"/>
            <w:vAlign w:val="center"/>
          </w:tcPr>
          <w:p w14:paraId="74F3B41B" w14:textId="77777777" w:rsidR="00393E77" w:rsidRPr="0027789B" w:rsidRDefault="00393E77" w:rsidP="00267BB5">
            <w:pPr>
              <w:jc w:val="center"/>
              <w:rPr>
                <w:b/>
              </w:rPr>
            </w:pPr>
            <w:r w:rsidRPr="0027789B">
              <w:rPr>
                <w:b/>
              </w:rPr>
              <w:t>Fax</w:t>
            </w:r>
          </w:p>
        </w:tc>
        <w:tc>
          <w:tcPr>
            <w:tcW w:w="2517" w:type="dxa"/>
            <w:vAlign w:val="center"/>
          </w:tcPr>
          <w:p w14:paraId="445175DB" w14:textId="77777777" w:rsidR="00393E77" w:rsidRPr="0027789B" w:rsidRDefault="00393E77" w:rsidP="00267BB5">
            <w:pPr>
              <w:jc w:val="center"/>
              <w:rPr>
                <w:b/>
              </w:rPr>
            </w:pPr>
            <w:r w:rsidRPr="0027789B">
              <w:rPr>
                <w:b/>
              </w:rPr>
              <w:t>Email</w:t>
            </w:r>
          </w:p>
        </w:tc>
      </w:tr>
      <w:tr w:rsidR="00393E77" w:rsidRPr="0027789B" w14:paraId="6C8D9AAD" w14:textId="77777777" w:rsidTr="00267BB5">
        <w:trPr>
          <w:trHeight w:val="288"/>
        </w:trPr>
        <w:tc>
          <w:tcPr>
            <w:tcW w:w="1824" w:type="dxa"/>
            <w:vAlign w:val="center"/>
          </w:tcPr>
          <w:p w14:paraId="542BD992" w14:textId="77777777" w:rsidR="00393E77" w:rsidRPr="0027789B" w:rsidRDefault="00393E77" w:rsidP="00267BB5">
            <w:pPr>
              <w:rPr>
                <w:sz w:val="20"/>
                <w:szCs w:val="20"/>
              </w:rPr>
            </w:pPr>
            <w:r w:rsidRPr="0027789B">
              <w:rPr>
                <w:sz w:val="20"/>
                <w:szCs w:val="20"/>
              </w:rPr>
              <w:t>Day-Ahead Trading</w:t>
            </w:r>
          </w:p>
        </w:tc>
        <w:tc>
          <w:tcPr>
            <w:tcW w:w="1761" w:type="dxa"/>
            <w:vAlign w:val="center"/>
          </w:tcPr>
          <w:p w14:paraId="31469D5E" w14:textId="77777777" w:rsidR="00393E77" w:rsidRPr="0027789B" w:rsidRDefault="00393E77" w:rsidP="00267BB5">
            <w:pPr>
              <w:rPr>
                <w:sz w:val="20"/>
                <w:szCs w:val="20"/>
              </w:rPr>
            </w:pPr>
            <w:r w:rsidRPr="0027789B">
              <w:rPr>
                <w:sz w:val="20"/>
                <w:szCs w:val="20"/>
              </w:rPr>
              <w:t>626-307-4487</w:t>
            </w:r>
          </w:p>
        </w:tc>
        <w:tc>
          <w:tcPr>
            <w:tcW w:w="1800" w:type="dxa"/>
            <w:vAlign w:val="center"/>
          </w:tcPr>
          <w:p w14:paraId="7D0FE521" w14:textId="77777777" w:rsidR="00393E77" w:rsidRPr="0027789B" w:rsidRDefault="00393E77" w:rsidP="00267BB5">
            <w:pPr>
              <w:rPr>
                <w:sz w:val="20"/>
                <w:szCs w:val="20"/>
              </w:rPr>
            </w:pPr>
          </w:p>
        </w:tc>
        <w:tc>
          <w:tcPr>
            <w:tcW w:w="1674" w:type="dxa"/>
            <w:vAlign w:val="center"/>
          </w:tcPr>
          <w:p w14:paraId="65D615DA" w14:textId="77777777" w:rsidR="00393E77" w:rsidRPr="0027789B" w:rsidRDefault="00393E77" w:rsidP="00267BB5">
            <w:pPr>
              <w:rPr>
                <w:sz w:val="20"/>
                <w:szCs w:val="20"/>
              </w:rPr>
            </w:pPr>
            <w:r w:rsidRPr="0027789B">
              <w:rPr>
                <w:sz w:val="20"/>
                <w:szCs w:val="20"/>
              </w:rPr>
              <w:t>626-307-4430</w:t>
            </w:r>
          </w:p>
        </w:tc>
        <w:tc>
          <w:tcPr>
            <w:tcW w:w="2517" w:type="dxa"/>
            <w:vAlign w:val="center"/>
          </w:tcPr>
          <w:p w14:paraId="61113791" w14:textId="77777777" w:rsidR="00393E77" w:rsidRPr="0027789B" w:rsidRDefault="00D700F7" w:rsidP="00267BB5">
            <w:pPr>
              <w:rPr>
                <w:sz w:val="20"/>
                <w:szCs w:val="20"/>
              </w:rPr>
            </w:pPr>
            <w:hyperlink r:id="rId38" w:history="1">
              <w:r w:rsidR="00393E77" w:rsidRPr="0027789B">
                <w:rPr>
                  <w:rStyle w:val="Hyperlink"/>
                  <w:sz w:val="20"/>
                  <w:szCs w:val="20"/>
                </w:rPr>
                <w:t>electrode@sce.com</w:t>
              </w:r>
            </w:hyperlink>
          </w:p>
        </w:tc>
      </w:tr>
      <w:tr w:rsidR="00393E77" w:rsidRPr="0027789B" w14:paraId="338CDA64" w14:textId="77777777" w:rsidTr="00267BB5">
        <w:trPr>
          <w:trHeight w:val="288"/>
        </w:trPr>
        <w:tc>
          <w:tcPr>
            <w:tcW w:w="1824" w:type="dxa"/>
            <w:vAlign w:val="center"/>
          </w:tcPr>
          <w:p w14:paraId="0F73D95C" w14:textId="77777777" w:rsidR="00393E77" w:rsidRPr="0027789B" w:rsidRDefault="00393E77" w:rsidP="00267BB5">
            <w:pPr>
              <w:rPr>
                <w:sz w:val="20"/>
                <w:szCs w:val="20"/>
              </w:rPr>
            </w:pPr>
            <w:r w:rsidRPr="0027789B">
              <w:rPr>
                <w:sz w:val="20"/>
                <w:szCs w:val="20"/>
              </w:rPr>
              <w:t>Day-Ahead Scheduling</w:t>
            </w:r>
          </w:p>
        </w:tc>
        <w:tc>
          <w:tcPr>
            <w:tcW w:w="1761" w:type="dxa"/>
            <w:vAlign w:val="center"/>
          </w:tcPr>
          <w:p w14:paraId="6A66514C" w14:textId="77777777" w:rsidR="00393E77" w:rsidRPr="0027789B" w:rsidRDefault="00393E77" w:rsidP="00267BB5">
            <w:pPr>
              <w:rPr>
                <w:sz w:val="20"/>
                <w:szCs w:val="20"/>
              </w:rPr>
            </w:pPr>
            <w:r w:rsidRPr="0027789B">
              <w:rPr>
                <w:sz w:val="20"/>
                <w:szCs w:val="20"/>
              </w:rPr>
              <w:t>626-307-4425</w:t>
            </w:r>
          </w:p>
        </w:tc>
        <w:tc>
          <w:tcPr>
            <w:tcW w:w="1800" w:type="dxa"/>
            <w:vAlign w:val="center"/>
          </w:tcPr>
          <w:p w14:paraId="7249B742" w14:textId="77777777" w:rsidR="00393E77" w:rsidRPr="0027789B" w:rsidRDefault="00393E77" w:rsidP="00267BB5">
            <w:pPr>
              <w:rPr>
                <w:sz w:val="20"/>
                <w:szCs w:val="20"/>
              </w:rPr>
            </w:pPr>
            <w:r w:rsidRPr="0027789B">
              <w:rPr>
                <w:sz w:val="20"/>
                <w:szCs w:val="20"/>
              </w:rPr>
              <w:t>626-307-4420</w:t>
            </w:r>
          </w:p>
        </w:tc>
        <w:tc>
          <w:tcPr>
            <w:tcW w:w="1674" w:type="dxa"/>
            <w:vAlign w:val="center"/>
          </w:tcPr>
          <w:p w14:paraId="11085956" w14:textId="77777777" w:rsidR="00393E77" w:rsidRPr="0027789B" w:rsidRDefault="00393E77" w:rsidP="00267BB5">
            <w:pPr>
              <w:rPr>
                <w:sz w:val="20"/>
                <w:szCs w:val="20"/>
              </w:rPr>
            </w:pPr>
            <w:r w:rsidRPr="0027789B">
              <w:rPr>
                <w:sz w:val="20"/>
                <w:szCs w:val="20"/>
              </w:rPr>
              <w:t>626-307-4413</w:t>
            </w:r>
          </w:p>
        </w:tc>
        <w:tc>
          <w:tcPr>
            <w:tcW w:w="2517" w:type="dxa"/>
            <w:vAlign w:val="center"/>
          </w:tcPr>
          <w:p w14:paraId="0858038D" w14:textId="77777777" w:rsidR="00393E77" w:rsidRPr="0027789B" w:rsidRDefault="00D700F7" w:rsidP="00267BB5">
            <w:pPr>
              <w:rPr>
                <w:sz w:val="20"/>
                <w:szCs w:val="20"/>
              </w:rPr>
            </w:pPr>
            <w:hyperlink r:id="rId39" w:history="1">
              <w:r w:rsidR="00393E77" w:rsidRPr="0027789B">
                <w:rPr>
                  <w:rStyle w:val="Hyperlink"/>
                  <w:sz w:val="20"/>
                  <w:szCs w:val="20"/>
                </w:rPr>
                <w:t>presched@sce.com</w:t>
              </w:r>
            </w:hyperlink>
          </w:p>
        </w:tc>
      </w:tr>
      <w:tr w:rsidR="00393E77" w:rsidRPr="0027789B" w14:paraId="3C5D190C" w14:textId="77777777" w:rsidTr="00267BB5">
        <w:trPr>
          <w:trHeight w:val="288"/>
        </w:trPr>
        <w:tc>
          <w:tcPr>
            <w:tcW w:w="1824" w:type="dxa"/>
            <w:vAlign w:val="center"/>
          </w:tcPr>
          <w:p w14:paraId="3DA30193" w14:textId="77777777" w:rsidR="00393E77" w:rsidRPr="0027789B" w:rsidRDefault="00393E77" w:rsidP="00267BB5">
            <w:pPr>
              <w:rPr>
                <w:sz w:val="20"/>
                <w:szCs w:val="20"/>
              </w:rPr>
            </w:pPr>
            <w:r w:rsidRPr="0027789B">
              <w:rPr>
                <w:sz w:val="20"/>
                <w:szCs w:val="20"/>
              </w:rPr>
              <w:t>Real Time</w:t>
            </w:r>
          </w:p>
        </w:tc>
        <w:tc>
          <w:tcPr>
            <w:tcW w:w="1761" w:type="dxa"/>
            <w:vAlign w:val="center"/>
          </w:tcPr>
          <w:p w14:paraId="318036AD" w14:textId="77777777" w:rsidR="00393E77" w:rsidRPr="0027789B" w:rsidRDefault="00393E77" w:rsidP="00267BB5">
            <w:pPr>
              <w:rPr>
                <w:sz w:val="20"/>
                <w:szCs w:val="20"/>
              </w:rPr>
            </w:pPr>
            <w:r w:rsidRPr="0027789B">
              <w:rPr>
                <w:sz w:val="20"/>
                <w:szCs w:val="20"/>
              </w:rPr>
              <w:t>626-307-4453</w:t>
            </w:r>
          </w:p>
        </w:tc>
        <w:tc>
          <w:tcPr>
            <w:tcW w:w="1800" w:type="dxa"/>
            <w:vAlign w:val="center"/>
          </w:tcPr>
          <w:p w14:paraId="1EBE4F42" w14:textId="77777777" w:rsidR="00393E77" w:rsidRPr="0027789B" w:rsidRDefault="00393E77" w:rsidP="00267BB5">
            <w:pPr>
              <w:rPr>
                <w:sz w:val="20"/>
                <w:szCs w:val="20"/>
              </w:rPr>
            </w:pPr>
            <w:r w:rsidRPr="0027789B">
              <w:rPr>
                <w:sz w:val="20"/>
                <w:szCs w:val="20"/>
              </w:rPr>
              <w:t>626-307-4423</w:t>
            </w:r>
          </w:p>
        </w:tc>
        <w:tc>
          <w:tcPr>
            <w:tcW w:w="1674" w:type="dxa"/>
            <w:vAlign w:val="center"/>
          </w:tcPr>
          <w:p w14:paraId="05F36A9A" w14:textId="77777777" w:rsidR="00393E77" w:rsidRPr="0027789B" w:rsidRDefault="00393E77" w:rsidP="00267BB5">
            <w:pPr>
              <w:rPr>
                <w:sz w:val="20"/>
                <w:szCs w:val="20"/>
              </w:rPr>
            </w:pPr>
            <w:r w:rsidRPr="0027789B">
              <w:rPr>
                <w:sz w:val="20"/>
                <w:szCs w:val="20"/>
              </w:rPr>
              <w:t>626-307-4416</w:t>
            </w:r>
          </w:p>
        </w:tc>
        <w:tc>
          <w:tcPr>
            <w:tcW w:w="2517" w:type="dxa"/>
            <w:vAlign w:val="center"/>
          </w:tcPr>
          <w:p w14:paraId="664D3E54" w14:textId="77777777" w:rsidR="00393E77" w:rsidRPr="0027789B" w:rsidRDefault="00D700F7" w:rsidP="00267BB5">
            <w:pPr>
              <w:rPr>
                <w:sz w:val="20"/>
                <w:szCs w:val="20"/>
              </w:rPr>
            </w:pPr>
            <w:hyperlink r:id="rId40" w:history="1">
              <w:r w:rsidR="00393E77" w:rsidRPr="0027789B">
                <w:rPr>
                  <w:rStyle w:val="Hyperlink"/>
                  <w:sz w:val="20"/>
                  <w:szCs w:val="20"/>
                </w:rPr>
                <w:t>realtime@sce.com</w:t>
              </w:r>
            </w:hyperlink>
          </w:p>
        </w:tc>
      </w:tr>
      <w:tr w:rsidR="00393E77" w:rsidRPr="0027789B" w14:paraId="34E54E63" w14:textId="77777777" w:rsidTr="00267BB5">
        <w:trPr>
          <w:trHeight w:val="288"/>
        </w:trPr>
        <w:tc>
          <w:tcPr>
            <w:tcW w:w="1824" w:type="dxa"/>
            <w:vAlign w:val="center"/>
          </w:tcPr>
          <w:p w14:paraId="5A96B6DA" w14:textId="77777777" w:rsidR="00393E77" w:rsidRPr="0027789B" w:rsidRDefault="00393E77" w:rsidP="00267BB5">
            <w:pPr>
              <w:rPr>
                <w:sz w:val="20"/>
                <w:szCs w:val="20"/>
              </w:rPr>
            </w:pPr>
            <w:r w:rsidRPr="0027789B">
              <w:rPr>
                <w:sz w:val="20"/>
                <w:szCs w:val="20"/>
              </w:rPr>
              <w:t>Settlements – Power</w:t>
            </w:r>
          </w:p>
        </w:tc>
        <w:tc>
          <w:tcPr>
            <w:tcW w:w="1761" w:type="dxa"/>
            <w:vAlign w:val="center"/>
          </w:tcPr>
          <w:p w14:paraId="62F1ACB3" w14:textId="77777777" w:rsidR="00393E77" w:rsidRPr="0027789B" w:rsidRDefault="00393E77" w:rsidP="00267BB5">
            <w:pPr>
              <w:rPr>
                <w:sz w:val="20"/>
                <w:szCs w:val="20"/>
              </w:rPr>
            </w:pPr>
            <w:r w:rsidRPr="0027789B">
              <w:rPr>
                <w:sz w:val="20"/>
                <w:szCs w:val="20"/>
              </w:rPr>
              <w:t>626-302</w:t>
            </w:r>
            <w:r>
              <w:rPr>
                <w:sz w:val="20"/>
                <w:szCs w:val="20"/>
              </w:rPr>
              <w:t>-8908</w:t>
            </w:r>
          </w:p>
        </w:tc>
        <w:tc>
          <w:tcPr>
            <w:tcW w:w="1800" w:type="dxa"/>
            <w:vAlign w:val="center"/>
          </w:tcPr>
          <w:p w14:paraId="6C7B3142" w14:textId="77777777" w:rsidR="00393E77" w:rsidRPr="0027789B" w:rsidRDefault="00393E77" w:rsidP="00267BB5">
            <w:pPr>
              <w:rPr>
                <w:sz w:val="20"/>
                <w:szCs w:val="20"/>
              </w:rPr>
            </w:pPr>
          </w:p>
        </w:tc>
        <w:tc>
          <w:tcPr>
            <w:tcW w:w="1674" w:type="dxa"/>
            <w:vAlign w:val="center"/>
          </w:tcPr>
          <w:p w14:paraId="4D1D8FD6" w14:textId="77777777" w:rsidR="00393E77" w:rsidRPr="0027789B" w:rsidRDefault="00393E77" w:rsidP="00267BB5">
            <w:pPr>
              <w:rPr>
                <w:sz w:val="20"/>
                <w:szCs w:val="20"/>
              </w:rPr>
            </w:pPr>
            <w:r w:rsidRPr="0027789B">
              <w:rPr>
                <w:sz w:val="20"/>
                <w:szCs w:val="20"/>
              </w:rPr>
              <w:t>626-302-3276</w:t>
            </w:r>
          </w:p>
        </w:tc>
        <w:tc>
          <w:tcPr>
            <w:tcW w:w="2517" w:type="dxa"/>
            <w:vAlign w:val="center"/>
          </w:tcPr>
          <w:p w14:paraId="0223DD16" w14:textId="77777777" w:rsidR="00393E77" w:rsidRPr="0027789B" w:rsidRDefault="00D700F7" w:rsidP="00267BB5">
            <w:pPr>
              <w:rPr>
                <w:sz w:val="20"/>
                <w:szCs w:val="20"/>
              </w:rPr>
            </w:pPr>
            <w:hyperlink r:id="rId41" w:history="1">
              <w:r w:rsidR="00393E77" w:rsidRPr="0027789B">
                <w:rPr>
                  <w:rStyle w:val="Hyperlink"/>
                  <w:sz w:val="20"/>
                  <w:szCs w:val="20"/>
                </w:rPr>
                <w:t>PPFDPowerSettle@sce.com</w:t>
              </w:r>
            </w:hyperlink>
          </w:p>
        </w:tc>
      </w:tr>
      <w:tr w:rsidR="00393E77" w:rsidRPr="0027789B" w14:paraId="55BA2E72" w14:textId="77777777" w:rsidTr="00267BB5">
        <w:trPr>
          <w:trHeight w:val="288"/>
        </w:trPr>
        <w:tc>
          <w:tcPr>
            <w:tcW w:w="1824" w:type="dxa"/>
            <w:vAlign w:val="center"/>
          </w:tcPr>
          <w:p w14:paraId="5BFD0B0D" w14:textId="77777777" w:rsidR="00393E77" w:rsidRPr="0027789B" w:rsidRDefault="00393E77" w:rsidP="00267BB5">
            <w:pPr>
              <w:rPr>
                <w:sz w:val="20"/>
                <w:szCs w:val="20"/>
              </w:rPr>
            </w:pPr>
            <w:r w:rsidRPr="0027789B">
              <w:rPr>
                <w:sz w:val="20"/>
                <w:szCs w:val="20"/>
              </w:rPr>
              <w:t>Contract Administration</w:t>
            </w:r>
          </w:p>
        </w:tc>
        <w:tc>
          <w:tcPr>
            <w:tcW w:w="1761" w:type="dxa"/>
            <w:vAlign w:val="center"/>
          </w:tcPr>
          <w:p w14:paraId="159DCF76" w14:textId="3FCBC08C" w:rsidR="00393E77" w:rsidRPr="0027789B" w:rsidRDefault="00393E77" w:rsidP="0054431E">
            <w:pPr>
              <w:rPr>
                <w:sz w:val="20"/>
                <w:szCs w:val="20"/>
              </w:rPr>
            </w:pPr>
            <w:r w:rsidRPr="0027789B">
              <w:rPr>
                <w:sz w:val="20"/>
                <w:szCs w:val="20"/>
              </w:rPr>
              <w:t>626-302-</w:t>
            </w:r>
            <w:r w:rsidR="0054431E">
              <w:rPr>
                <w:sz w:val="20"/>
                <w:szCs w:val="20"/>
              </w:rPr>
              <w:t>6060</w:t>
            </w:r>
          </w:p>
        </w:tc>
        <w:tc>
          <w:tcPr>
            <w:tcW w:w="1800" w:type="dxa"/>
            <w:vAlign w:val="center"/>
          </w:tcPr>
          <w:p w14:paraId="622C9E42" w14:textId="77777777" w:rsidR="00393E77" w:rsidRPr="0027789B" w:rsidRDefault="00393E77" w:rsidP="00267BB5">
            <w:pPr>
              <w:rPr>
                <w:sz w:val="20"/>
                <w:szCs w:val="20"/>
              </w:rPr>
            </w:pPr>
          </w:p>
        </w:tc>
        <w:tc>
          <w:tcPr>
            <w:tcW w:w="1674" w:type="dxa"/>
            <w:vAlign w:val="center"/>
          </w:tcPr>
          <w:p w14:paraId="64C03340" w14:textId="06A6A197" w:rsidR="00393E77" w:rsidRPr="0027789B" w:rsidRDefault="00393E77" w:rsidP="00267BB5">
            <w:pPr>
              <w:rPr>
                <w:sz w:val="20"/>
                <w:szCs w:val="20"/>
              </w:rPr>
            </w:pPr>
          </w:p>
        </w:tc>
        <w:tc>
          <w:tcPr>
            <w:tcW w:w="2517" w:type="dxa"/>
            <w:vAlign w:val="center"/>
          </w:tcPr>
          <w:p w14:paraId="3C7AFFF5" w14:textId="77777777" w:rsidR="00393E77" w:rsidRPr="0027789B" w:rsidRDefault="00393E77" w:rsidP="00267BB5">
            <w:pPr>
              <w:rPr>
                <w:sz w:val="20"/>
                <w:szCs w:val="20"/>
              </w:rPr>
            </w:pPr>
            <w:r w:rsidRPr="0027789B">
              <w:rPr>
                <w:rStyle w:val="Hyperlink"/>
                <w:sz w:val="20"/>
                <w:szCs w:val="20"/>
              </w:rPr>
              <w:t>Energycontracts@sce.com</w:t>
            </w:r>
          </w:p>
        </w:tc>
      </w:tr>
      <w:tr w:rsidR="00393E77" w:rsidRPr="0027789B" w14:paraId="46838D38" w14:textId="77777777" w:rsidTr="00267BB5">
        <w:trPr>
          <w:trHeight w:val="288"/>
        </w:trPr>
        <w:tc>
          <w:tcPr>
            <w:tcW w:w="1824" w:type="dxa"/>
            <w:vAlign w:val="center"/>
          </w:tcPr>
          <w:p w14:paraId="6294C073" w14:textId="77777777" w:rsidR="00393E77" w:rsidRPr="0027789B" w:rsidRDefault="00393E77" w:rsidP="00267BB5">
            <w:pPr>
              <w:rPr>
                <w:sz w:val="20"/>
                <w:szCs w:val="20"/>
              </w:rPr>
            </w:pPr>
            <w:r w:rsidRPr="0027789B">
              <w:rPr>
                <w:sz w:val="20"/>
                <w:szCs w:val="20"/>
              </w:rPr>
              <w:t>Outage Scheduling</w:t>
            </w:r>
          </w:p>
        </w:tc>
        <w:tc>
          <w:tcPr>
            <w:tcW w:w="1761" w:type="dxa"/>
            <w:vAlign w:val="center"/>
          </w:tcPr>
          <w:p w14:paraId="7FA7F156" w14:textId="77777777" w:rsidR="00393E77" w:rsidRPr="0027789B" w:rsidRDefault="00393E77" w:rsidP="00267BB5">
            <w:pPr>
              <w:rPr>
                <w:sz w:val="20"/>
                <w:szCs w:val="20"/>
              </w:rPr>
            </w:pPr>
            <w:r w:rsidRPr="0027789B">
              <w:rPr>
                <w:sz w:val="20"/>
                <w:szCs w:val="20"/>
              </w:rPr>
              <w:t>626-302-3400</w:t>
            </w:r>
          </w:p>
        </w:tc>
        <w:tc>
          <w:tcPr>
            <w:tcW w:w="1800" w:type="dxa"/>
            <w:vAlign w:val="center"/>
          </w:tcPr>
          <w:p w14:paraId="68E27038" w14:textId="77777777" w:rsidR="00393E77" w:rsidRPr="0027789B" w:rsidRDefault="00393E77" w:rsidP="00267BB5">
            <w:pPr>
              <w:rPr>
                <w:sz w:val="20"/>
                <w:szCs w:val="20"/>
              </w:rPr>
            </w:pPr>
          </w:p>
        </w:tc>
        <w:tc>
          <w:tcPr>
            <w:tcW w:w="1674" w:type="dxa"/>
            <w:vAlign w:val="center"/>
          </w:tcPr>
          <w:p w14:paraId="51F7F779" w14:textId="77777777" w:rsidR="00393E77" w:rsidRPr="0027789B" w:rsidRDefault="00393E77" w:rsidP="00267BB5">
            <w:pPr>
              <w:rPr>
                <w:sz w:val="20"/>
                <w:szCs w:val="20"/>
              </w:rPr>
            </w:pPr>
          </w:p>
        </w:tc>
        <w:tc>
          <w:tcPr>
            <w:tcW w:w="2517" w:type="dxa"/>
            <w:vAlign w:val="center"/>
          </w:tcPr>
          <w:p w14:paraId="30DDC2B6" w14:textId="77777777" w:rsidR="00393E77" w:rsidRPr="0027789B" w:rsidRDefault="00393E77" w:rsidP="00267BB5">
            <w:pPr>
              <w:rPr>
                <w:sz w:val="20"/>
                <w:szCs w:val="20"/>
              </w:rPr>
            </w:pPr>
            <w:r w:rsidRPr="0027789B">
              <w:rPr>
                <w:color w:val="0000FF"/>
                <w:sz w:val="20"/>
                <w:szCs w:val="20"/>
                <w:u w:val="single"/>
              </w:rPr>
              <w:t>genoutages@SCE.com</w:t>
            </w:r>
          </w:p>
        </w:tc>
      </w:tr>
    </w:tbl>
    <w:p w14:paraId="3FCD73A9" w14:textId="77777777" w:rsidR="00393E77" w:rsidRPr="0027789B" w:rsidRDefault="00393E77" w:rsidP="00393E77"/>
    <w:p w14:paraId="47DAFDD3" w14:textId="77777777" w:rsidR="00393E77" w:rsidRPr="0027789B" w:rsidRDefault="00393E77" w:rsidP="00393E77">
      <w:pPr>
        <w:rPr>
          <w:b/>
          <w:u w:val="single"/>
        </w:rPr>
      </w:pPr>
      <w:r w:rsidRPr="0027789B">
        <w:rPr>
          <w:b/>
          <w:u w:val="single"/>
        </w:rPr>
        <w:br w:type="page"/>
      </w:r>
      <w:r w:rsidRPr="0027789B">
        <w:rPr>
          <w:b/>
          <w:u w:val="single"/>
        </w:rPr>
        <w:lastRenderedPageBreak/>
        <w:t>Contacts and Authorized Representatives for Seller</w:t>
      </w:r>
    </w:p>
    <w:p w14:paraId="374862EA" w14:textId="77777777" w:rsidR="00393E77" w:rsidRPr="0027789B" w:rsidRDefault="00393E77" w:rsidP="00393E77">
      <w:pPr>
        <w:tabs>
          <w:tab w:val="left" w:pos="2430"/>
        </w:tabs>
      </w:pPr>
    </w:p>
    <w:p w14:paraId="6F078DFC" w14:textId="77777777" w:rsidR="00393E77" w:rsidRPr="0027789B" w:rsidRDefault="00393E77" w:rsidP="00393E77">
      <w:pPr>
        <w:tabs>
          <w:tab w:val="left" w:pos="2430"/>
        </w:tabs>
      </w:pPr>
      <w:r w:rsidRPr="0027789B">
        <w:t>Outlined below is the contact and communication information for the relevant Seller employees</w:t>
      </w:r>
      <w:r>
        <w:t xml:space="preserve">. </w:t>
      </w:r>
      <w:r w:rsidRPr="0027789B">
        <w:t>This list may be amended by Seller with timely Notice to SCE.</w:t>
      </w:r>
    </w:p>
    <w:tbl>
      <w:tblPr>
        <w:tblStyle w:val="TableGrid"/>
        <w:tblW w:w="0" w:type="auto"/>
        <w:tblLook w:val="04A0" w:firstRow="1" w:lastRow="0" w:firstColumn="1" w:lastColumn="0" w:noHBand="0" w:noVBand="1"/>
      </w:tblPr>
      <w:tblGrid>
        <w:gridCol w:w="1577"/>
        <w:gridCol w:w="1564"/>
        <w:gridCol w:w="1552"/>
        <w:gridCol w:w="1576"/>
        <w:gridCol w:w="1530"/>
        <w:gridCol w:w="1551"/>
      </w:tblGrid>
      <w:tr w:rsidR="00393E77" w:rsidRPr="0027789B" w14:paraId="411E133B" w14:textId="77777777" w:rsidTr="00267BB5">
        <w:tc>
          <w:tcPr>
            <w:tcW w:w="1596" w:type="dxa"/>
            <w:vAlign w:val="center"/>
          </w:tcPr>
          <w:p w14:paraId="0FDEFABB" w14:textId="77777777" w:rsidR="00393E77" w:rsidRPr="0027789B" w:rsidRDefault="00393E77" w:rsidP="00267BB5">
            <w:pPr>
              <w:tabs>
                <w:tab w:val="left" w:pos="2430"/>
              </w:tabs>
              <w:jc w:val="center"/>
              <w:rPr>
                <w:b/>
              </w:rPr>
            </w:pPr>
            <w:r w:rsidRPr="0027789B">
              <w:rPr>
                <w:b/>
              </w:rPr>
              <w:t>Desk:</w:t>
            </w:r>
          </w:p>
        </w:tc>
        <w:tc>
          <w:tcPr>
            <w:tcW w:w="1596" w:type="dxa"/>
            <w:vAlign w:val="center"/>
          </w:tcPr>
          <w:p w14:paraId="784586E9" w14:textId="77777777" w:rsidR="00393E77" w:rsidRPr="0027789B" w:rsidRDefault="00393E77" w:rsidP="00267BB5">
            <w:pPr>
              <w:tabs>
                <w:tab w:val="left" w:pos="2430"/>
              </w:tabs>
              <w:jc w:val="center"/>
              <w:rPr>
                <w:b/>
              </w:rPr>
            </w:pPr>
            <w:r w:rsidRPr="0027789B">
              <w:rPr>
                <w:b/>
              </w:rPr>
              <w:t>Contact:</w:t>
            </w:r>
          </w:p>
        </w:tc>
        <w:tc>
          <w:tcPr>
            <w:tcW w:w="1596" w:type="dxa"/>
            <w:vAlign w:val="center"/>
          </w:tcPr>
          <w:p w14:paraId="1E559494" w14:textId="77777777" w:rsidR="00393E77" w:rsidRPr="0027789B" w:rsidRDefault="00393E77" w:rsidP="00267BB5">
            <w:pPr>
              <w:tabs>
                <w:tab w:val="left" w:pos="2430"/>
              </w:tabs>
              <w:jc w:val="center"/>
              <w:rPr>
                <w:b/>
              </w:rPr>
            </w:pPr>
            <w:r w:rsidRPr="0027789B">
              <w:rPr>
                <w:b/>
              </w:rPr>
              <w:t>Direct Phone:</w:t>
            </w:r>
          </w:p>
        </w:tc>
        <w:tc>
          <w:tcPr>
            <w:tcW w:w="1596" w:type="dxa"/>
            <w:vAlign w:val="center"/>
          </w:tcPr>
          <w:p w14:paraId="5431B606" w14:textId="77777777" w:rsidR="00393E77" w:rsidRPr="0027789B" w:rsidRDefault="00393E77" w:rsidP="00267BB5">
            <w:pPr>
              <w:tabs>
                <w:tab w:val="left" w:pos="2430"/>
              </w:tabs>
              <w:jc w:val="center"/>
              <w:rPr>
                <w:b/>
              </w:rPr>
            </w:pPr>
            <w:r w:rsidRPr="0027789B">
              <w:rPr>
                <w:b/>
              </w:rPr>
              <w:t>Secondary Phones:</w:t>
            </w:r>
          </w:p>
        </w:tc>
        <w:tc>
          <w:tcPr>
            <w:tcW w:w="1596" w:type="dxa"/>
            <w:vAlign w:val="center"/>
          </w:tcPr>
          <w:p w14:paraId="1220F03B" w14:textId="77777777" w:rsidR="00393E77" w:rsidRPr="0027789B" w:rsidRDefault="00393E77" w:rsidP="00267BB5">
            <w:pPr>
              <w:tabs>
                <w:tab w:val="left" w:pos="2430"/>
              </w:tabs>
              <w:jc w:val="center"/>
              <w:rPr>
                <w:b/>
              </w:rPr>
            </w:pPr>
            <w:r w:rsidRPr="0027789B">
              <w:rPr>
                <w:b/>
              </w:rPr>
              <w:t>Fax</w:t>
            </w:r>
          </w:p>
        </w:tc>
        <w:tc>
          <w:tcPr>
            <w:tcW w:w="1596" w:type="dxa"/>
            <w:vAlign w:val="center"/>
          </w:tcPr>
          <w:p w14:paraId="14ACB811" w14:textId="77777777" w:rsidR="00393E77" w:rsidRPr="0027789B" w:rsidRDefault="00393E77" w:rsidP="00267BB5">
            <w:pPr>
              <w:tabs>
                <w:tab w:val="left" w:pos="2430"/>
              </w:tabs>
              <w:jc w:val="center"/>
              <w:rPr>
                <w:b/>
              </w:rPr>
            </w:pPr>
            <w:r w:rsidRPr="0027789B">
              <w:rPr>
                <w:b/>
              </w:rPr>
              <w:t>Email:</w:t>
            </w:r>
          </w:p>
        </w:tc>
      </w:tr>
      <w:tr w:rsidR="00393E77" w:rsidRPr="0027789B" w14:paraId="4097CCA4" w14:textId="77777777" w:rsidTr="00267BB5">
        <w:trPr>
          <w:trHeight w:val="432"/>
        </w:trPr>
        <w:tc>
          <w:tcPr>
            <w:tcW w:w="1596" w:type="dxa"/>
            <w:vAlign w:val="center"/>
          </w:tcPr>
          <w:p w14:paraId="39D49AF9" w14:textId="77777777" w:rsidR="00393E77" w:rsidRPr="0027789B" w:rsidRDefault="00393E77" w:rsidP="00267BB5">
            <w:pPr>
              <w:tabs>
                <w:tab w:val="left" w:pos="2430"/>
              </w:tabs>
              <w:rPr>
                <w:sz w:val="18"/>
                <w:szCs w:val="18"/>
              </w:rPr>
            </w:pPr>
            <w:r w:rsidRPr="0027789B">
              <w:rPr>
                <w:sz w:val="18"/>
                <w:szCs w:val="18"/>
              </w:rPr>
              <w:t>Dispatch Desk (Day-Ahead)</w:t>
            </w:r>
          </w:p>
        </w:tc>
        <w:tc>
          <w:tcPr>
            <w:tcW w:w="1596" w:type="dxa"/>
            <w:vAlign w:val="center"/>
          </w:tcPr>
          <w:p w14:paraId="2C4A0273" w14:textId="77777777" w:rsidR="00393E77" w:rsidRPr="0027789B" w:rsidRDefault="00393E77" w:rsidP="00267BB5">
            <w:pPr>
              <w:tabs>
                <w:tab w:val="left" w:pos="2430"/>
              </w:tabs>
              <w:rPr>
                <w:sz w:val="18"/>
                <w:szCs w:val="18"/>
              </w:rPr>
            </w:pPr>
          </w:p>
        </w:tc>
        <w:tc>
          <w:tcPr>
            <w:tcW w:w="1596" w:type="dxa"/>
            <w:vAlign w:val="center"/>
          </w:tcPr>
          <w:p w14:paraId="2E4CADE6" w14:textId="77777777" w:rsidR="00393E77" w:rsidRPr="0027789B" w:rsidRDefault="00393E77" w:rsidP="00267BB5">
            <w:pPr>
              <w:tabs>
                <w:tab w:val="left" w:pos="2430"/>
              </w:tabs>
              <w:rPr>
                <w:sz w:val="18"/>
                <w:szCs w:val="18"/>
              </w:rPr>
            </w:pPr>
          </w:p>
        </w:tc>
        <w:tc>
          <w:tcPr>
            <w:tcW w:w="1596" w:type="dxa"/>
            <w:vAlign w:val="center"/>
          </w:tcPr>
          <w:p w14:paraId="4EB82C44" w14:textId="77777777" w:rsidR="00393E77" w:rsidRPr="0027789B" w:rsidRDefault="00393E77" w:rsidP="00267BB5">
            <w:pPr>
              <w:tabs>
                <w:tab w:val="left" w:pos="2430"/>
              </w:tabs>
              <w:rPr>
                <w:sz w:val="18"/>
                <w:szCs w:val="18"/>
              </w:rPr>
            </w:pPr>
          </w:p>
        </w:tc>
        <w:tc>
          <w:tcPr>
            <w:tcW w:w="1596" w:type="dxa"/>
            <w:vAlign w:val="center"/>
          </w:tcPr>
          <w:p w14:paraId="0A871322" w14:textId="77777777" w:rsidR="00393E77" w:rsidRPr="0027789B" w:rsidRDefault="00393E77" w:rsidP="00267BB5">
            <w:pPr>
              <w:tabs>
                <w:tab w:val="left" w:pos="2430"/>
              </w:tabs>
              <w:rPr>
                <w:sz w:val="18"/>
                <w:szCs w:val="18"/>
              </w:rPr>
            </w:pPr>
          </w:p>
        </w:tc>
        <w:tc>
          <w:tcPr>
            <w:tcW w:w="1596" w:type="dxa"/>
            <w:vAlign w:val="center"/>
          </w:tcPr>
          <w:p w14:paraId="7AF5BE70" w14:textId="77777777" w:rsidR="00393E77" w:rsidRPr="0027789B" w:rsidRDefault="00393E77" w:rsidP="00267BB5">
            <w:pPr>
              <w:tabs>
                <w:tab w:val="left" w:pos="2430"/>
              </w:tabs>
              <w:rPr>
                <w:sz w:val="18"/>
                <w:szCs w:val="18"/>
              </w:rPr>
            </w:pPr>
          </w:p>
        </w:tc>
      </w:tr>
      <w:tr w:rsidR="00393E77" w:rsidRPr="0027789B" w14:paraId="0107D25B" w14:textId="77777777" w:rsidTr="00267BB5">
        <w:trPr>
          <w:trHeight w:val="432"/>
        </w:trPr>
        <w:tc>
          <w:tcPr>
            <w:tcW w:w="1596" w:type="dxa"/>
            <w:vAlign w:val="center"/>
          </w:tcPr>
          <w:p w14:paraId="1A929675" w14:textId="77777777" w:rsidR="00393E77" w:rsidRPr="0027789B" w:rsidRDefault="00393E77" w:rsidP="00267BB5">
            <w:pPr>
              <w:tabs>
                <w:tab w:val="left" w:pos="2430"/>
              </w:tabs>
              <w:rPr>
                <w:sz w:val="18"/>
                <w:szCs w:val="18"/>
              </w:rPr>
            </w:pPr>
            <w:r w:rsidRPr="0027789B">
              <w:rPr>
                <w:sz w:val="18"/>
                <w:szCs w:val="18"/>
              </w:rPr>
              <w:t>Dispatch Desk (Real Time)</w:t>
            </w:r>
          </w:p>
        </w:tc>
        <w:tc>
          <w:tcPr>
            <w:tcW w:w="1596" w:type="dxa"/>
            <w:vAlign w:val="center"/>
          </w:tcPr>
          <w:p w14:paraId="04A2C90B" w14:textId="77777777" w:rsidR="00393E77" w:rsidRPr="0027789B" w:rsidRDefault="00393E77" w:rsidP="00267BB5">
            <w:pPr>
              <w:tabs>
                <w:tab w:val="left" w:pos="2430"/>
              </w:tabs>
              <w:rPr>
                <w:sz w:val="18"/>
                <w:szCs w:val="18"/>
              </w:rPr>
            </w:pPr>
          </w:p>
        </w:tc>
        <w:tc>
          <w:tcPr>
            <w:tcW w:w="1596" w:type="dxa"/>
            <w:vAlign w:val="center"/>
          </w:tcPr>
          <w:p w14:paraId="740769DC" w14:textId="77777777" w:rsidR="00393E77" w:rsidRPr="0027789B" w:rsidRDefault="00393E77" w:rsidP="00267BB5">
            <w:pPr>
              <w:tabs>
                <w:tab w:val="left" w:pos="2430"/>
              </w:tabs>
              <w:rPr>
                <w:sz w:val="18"/>
                <w:szCs w:val="18"/>
              </w:rPr>
            </w:pPr>
          </w:p>
        </w:tc>
        <w:tc>
          <w:tcPr>
            <w:tcW w:w="1596" w:type="dxa"/>
            <w:vAlign w:val="center"/>
          </w:tcPr>
          <w:p w14:paraId="5B7505F8" w14:textId="77777777" w:rsidR="00393E77" w:rsidRPr="0027789B" w:rsidRDefault="00393E77" w:rsidP="00267BB5">
            <w:pPr>
              <w:tabs>
                <w:tab w:val="left" w:pos="2430"/>
              </w:tabs>
              <w:rPr>
                <w:sz w:val="18"/>
                <w:szCs w:val="18"/>
              </w:rPr>
            </w:pPr>
          </w:p>
        </w:tc>
        <w:tc>
          <w:tcPr>
            <w:tcW w:w="1596" w:type="dxa"/>
            <w:vAlign w:val="center"/>
          </w:tcPr>
          <w:p w14:paraId="3372EE69" w14:textId="77777777" w:rsidR="00393E77" w:rsidRPr="0027789B" w:rsidRDefault="00393E77" w:rsidP="00267BB5">
            <w:pPr>
              <w:tabs>
                <w:tab w:val="left" w:pos="2430"/>
              </w:tabs>
              <w:rPr>
                <w:sz w:val="18"/>
                <w:szCs w:val="18"/>
              </w:rPr>
            </w:pPr>
          </w:p>
        </w:tc>
        <w:tc>
          <w:tcPr>
            <w:tcW w:w="1596" w:type="dxa"/>
            <w:vAlign w:val="center"/>
          </w:tcPr>
          <w:p w14:paraId="5B30FA86" w14:textId="77777777" w:rsidR="00393E77" w:rsidRPr="0027789B" w:rsidRDefault="00393E77" w:rsidP="00267BB5">
            <w:pPr>
              <w:tabs>
                <w:tab w:val="left" w:pos="2430"/>
              </w:tabs>
              <w:rPr>
                <w:sz w:val="18"/>
                <w:szCs w:val="18"/>
              </w:rPr>
            </w:pPr>
          </w:p>
        </w:tc>
      </w:tr>
      <w:tr w:rsidR="00393E77" w:rsidRPr="0027789B" w14:paraId="5CA31F19" w14:textId="77777777" w:rsidTr="00267BB5">
        <w:trPr>
          <w:trHeight w:val="432"/>
        </w:trPr>
        <w:tc>
          <w:tcPr>
            <w:tcW w:w="1596" w:type="dxa"/>
            <w:vAlign w:val="center"/>
          </w:tcPr>
          <w:p w14:paraId="241DA136" w14:textId="77777777" w:rsidR="00393E77" w:rsidRPr="0027789B" w:rsidRDefault="00393E77" w:rsidP="00267BB5">
            <w:pPr>
              <w:tabs>
                <w:tab w:val="left" w:pos="2430"/>
              </w:tabs>
              <w:rPr>
                <w:sz w:val="18"/>
                <w:szCs w:val="18"/>
              </w:rPr>
            </w:pPr>
            <w:r w:rsidRPr="0027789B">
              <w:rPr>
                <w:sz w:val="18"/>
                <w:szCs w:val="18"/>
              </w:rPr>
              <w:t>Outage Desk</w:t>
            </w:r>
          </w:p>
        </w:tc>
        <w:tc>
          <w:tcPr>
            <w:tcW w:w="1596" w:type="dxa"/>
            <w:vAlign w:val="center"/>
          </w:tcPr>
          <w:p w14:paraId="1FBE5848" w14:textId="77777777" w:rsidR="00393E77" w:rsidRPr="0027789B" w:rsidRDefault="00393E77" w:rsidP="00267BB5">
            <w:pPr>
              <w:tabs>
                <w:tab w:val="left" w:pos="2430"/>
              </w:tabs>
              <w:rPr>
                <w:sz w:val="18"/>
                <w:szCs w:val="18"/>
              </w:rPr>
            </w:pPr>
          </w:p>
        </w:tc>
        <w:tc>
          <w:tcPr>
            <w:tcW w:w="1596" w:type="dxa"/>
            <w:vAlign w:val="center"/>
          </w:tcPr>
          <w:p w14:paraId="644D81F5" w14:textId="77777777" w:rsidR="00393E77" w:rsidRPr="0027789B" w:rsidRDefault="00393E77" w:rsidP="00267BB5">
            <w:pPr>
              <w:tabs>
                <w:tab w:val="left" w:pos="2430"/>
              </w:tabs>
              <w:rPr>
                <w:sz w:val="18"/>
                <w:szCs w:val="18"/>
              </w:rPr>
            </w:pPr>
          </w:p>
        </w:tc>
        <w:tc>
          <w:tcPr>
            <w:tcW w:w="1596" w:type="dxa"/>
            <w:vAlign w:val="center"/>
          </w:tcPr>
          <w:p w14:paraId="0C7F7441" w14:textId="77777777" w:rsidR="00393E77" w:rsidRPr="0027789B" w:rsidRDefault="00393E77" w:rsidP="00267BB5">
            <w:pPr>
              <w:tabs>
                <w:tab w:val="left" w:pos="2430"/>
              </w:tabs>
              <w:rPr>
                <w:sz w:val="18"/>
                <w:szCs w:val="18"/>
              </w:rPr>
            </w:pPr>
          </w:p>
        </w:tc>
        <w:tc>
          <w:tcPr>
            <w:tcW w:w="1596" w:type="dxa"/>
            <w:vAlign w:val="center"/>
          </w:tcPr>
          <w:p w14:paraId="109B8E20" w14:textId="77777777" w:rsidR="00393E77" w:rsidRPr="0027789B" w:rsidRDefault="00393E77" w:rsidP="00267BB5">
            <w:pPr>
              <w:tabs>
                <w:tab w:val="left" w:pos="2430"/>
              </w:tabs>
              <w:rPr>
                <w:sz w:val="18"/>
                <w:szCs w:val="18"/>
              </w:rPr>
            </w:pPr>
          </w:p>
        </w:tc>
        <w:tc>
          <w:tcPr>
            <w:tcW w:w="1596" w:type="dxa"/>
            <w:vAlign w:val="center"/>
          </w:tcPr>
          <w:p w14:paraId="3AA8110E" w14:textId="77777777" w:rsidR="00393E77" w:rsidRPr="0027789B" w:rsidRDefault="00393E77" w:rsidP="00267BB5">
            <w:pPr>
              <w:tabs>
                <w:tab w:val="left" w:pos="2430"/>
              </w:tabs>
              <w:rPr>
                <w:sz w:val="18"/>
                <w:szCs w:val="18"/>
              </w:rPr>
            </w:pPr>
          </w:p>
        </w:tc>
      </w:tr>
      <w:tr w:rsidR="00393E77" w:rsidRPr="0027789B" w14:paraId="09412F6F" w14:textId="77777777" w:rsidTr="00267BB5">
        <w:trPr>
          <w:trHeight w:val="432"/>
        </w:trPr>
        <w:tc>
          <w:tcPr>
            <w:tcW w:w="1596" w:type="dxa"/>
            <w:vAlign w:val="center"/>
          </w:tcPr>
          <w:p w14:paraId="78ECFA30" w14:textId="77777777" w:rsidR="00393E77" w:rsidRPr="0027789B" w:rsidRDefault="00393E77" w:rsidP="00267BB5">
            <w:pPr>
              <w:tabs>
                <w:tab w:val="left" w:pos="2430"/>
              </w:tabs>
              <w:rPr>
                <w:sz w:val="18"/>
                <w:szCs w:val="18"/>
              </w:rPr>
            </w:pPr>
            <w:r w:rsidRPr="0027789B">
              <w:rPr>
                <w:sz w:val="18"/>
                <w:szCs w:val="18"/>
              </w:rPr>
              <w:t>Plant Manager</w:t>
            </w:r>
          </w:p>
        </w:tc>
        <w:tc>
          <w:tcPr>
            <w:tcW w:w="1596" w:type="dxa"/>
            <w:vAlign w:val="center"/>
          </w:tcPr>
          <w:p w14:paraId="36470A29" w14:textId="77777777" w:rsidR="00393E77" w:rsidRPr="0027789B" w:rsidRDefault="00393E77" w:rsidP="00267BB5">
            <w:pPr>
              <w:tabs>
                <w:tab w:val="left" w:pos="2430"/>
              </w:tabs>
              <w:rPr>
                <w:sz w:val="18"/>
                <w:szCs w:val="18"/>
              </w:rPr>
            </w:pPr>
          </w:p>
        </w:tc>
        <w:tc>
          <w:tcPr>
            <w:tcW w:w="1596" w:type="dxa"/>
            <w:vAlign w:val="center"/>
          </w:tcPr>
          <w:p w14:paraId="5E5D9126" w14:textId="77777777" w:rsidR="00393E77" w:rsidRPr="0027789B" w:rsidRDefault="00393E77" w:rsidP="00267BB5">
            <w:pPr>
              <w:tabs>
                <w:tab w:val="left" w:pos="2430"/>
              </w:tabs>
              <w:rPr>
                <w:sz w:val="18"/>
                <w:szCs w:val="18"/>
              </w:rPr>
            </w:pPr>
          </w:p>
        </w:tc>
        <w:tc>
          <w:tcPr>
            <w:tcW w:w="1596" w:type="dxa"/>
            <w:vAlign w:val="center"/>
          </w:tcPr>
          <w:p w14:paraId="469638DE" w14:textId="77777777" w:rsidR="00393E77" w:rsidRPr="0027789B" w:rsidRDefault="00393E77" w:rsidP="00267BB5">
            <w:pPr>
              <w:tabs>
                <w:tab w:val="left" w:pos="2430"/>
              </w:tabs>
              <w:rPr>
                <w:sz w:val="18"/>
                <w:szCs w:val="18"/>
              </w:rPr>
            </w:pPr>
          </w:p>
        </w:tc>
        <w:tc>
          <w:tcPr>
            <w:tcW w:w="1596" w:type="dxa"/>
            <w:vAlign w:val="center"/>
          </w:tcPr>
          <w:p w14:paraId="0C10833B" w14:textId="77777777" w:rsidR="00393E77" w:rsidRPr="0027789B" w:rsidRDefault="00393E77" w:rsidP="00267BB5">
            <w:pPr>
              <w:tabs>
                <w:tab w:val="left" w:pos="2430"/>
              </w:tabs>
              <w:rPr>
                <w:sz w:val="18"/>
                <w:szCs w:val="18"/>
              </w:rPr>
            </w:pPr>
          </w:p>
        </w:tc>
        <w:tc>
          <w:tcPr>
            <w:tcW w:w="1596" w:type="dxa"/>
            <w:vAlign w:val="center"/>
          </w:tcPr>
          <w:p w14:paraId="70871518" w14:textId="77777777" w:rsidR="00393E77" w:rsidRPr="0027789B" w:rsidRDefault="00393E77" w:rsidP="00267BB5">
            <w:pPr>
              <w:tabs>
                <w:tab w:val="left" w:pos="2430"/>
              </w:tabs>
              <w:rPr>
                <w:sz w:val="18"/>
                <w:szCs w:val="18"/>
              </w:rPr>
            </w:pPr>
          </w:p>
        </w:tc>
      </w:tr>
      <w:tr w:rsidR="00393E77" w:rsidRPr="0027789B" w14:paraId="6DABF0AF" w14:textId="77777777" w:rsidTr="00267BB5">
        <w:trPr>
          <w:trHeight w:val="432"/>
        </w:trPr>
        <w:tc>
          <w:tcPr>
            <w:tcW w:w="1596" w:type="dxa"/>
            <w:vAlign w:val="center"/>
          </w:tcPr>
          <w:p w14:paraId="24C57697" w14:textId="77777777" w:rsidR="00393E77" w:rsidRPr="0027789B" w:rsidRDefault="00393E77" w:rsidP="00267BB5">
            <w:pPr>
              <w:tabs>
                <w:tab w:val="left" w:pos="2430"/>
              </w:tabs>
              <w:rPr>
                <w:sz w:val="18"/>
                <w:szCs w:val="18"/>
              </w:rPr>
            </w:pPr>
            <w:r w:rsidRPr="0027789B">
              <w:rPr>
                <w:sz w:val="18"/>
                <w:szCs w:val="18"/>
              </w:rPr>
              <w:t>Contract Administration</w:t>
            </w:r>
          </w:p>
        </w:tc>
        <w:tc>
          <w:tcPr>
            <w:tcW w:w="1596" w:type="dxa"/>
            <w:vAlign w:val="center"/>
          </w:tcPr>
          <w:p w14:paraId="46633A59" w14:textId="77777777" w:rsidR="00393E77" w:rsidRPr="0027789B" w:rsidRDefault="00393E77" w:rsidP="00267BB5">
            <w:pPr>
              <w:tabs>
                <w:tab w:val="left" w:pos="2430"/>
              </w:tabs>
              <w:rPr>
                <w:sz w:val="18"/>
                <w:szCs w:val="18"/>
              </w:rPr>
            </w:pPr>
          </w:p>
        </w:tc>
        <w:tc>
          <w:tcPr>
            <w:tcW w:w="1596" w:type="dxa"/>
            <w:vAlign w:val="center"/>
          </w:tcPr>
          <w:p w14:paraId="67C24AB6" w14:textId="77777777" w:rsidR="00393E77" w:rsidRPr="0027789B" w:rsidRDefault="00393E77" w:rsidP="00267BB5">
            <w:pPr>
              <w:tabs>
                <w:tab w:val="left" w:pos="2430"/>
              </w:tabs>
              <w:rPr>
                <w:sz w:val="18"/>
                <w:szCs w:val="18"/>
              </w:rPr>
            </w:pPr>
          </w:p>
        </w:tc>
        <w:tc>
          <w:tcPr>
            <w:tcW w:w="1596" w:type="dxa"/>
            <w:vAlign w:val="center"/>
          </w:tcPr>
          <w:p w14:paraId="23B914EA" w14:textId="77777777" w:rsidR="00393E77" w:rsidRPr="0027789B" w:rsidRDefault="00393E77" w:rsidP="00267BB5">
            <w:pPr>
              <w:tabs>
                <w:tab w:val="left" w:pos="2430"/>
              </w:tabs>
              <w:rPr>
                <w:sz w:val="18"/>
                <w:szCs w:val="18"/>
              </w:rPr>
            </w:pPr>
          </w:p>
        </w:tc>
        <w:tc>
          <w:tcPr>
            <w:tcW w:w="1596" w:type="dxa"/>
            <w:vAlign w:val="center"/>
          </w:tcPr>
          <w:p w14:paraId="0E6424F6" w14:textId="77777777" w:rsidR="00393E77" w:rsidRPr="0027789B" w:rsidRDefault="00393E77" w:rsidP="00267BB5">
            <w:pPr>
              <w:tabs>
                <w:tab w:val="left" w:pos="2430"/>
              </w:tabs>
              <w:rPr>
                <w:sz w:val="18"/>
                <w:szCs w:val="18"/>
              </w:rPr>
            </w:pPr>
          </w:p>
        </w:tc>
        <w:tc>
          <w:tcPr>
            <w:tcW w:w="1596" w:type="dxa"/>
            <w:vAlign w:val="center"/>
          </w:tcPr>
          <w:p w14:paraId="32EA9D93" w14:textId="77777777" w:rsidR="00393E77" w:rsidRPr="0027789B" w:rsidRDefault="00393E77" w:rsidP="00267BB5">
            <w:pPr>
              <w:tabs>
                <w:tab w:val="left" w:pos="2430"/>
              </w:tabs>
              <w:rPr>
                <w:sz w:val="18"/>
                <w:szCs w:val="18"/>
              </w:rPr>
            </w:pPr>
          </w:p>
        </w:tc>
      </w:tr>
      <w:tr w:rsidR="00393E77" w:rsidRPr="0027789B" w14:paraId="31387540" w14:textId="77777777" w:rsidTr="00267BB5">
        <w:trPr>
          <w:trHeight w:val="432"/>
        </w:trPr>
        <w:tc>
          <w:tcPr>
            <w:tcW w:w="1596" w:type="dxa"/>
            <w:vAlign w:val="center"/>
          </w:tcPr>
          <w:p w14:paraId="783D5312" w14:textId="77777777" w:rsidR="00393E77" w:rsidRPr="0027789B" w:rsidRDefault="00393E77" w:rsidP="00267BB5">
            <w:pPr>
              <w:tabs>
                <w:tab w:val="left" w:pos="2430"/>
              </w:tabs>
              <w:rPr>
                <w:sz w:val="18"/>
                <w:szCs w:val="18"/>
              </w:rPr>
            </w:pPr>
            <w:r w:rsidRPr="0027789B">
              <w:rPr>
                <w:sz w:val="18"/>
                <w:szCs w:val="18"/>
              </w:rPr>
              <w:t>Settlements</w:t>
            </w:r>
          </w:p>
        </w:tc>
        <w:tc>
          <w:tcPr>
            <w:tcW w:w="1596" w:type="dxa"/>
            <w:vAlign w:val="center"/>
          </w:tcPr>
          <w:p w14:paraId="63A8D026" w14:textId="77777777" w:rsidR="00393E77" w:rsidRPr="0027789B" w:rsidRDefault="00393E77" w:rsidP="00267BB5">
            <w:pPr>
              <w:tabs>
                <w:tab w:val="left" w:pos="2430"/>
              </w:tabs>
              <w:rPr>
                <w:sz w:val="18"/>
                <w:szCs w:val="18"/>
              </w:rPr>
            </w:pPr>
          </w:p>
        </w:tc>
        <w:tc>
          <w:tcPr>
            <w:tcW w:w="1596" w:type="dxa"/>
            <w:vAlign w:val="center"/>
          </w:tcPr>
          <w:p w14:paraId="5E463053" w14:textId="77777777" w:rsidR="00393E77" w:rsidRPr="0027789B" w:rsidRDefault="00393E77" w:rsidP="00267BB5">
            <w:pPr>
              <w:tabs>
                <w:tab w:val="left" w:pos="2430"/>
              </w:tabs>
              <w:rPr>
                <w:sz w:val="18"/>
                <w:szCs w:val="18"/>
              </w:rPr>
            </w:pPr>
          </w:p>
        </w:tc>
        <w:tc>
          <w:tcPr>
            <w:tcW w:w="1596" w:type="dxa"/>
            <w:vAlign w:val="center"/>
          </w:tcPr>
          <w:p w14:paraId="45B8B6EB" w14:textId="77777777" w:rsidR="00393E77" w:rsidRPr="0027789B" w:rsidRDefault="00393E77" w:rsidP="00267BB5">
            <w:pPr>
              <w:tabs>
                <w:tab w:val="left" w:pos="2430"/>
              </w:tabs>
              <w:rPr>
                <w:sz w:val="18"/>
                <w:szCs w:val="18"/>
              </w:rPr>
            </w:pPr>
          </w:p>
        </w:tc>
        <w:tc>
          <w:tcPr>
            <w:tcW w:w="1596" w:type="dxa"/>
            <w:vAlign w:val="center"/>
          </w:tcPr>
          <w:p w14:paraId="5A4E3C3F" w14:textId="77777777" w:rsidR="00393E77" w:rsidRPr="0027789B" w:rsidRDefault="00393E77" w:rsidP="00267BB5">
            <w:pPr>
              <w:tabs>
                <w:tab w:val="left" w:pos="2430"/>
              </w:tabs>
              <w:rPr>
                <w:sz w:val="18"/>
                <w:szCs w:val="18"/>
              </w:rPr>
            </w:pPr>
          </w:p>
        </w:tc>
        <w:tc>
          <w:tcPr>
            <w:tcW w:w="1596" w:type="dxa"/>
            <w:vAlign w:val="center"/>
          </w:tcPr>
          <w:p w14:paraId="066A25CA" w14:textId="77777777" w:rsidR="00393E77" w:rsidRPr="0027789B" w:rsidRDefault="00393E77" w:rsidP="00267BB5">
            <w:pPr>
              <w:tabs>
                <w:tab w:val="left" w:pos="2430"/>
              </w:tabs>
              <w:rPr>
                <w:sz w:val="18"/>
                <w:szCs w:val="18"/>
              </w:rPr>
            </w:pPr>
          </w:p>
        </w:tc>
      </w:tr>
      <w:tr w:rsidR="00393E77" w:rsidRPr="0027789B" w14:paraId="078A6CC5" w14:textId="77777777" w:rsidTr="00267BB5">
        <w:trPr>
          <w:trHeight w:val="432"/>
        </w:trPr>
        <w:tc>
          <w:tcPr>
            <w:tcW w:w="1596" w:type="dxa"/>
            <w:vAlign w:val="center"/>
          </w:tcPr>
          <w:p w14:paraId="5DF6DAEF" w14:textId="77777777" w:rsidR="00393E77" w:rsidRPr="0027789B" w:rsidRDefault="00393E77" w:rsidP="00267BB5">
            <w:pPr>
              <w:tabs>
                <w:tab w:val="left" w:pos="2430"/>
              </w:tabs>
              <w:rPr>
                <w:sz w:val="18"/>
                <w:szCs w:val="18"/>
              </w:rPr>
            </w:pPr>
            <w:r w:rsidRPr="0027789B">
              <w:rPr>
                <w:sz w:val="18"/>
                <w:szCs w:val="18"/>
              </w:rPr>
              <w:t>Operations Manager</w:t>
            </w:r>
          </w:p>
        </w:tc>
        <w:tc>
          <w:tcPr>
            <w:tcW w:w="1596" w:type="dxa"/>
            <w:vAlign w:val="center"/>
          </w:tcPr>
          <w:p w14:paraId="6239F5FD" w14:textId="77777777" w:rsidR="00393E77" w:rsidRPr="0027789B" w:rsidRDefault="00393E77" w:rsidP="00267BB5">
            <w:pPr>
              <w:tabs>
                <w:tab w:val="left" w:pos="2430"/>
              </w:tabs>
              <w:rPr>
                <w:sz w:val="18"/>
                <w:szCs w:val="18"/>
              </w:rPr>
            </w:pPr>
          </w:p>
        </w:tc>
        <w:tc>
          <w:tcPr>
            <w:tcW w:w="1596" w:type="dxa"/>
            <w:vAlign w:val="center"/>
          </w:tcPr>
          <w:p w14:paraId="649ECBB7" w14:textId="77777777" w:rsidR="00393E77" w:rsidRPr="0027789B" w:rsidRDefault="00393E77" w:rsidP="00267BB5">
            <w:pPr>
              <w:tabs>
                <w:tab w:val="left" w:pos="2430"/>
              </w:tabs>
              <w:rPr>
                <w:sz w:val="18"/>
                <w:szCs w:val="18"/>
              </w:rPr>
            </w:pPr>
          </w:p>
        </w:tc>
        <w:tc>
          <w:tcPr>
            <w:tcW w:w="1596" w:type="dxa"/>
            <w:vAlign w:val="center"/>
          </w:tcPr>
          <w:p w14:paraId="3AFA1F65" w14:textId="77777777" w:rsidR="00393E77" w:rsidRPr="0027789B" w:rsidRDefault="00393E77" w:rsidP="00267BB5">
            <w:pPr>
              <w:tabs>
                <w:tab w:val="left" w:pos="2430"/>
              </w:tabs>
              <w:rPr>
                <w:sz w:val="18"/>
                <w:szCs w:val="18"/>
              </w:rPr>
            </w:pPr>
          </w:p>
        </w:tc>
        <w:tc>
          <w:tcPr>
            <w:tcW w:w="1596" w:type="dxa"/>
            <w:vAlign w:val="center"/>
          </w:tcPr>
          <w:p w14:paraId="28933F75" w14:textId="77777777" w:rsidR="00393E77" w:rsidRPr="0027789B" w:rsidRDefault="00393E77" w:rsidP="00267BB5">
            <w:pPr>
              <w:tabs>
                <w:tab w:val="left" w:pos="2430"/>
              </w:tabs>
              <w:rPr>
                <w:sz w:val="18"/>
                <w:szCs w:val="18"/>
              </w:rPr>
            </w:pPr>
          </w:p>
        </w:tc>
        <w:tc>
          <w:tcPr>
            <w:tcW w:w="1596" w:type="dxa"/>
            <w:vAlign w:val="center"/>
          </w:tcPr>
          <w:p w14:paraId="33F63635" w14:textId="77777777" w:rsidR="00393E77" w:rsidRPr="0027789B" w:rsidRDefault="00393E77" w:rsidP="00267BB5">
            <w:pPr>
              <w:tabs>
                <w:tab w:val="left" w:pos="2430"/>
              </w:tabs>
              <w:rPr>
                <w:sz w:val="18"/>
                <w:szCs w:val="18"/>
              </w:rPr>
            </w:pPr>
          </w:p>
        </w:tc>
      </w:tr>
      <w:tr w:rsidR="00393E77" w:rsidRPr="0027789B" w14:paraId="624C07B3" w14:textId="77777777" w:rsidTr="00267BB5">
        <w:trPr>
          <w:trHeight w:val="432"/>
        </w:trPr>
        <w:tc>
          <w:tcPr>
            <w:tcW w:w="1596" w:type="dxa"/>
            <w:vAlign w:val="center"/>
          </w:tcPr>
          <w:p w14:paraId="647B690D" w14:textId="77777777" w:rsidR="00393E77" w:rsidRPr="0027789B" w:rsidRDefault="00393E77" w:rsidP="00267BB5">
            <w:pPr>
              <w:tabs>
                <w:tab w:val="left" w:pos="2430"/>
              </w:tabs>
              <w:rPr>
                <w:sz w:val="18"/>
                <w:szCs w:val="18"/>
              </w:rPr>
            </w:pPr>
            <w:r w:rsidRPr="0027789B">
              <w:rPr>
                <w:sz w:val="18"/>
                <w:szCs w:val="18"/>
              </w:rPr>
              <w:t>Operations Supervisor</w:t>
            </w:r>
          </w:p>
        </w:tc>
        <w:tc>
          <w:tcPr>
            <w:tcW w:w="1596" w:type="dxa"/>
            <w:vAlign w:val="center"/>
          </w:tcPr>
          <w:p w14:paraId="6D7A0D5C" w14:textId="77777777" w:rsidR="00393E77" w:rsidRPr="0027789B" w:rsidRDefault="00393E77" w:rsidP="00267BB5">
            <w:pPr>
              <w:tabs>
                <w:tab w:val="left" w:pos="2430"/>
              </w:tabs>
              <w:rPr>
                <w:sz w:val="18"/>
                <w:szCs w:val="18"/>
              </w:rPr>
            </w:pPr>
          </w:p>
        </w:tc>
        <w:tc>
          <w:tcPr>
            <w:tcW w:w="1596" w:type="dxa"/>
            <w:vAlign w:val="center"/>
          </w:tcPr>
          <w:p w14:paraId="7E5F6300" w14:textId="77777777" w:rsidR="00393E77" w:rsidRPr="0027789B" w:rsidRDefault="00393E77" w:rsidP="00267BB5">
            <w:pPr>
              <w:tabs>
                <w:tab w:val="left" w:pos="2430"/>
              </w:tabs>
              <w:rPr>
                <w:sz w:val="18"/>
                <w:szCs w:val="18"/>
              </w:rPr>
            </w:pPr>
          </w:p>
        </w:tc>
        <w:tc>
          <w:tcPr>
            <w:tcW w:w="1596" w:type="dxa"/>
            <w:vAlign w:val="center"/>
          </w:tcPr>
          <w:p w14:paraId="2C65FC73" w14:textId="77777777" w:rsidR="00393E77" w:rsidRPr="0027789B" w:rsidRDefault="00393E77" w:rsidP="00267BB5">
            <w:pPr>
              <w:tabs>
                <w:tab w:val="left" w:pos="2430"/>
              </w:tabs>
              <w:rPr>
                <w:sz w:val="18"/>
                <w:szCs w:val="18"/>
              </w:rPr>
            </w:pPr>
          </w:p>
        </w:tc>
        <w:tc>
          <w:tcPr>
            <w:tcW w:w="1596" w:type="dxa"/>
            <w:vAlign w:val="center"/>
          </w:tcPr>
          <w:p w14:paraId="5F928E95" w14:textId="77777777" w:rsidR="00393E77" w:rsidRPr="0027789B" w:rsidRDefault="00393E77" w:rsidP="00267BB5">
            <w:pPr>
              <w:tabs>
                <w:tab w:val="left" w:pos="2430"/>
              </w:tabs>
              <w:rPr>
                <w:sz w:val="18"/>
                <w:szCs w:val="18"/>
              </w:rPr>
            </w:pPr>
          </w:p>
        </w:tc>
        <w:tc>
          <w:tcPr>
            <w:tcW w:w="1596" w:type="dxa"/>
            <w:vAlign w:val="center"/>
          </w:tcPr>
          <w:p w14:paraId="1474DCEC" w14:textId="77777777" w:rsidR="00393E77" w:rsidRPr="0027789B" w:rsidRDefault="00393E77" w:rsidP="00267BB5">
            <w:pPr>
              <w:tabs>
                <w:tab w:val="left" w:pos="2430"/>
              </w:tabs>
              <w:rPr>
                <w:sz w:val="18"/>
                <w:szCs w:val="18"/>
              </w:rPr>
            </w:pPr>
          </w:p>
        </w:tc>
      </w:tr>
    </w:tbl>
    <w:p w14:paraId="19D04030" w14:textId="77777777" w:rsidR="00393E77" w:rsidRPr="0027789B" w:rsidRDefault="00393E77" w:rsidP="00393E77">
      <w:pPr>
        <w:tabs>
          <w:tab w:val="left" w:pos="2430"/>
        </w:tabs>
      </w:pPr>
    </w:p>
    <w:p w14:paraId="653B22F7" w14:textId="77777777" w:rsidR="00393E77" w:rsidRPr="0027789B" w:rsidRDefault="00393E77" w:rsidP="00393E77">
      <w:pPr>
        <w:tabs>
          <w:tab w:val="left" w:pos="2430"/>
        </w:tabs>
      </w:pPr>
    </w:p>
    <w:p w14:paraId="28B93A0B" w14:textId="77777777" w:rsidR="00393E77" w:rsidRDefault="00393E77" w:rsidP="00393E77">
      <w:pPr>
        <w:tabs>
          <w:tab w:val="left" w:pos="2430"/>
        </w:tabs>
      </w:pPr>
    </w:p>
    <w:p w14:paraId="64F48971" w14:textId="77777777" w:rsidR="00393E77" w:rsidRDefault="00393E77" w:rsidP="00393E77">
      <w:pPr>
        <w:tabs>
          <w:tab w:val="left" w:pos="2430"/>
        </w:tabs>
      </w:pPr>
    </w:p>
    <w:p w14:paraId="14499EE7" w14:textId="77777777" w:rsidR="00393E77" w:rsidRDefault="00393E77" w:rsidP="00393E77">
      <w:pPr>
        <w:tabs>
          <w:tab w:val="left" w:pos="2430"/>
        </w:tabs>
      </w:pPr>
    </w:p>
    <w:p w14:paraId="6761B824" w14:textId="77777777" w:rsidR="00393E77" w:rsidRDefault="00393E77" w:rsidP="00393E77">
      <w:pPr>
        <w:tabs>
          <w:tab w:val="left" w:pos="2430"/>
        </w:tabs>
      </w:pPr>
    </w:p>
    <w:p w14:paraId="2AE22E12" w14:textId="77777777" w:rsidR="00393E77" w:rsidRDefault="00393E77" w:rsidP="00393E77">
      <w:pPr>
        <w:spacing w:before="100" w:after="100"/>
        <w:jc w:val="center"/>
        <w:rPr>
          <w:u w:val="single"/>
        </w:rPr>
      </w:pPr>
      <w:r>
        <w:rPr>
          <w:i/>
          <w:iCs/>
        </w:rPr>
        <w:t>*** End of EXHIBIT K ***</w:t>
      </w:r>
    </w:p>
    <w:p w14:paraId="420E3F15" w14:textId="77777777" w:rsidR="00393E77" w:rsidRDefault="00393E77" w:rsidP="00393E77"/>
    <w:p w14:paraId="3796DA9A" w14:textId="77777777" w:rsidR="00393E77" w:rsidRPr="0027789B" w:rsidRDefault="00393E77" w:rsidP="00393E77">
      <w:pPr>
        <w:tabs>
          <w:tab w:val="left" w:pos="2430"/>
        </w:tabs>
        <w:sectPr w:rsidR="00393E77" w:rsidRPr="0027789B">
          <w:footerReference w:type="default" r:id="rId42"/>
          <w:pgSz w:w="12240" w:h="15840"/>
          <w:pgMar w:top="1440" w:right="1440" w:bottom="1440" w:left="1440" w:header="720" w:footer="720" w:gutter="0"/>
          <w:pgNumType w:start="1"/>
          <w:cols w:space="720"/>
          <w:docGrid w:linePitch="360"/>
        </w:sectPr>
      </w:pPr>
    </w:p>
    <w:p w14:paraId="314D14D9" w14:textId="77777777" w:rsidR="00393E77" w:rsidRPr="005C1365" w:rsidRDefault="00393E77" w:rsidP="005C1365">
      <w:pPr>
        <w:spacing w:after="0"/>
        <w:jc w:val="center"/>
        <w:rPr>
          <w:b/>
        </w:rPr>
      </w:pPr>
    </w:p>
    <w:p w14:paraId="75258692" w14:textId="77777777" w:rsidR="00393E77" w:rsidRPr="005C1365" w:rsidRDefault="00393E77" w:rsidP="005C1365">
      <w:pPr>
        <w:spacing w:after="0"/>
        <w:jc w:val="center"/>
        <w:rPr>
          <w:b/>
        </w:rPr>
      </w:pPr>
      <w:r w:rsidRPr="005C1365">
        <w:rPr>
          <w:b/>
        </w:rPr>
        <w:t>EXHIBIT L</w:t>
      </w:r>
    </w:p>
    <w:p w14:paraId="3BA882A7" w14:textId="2ACC2F52" w:rsidR="00393E77" w:rsidRPr="005C1365" w:rsidRDefault="00884170" w:rsidP="005C1365">
      <w:pPr>
        <w:spacing w:after="0"/>
        <w:jc w:val="center"/>
        <w:rPr>
          <w:b/>
        </w:rPr>
      </w:pPr>
      <w:r>
        <w:rPr>
          <w:b/>
        </w:rPr>
        <w:t>SUPPLY PLAN INFORMATION</w:t>
      </w:r>
    </w:p>
    <w:p w14:paraId="4AA924FF" w14:textId="77777777" w:rsidR="00393E77" w:rsidRPr="005C1365" w:rsidRDefault="00393E77" w:rsidP="005C1365">
      <w:pPr>
        <w:spacing w:after="0"/>
        <w:jc w:val="center"/>
        <w:rPr>
          <w:b/>
        </w:rPr>
      </w:pPr>
    </w:p>
    <w:p w14:paraId="55FD2CCB" w14:textId="09075406" w:rsidR="00393E77" w:rsidRPr="00884170" w:rsidRDefault="000746AF" w:rsidP="005C1365">
      <w:pPr>
        <w:spacing w:after="0"/>
        <w:jc w:val="center"/>
      </w:pPr>
      <w:r w:rsidRPr="00884170">
        <w:t>Resource</w:t>
      </w:r>
      <w:r w:rsidR="00393E77" w:rsidRPr="00884170">
        <w:t xml:space="preserve"> ID: _____________________</w:t>
      </w:r>
    </w:p>
    <w:p w14:paraId="6CAC3FA2" w14:textId="77777777" w:rsidR="00393E77" w:rsidRPr="00884170" w:rsidRDefault="00393E77" w:rsidP="005C1365">
      <w:pPr>
        <w:spacing w:after="0"/>
        <w:jc w:val="center"/>
      </w:pPr>
      <w:r w:rsidRPr="00884170">
        <w:t>Benefitting load serving entity SC identification number: __________________</w:t>
      </w:r>
    </w:p>
    <w:p w14:paraId="7F43087D" w14:textId="77777777" w:rsidR="00393E77" w:rsidRDefault="00393E77" w:rsidP="00393E77">
      <w:pPr>
        <w:spacing w:before="100" w:after="100"/>
        <w:jc w:val="center"/>
      </w:pPr>
      <w:r>
        <w:rPr>
          <w:i/>
          <w:iCs/>
        </w:rPr>
        <w:t xml:space="preserve">*** End </w:t>
      </w:r>
      <w:r w:rsidRPr="00425178">
        <w:rPr>
          <w:i/>
          <w:iCs/>
        </w:rPr>
        <w:t xml:space="preserve">of </w:t>
      </w:r>
      <w:r>
        <w:rPr>
          <w:i/>
          <w:iCs/>
        </w:rPr>
        <w:t>EXHIBIT L</w:t>
      </w:r>
      <w:r w:rsidRPr="00425178">
        <w:rPr>
          <w:i/>
          <w:iCs/>
        </w:rPr>
        <w:t xml:space="preserve"> ***</w:t>
      </w:r>
    </w:p>
    <w:p w14:paraId="49A98E42" w14:textId="77777777" w:rsidR="00393E77" w:rsidRDefault="00393E77" w:rsidP="00393E77">
      <w:pPr>
        <w:spacing w:before="100" w:after="100"/>
        <w:jc w:val="center"/>
      </w:pPr>
    </w:p>
    <w:p w14:paraId="1E07BFF1" w14:textId="77777777" w:rsidR="00393E77" w:rsidRDefault="00393E77" w:rsidP="006B1090">
      <w:pPr>
        <w:spacing w:after="0"/>
        <w:jc w:val="center"/>
        <w:rPr>
          <w:b/>
        </w:rPr>
        <w:sectPr w:rsidR="00393E77" w:rsidSect="00233D41">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1"/>
          <w:cols w:space="720"/>
          <w:docGrid w:linePitch="360"/>
        </w:sectPr>
      </w:pPr>
    </w:p>
    <w:p w14:paraId="0BC8E3AA" w14:textId="039361E9" w:rsidR="00393E77" w:rsidRPr="00CF77B9" w:rsidRDefault="00393E77" w:rsidP="00393E77">
      <w:pPr>
        <w:spacing w:after="0"/>
        <w:jc w:val="center"/>
        <w:rPr>
          <w:b/>
        </w:rPr>
      </w:pPr>
      <w:r w:rsidRPr="00CF77B9">
        <w:rPr>
          <w:b/>
        </w:rPr>
        <w:lastRenderedPageBreak/>
        <w:t xml:space="preserve">EXHIBIT </w:t>
      </w:r>
      <w:r>
        <w:rPr>
          <w:b/>
        </w:rPr>
        <w:t>M</w:t>
      </w:r>
    </w:p>
    <w:p w14:paraId="34D298EC" w14:textId="7B05FBCF" w:rsidR="00393E77" w:rsidRPr="00CF77B9" w:rsidRDefault="00393E77" w:rsidP="00393E77">
      <w:pPr>
        <w:spacing w:after="0"/>
        <w:jc w:val="center"/>
        <w:rPr>
          <w:b/>
        </w:rPr>
      </w:pPr>
      <w:r w:rsidRPr="00CF77B9">
        <w:rPr>
          <w:b/>
        </w:rPr>
        <w:t xml:space="preserve">OUTAGE </w:t>
      </w:r>
      <w:r w:rsidR="00A17835">
        <w:rPr>
          <w:b/>
        </w:rPr>
        <w:t xml:space="preserve">SCHEDULE </w:t>
      </w:r>
      <w:r w:rsidRPr="00CF77B9">
        <w:rPr>
          <w:b/>
        </w:rPr>
        <w:t>REPORT</w:t>
      </w:r>
    </w:p>
    <w:p w14:paraId="0E415700" w14:textId="77777777" w:rsidR="00393E77" w:rsidRPr="00CF77B9" w:rsidRDefault="00393E77" w:rsidP="00393E77">
      <w:pPr>
        <w:spacing w:after="0"/>
        <w:jc w:val="center"/>
        <w:rPr>
          <w:bCs/>
        </w:rPr>
      </w:pPr>
    </w:p>
    <w:p w14:paraId="7BB3567D" w14:textId="77777777" w:rsidR="00393E77" w:rsidRPr="00CF77B9" w:rsidRDefault="00393E77" w:rsidP="00393E77">
      <w:pPr>
        <w:spacing w:after="0"/>
        <w:jc w:val="center"/>
        <w:rPr>
          <w:bCs/>
        </w:rPr>
      </w:pPr>
    </w:p>
    <w:p w14:paraId="2A0A0228" w14:textId="2F9A3873" w:rsidR="00393E77" w:rsidRPr="00CF77B9" w:rsidRDefault="00393E77" w:rsidP="00393E77">
      <w:pPr>
        <w:spacing w:after="120"/>
        <w:rPr>
          <w:bCs/>
        </w:rPr>
      </w:pPr>
      <w:r w:rsidRPr="00CF77B9">
        <w:rPr>
          <w:bCs/>
        </w:rPr>
        <w:t xml:space="preserve">Actual Outage </w:t>
      </w:r>
      <w:r w:rsidR="00A17835">
        <w:rPr>
          <w:bCs/>
        </w:rPr>
        <w:t xml:space="preserve">Schedule </w:t>
      </w:r>
      <w:r w:rsidRPr="00CF77B9">
        <w:rPr>
          <w:bCs/>
        </w:rPr>
        <w:t>Reports submitted under this Agreement should be provided in Excel.</w:t>
      </w:r>
    </w:p>
    <w:p w14:paraId="5D017F0A" w14:textId="77777777" w:rsidR="00393E77" w:rsidRPr="00CF77B9" w:rsidRDefault="00393E77" w:rsidP="00393E77">
      <w:pPr>
        <w:spacing w:after="120"/>
        <w:rPr>
          <w:bCs/>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83"/>
        <w:gridCol w:w="2080"/>
        <w:gridCol w:w="1283"/>
        <w:gridCol w:w="1910"/>
      </w:tblGrid>
      <w:tr w:rsidR="00393E77" w:rsidRPr="00CF77B9" w14:paraId="26F37B25" w14:textId="77777777" w:rsidTr="00267BB5">
        <w:trPr>
          <w:trHeight w:val="315"/>
          <w:jc w:val="center"/>
        </w:trPr>
        <w:tc>
          <w:tcPr>
            <w:tcW w:w="3363" w:type="dxa"/>
            <w:gridSpan w:val="2"/>
            <w:tcBorders>
              <w:bottom w:val="single" w:sz="4" w:space="0" w:color="auto"/>
            </w:tcBorders>
            <w:noWrap/>
          </w:tcPr>
          <w:p w14:paraId="1D73798D" w14:textId="77777777" w:rsidR="00393E77" w:rsidRPr="00CF77B9" w:rsidRDefault="00393E77" w:rsidP="00267BB5">
            <w:pPr>
              <w:spacing w:after="120"/>
              <w:jc w:val="center"/>
              <w:rPr>
                <w:b/>
              </w:rPr>
            </w:pPr>
            <w:r w:rsidRPr="00CF77B9">
              <w:rPr>
                <w:b/>
              </w:rPr>
              <w:t>DATE OF UPDATE</w:t>
            </w:r>
          </w:p>
        </w:tc>
        <w:tc>
          <w:tcPr>
            <w:tcW w:w="5273" w:type="dxa"/>
            <w:gridSpan w:val="3"/>
            <w:tcBorders>
              <w:bottom w:val="single" w:sz="4" w:space="0" w:color="auto"/>
            </w:tcBorders>
            <w:noWrap/>
          </w:tcPr>
          <w:p w14:paraId="720AE4AB" w14:textId="77777777" w:rsidR="00393E77" w:rsidRPr="00CF77B9" w:rsidRDefault="00393E77" w:rsidP="00267BB5">
            <w:pPr>
              <w:spacing w:after="120"/>
            </w:pPr>
            <w:r w:rsidRPr="00CF77B9">
              <w:rPr>
                <w:b/>
                <w:bCs/>
              </w:rPr>
              <w:t> </w:t>
            </w:r>
          </w:p>
        </w:tc>
      </w:tr>
      <w:tr w:rsidR="00393E77" w:rsidRPr="00CF77B9" w14:paraId="18E5AF75" w14:textId="77777777" w:rsidTr="00267BB5">
        <w:trPr>
          <w:trHeight w:val="315"/>
          <w:jc w:val="center"/>
        </w:trPr>
        <w:tc>
          <w:tcPr>
            <w:tcW w:w="3363" w:type="dxa"/>
            <w:gridSpan w:val="2"/>
            <w:tcBorders>
              <w:bottom w:val="single" w:sz="4" w:space="0" w:color="auto"/>
            </w:tcBorders>
          </w:tcPr>
          <w:p w14:paraId="65C7FA34" w14:textId="77777777" w:rsidR="00393E77" w:rsidRPr="00CF77B9" w:rsidRDefault="00393E77" w:rsidP="00267BB5">
            <w:pPr>
              <w:spacing w:after="120"/>
              <w:jc w:val="center"/>
              <w:rPr>
                <w:b/>
                <w:bCs/>
              </w:rPr>
            </w:pPr>
            <w:r w:rsidRPr="00CF77B9">
              <w:rPr>
                <w:b/>
                <w:bCs/>
              </w:rPr>
              <w:t>RESOURCE NAME</w:t>
            </w:r>
          </w:p>
        </w:tc>
        <w:tc>
          <w:tcPr>
            <w:tcW w:w="5273" w:type="dxa"/>
            <w:gridSpan w:val="3"/>
            <w:tcBorders>
              <w:bottom w:val="single" w:sz="4" w:space="0" w:color="auto"/>
            </w:tcBorders>
            <w:noWrap/>
          </w:tcPr>
          <w:p w14:paraId="43D68CD5" w14:textId="77777777" w:rsidR="00393E77" w:rsidRPr="00CF77B9" w:rsidRDefault="00393E77" w:rsidP="00267BB5">
            <w:pPr>
              <w:spacing w:after="120"/>
            </w:pPr>
            <w:r w:rsidRPr="00CF77B9">
              <w:rPr>
                <w:b/>
                <w:bCs/>
              </w:rPr>
              <w:t> </w:t>
            </w:r>
          </w:p>
        </w:tc>
      </w:tr>
      <w:tr w:rsidR="00393E77" w:rsidRPr="00CF77B9" w14:paraId="460A4D87" w14:textId="77777777" w:rsidTr="00267BB5">
        <w:trPr>
          <w:trHeight w:val="300"/>
          <w:jc w:val="center"/>
        </w:trPr>
        <w:tc>
          <w:tcPr>
            <w:tcW w:w="5443" w:type="dxa"/>
            <w:gridSpan w:val="3"/>
            <w:tcBorders>
              <w:top w:val="single" w:sz="4" w:space="0" w:color="auto"/>
              <w:left w:val="nil"/>
              <w:bottom w:val="nil"/>
              <w:right w:val="nil"/>
            </w:tcBorders>
            <w:noWrap/>
          </w:tcPr>
          <w:p w14:paraId="3E88DA72" w14:textId="77777777" w:rsidR="00393E77" w:rsidRPr="00CF77B9" w:rsidRDefault="00393E77" w:rsidP="00267BB5">
            <w:r w:rsidRPr="00CF77B9">
              <w:t>Replicate for each Storage Unit</w:t>
            </w:r>
          </w:p>
        </w:tc>
        <w:tc>
          <w:tcPr>
            <w:tcW w:w="1283" w:type="dxa"/>
            <w:tcBorders>
              <w:top w:val="single" w:sz="4" w:space="0" w:color="auto"/>
              <w:left w:val="nil"/>
              <w:bottom w:val="nil"/>
              <w:right w:val="nil"/>
            </w:tcBorders>
            <w:noWrap/>
          </w:tcPr>
          <w:p w14:paraId="23311112" w14:textId="77777777" w:rsidR="00393E77" w:rsidRPr="00CF77B9" w:rsidRDefault="00393E77" w:rsidP="00267BB5"/>
        </w:tc>
        <w:tc>
          <w:tcPr>
            <w:tcW w:w="1910" w:type="dxa"/>
            <w:tcBorders>
              <w:top w:val="single" w:sz="4" w:space="0" w:color="auto"/>
              <w:left w:val="nil"/>
              <w:bottom w:val="nil"/>
              <w:right w:val="nil"/>
            </w:tcBorders>
            <w:noWrap/>
          </w:tcPr>
          <w:p w14:paraId="2C68A839" w14:textId="77777777" w:rsidR="00393E77" w:rsidRPr="00CF77B9" w:rsidRDefault="00393E77" w:rsidP="00267BB5"/>
        </w:tc>
      </w:tr>
      <w:tr w:rsidR="00393E77" w:rsidRPr="00CF77B9" w14:paraId="6436A1F8" w14:textId="77777777" w:rsidTr="00267BB5">
        <w:trPr>
          <w:trHeight w:val="255"/>
          <w:jc w:val="center"/>
        </w:trPr>
        <w:tc>
          <w:tcPr>
            <w:tcW w:w="2080" w:type="dxa"/>
            <w:tcBorders>
              <w:top w:val="nil"/>
              <w:left w:val="nil"/>
              <w:bottom w:val="nil"/>
              <w:right w:val="nil"/>
            </w:tcBorders>
            <w:noWrap/>
          </w:tcPr>
          <w:p w14:paraId="144CFE13" w14:textId="77777777" w:rsidR="00393E77" w:rsidRPr="00CF77B9" w:rsidRDefault="00393E77" w:rsidP="00267BB5"/>
        </w:tc>
        <w:tc>
          <w:tcPr>
            <w:tcW w:w="1283" w:type="dxa"/>
            <w:tcBorders>
              <w:top w:val="nil"/>
              <w:left w:val="nil"/>
              <w:bottom w:val="nil"/>
              <w:right w:val="nil"/>
            </w:tcBorders>
            <w:noWrap/>
          </w:tcPr>
          <w:p w14:paraId="68BBE40F" w14:textId="77777777" w:rsidR="00393E77" w:rsidRPr="00CF77B9" w:rsidRDefault="00393E77" w:rsidP="00267BB5"/>
        </w:tc>
        <w:tc>
          <w:tcPr>
            <w:tcW w:w="2080" w:type="dxa"/>
            <w:tcBorders>
              <w:top w:val="nil"/>
              <w:left w:val="nil"/>
              <w:bottom w:val="nil"/>
              <w:right w:val="nil"/>
            </w:tcBorders>
            <w:noWrap/>
          </w:tcPr>
          <w:p w14:paraId="0B290665" w14:textId="77777777" w:rsidR="00393E77" w:rsidRPr="00CF77B9" w:rsidRDefault="00393E77" w:rsidP="00267BB5"/>
        </w:tc>
        <w:tc>
          <w:tcPr>
            <w:tcW w:w="1283" w:type="dxa"/>
            <w:tcBorders>
              <w:top w:val="nil"/>
              <w:left w:val="nil"/>
              <w:bottom w:val="nil"/>
              <w:right w:val="nil"/>
            </w:tcBorders>
            <w:noWrap/>
          </w:tcPr>
          <w:p w14:paraId="3FE6F63B" w14:textId="77777777" w:rsidR="00393E77" w:rsidRPr="00CF77B9" w:rsidRDefault="00393E77" w:rsidP="00267BB5"/>
        </w:tc>
        <w:tc>
          <w:tcPr>
            <w:tcW w:w="1910" w:type="dxa"/>
            <w:tcBorders>
              <w:top w:val="nil"/>
              <w:left w:val="nil"/>
              <w:bottom w:val="nil"/>
              <w:right w:val="nil"/>
            </w:tcBorders>
            <w:noWrap/>
          </w:tcPr>
          <w:p w14:paraId="1A810F5A" w14:textId="77777777" w:rsidR="00393E77" w:rsidRPr="00CF77B9" w:rsidRDefault="00393E77" w:rsidP="00267BB5"/>
        </w:tc>
      </w:tr>
      <w:tr w:rsidR="00393E77" w:rsidRPr="00CF77B9" w14:paraId="7E4CB511" w14:textId="77777777" w:rsidTr="00267BB5">
        <w:trPr>
          <w:trHeight w:val="315"/>
          <w:jc w:val="center"/>
        </w:trPr>
        <w:tc>
          <w:tcPr>
            <w:tcW w:w="2080" w:type="dxa"/>
            <w:tcBorders>
              <w:top w:val="nil"/>
              <w:left w:val="nil"/>
              <w:bottom w:val="single" w:sz="4" w:space="0" w:color="auto"/>
              <w:right w:val="nil"/>
            </w:tcBorders>
            <w:noWrap/>
          </w:tcPr>
          <w:p w14:paraId="1EF0A2BA" w14:textId="6D4DF2B5" w:rsidR="00393E77" w:rsidRPr="00CF77B9" w:rsidRDefault="00A17835" w:rsidP="00267BB5">
            <w:pPr>
              <w:rPr>
                <w:b/>
                <w:bCs/>
              </w:rPr>
            </w:pPr>
            <w:r>
              <w:rPr>
                <w:b/>
                <w:bCs/>
              </w:rPr>
              <w:t>Scheduled</w:t>
            </w:r>
            <w:r w:rsidRPr="00CF77B9">
              <w:rPr>
                <w:b/>
                <w:bCs/>
              </w:rPr>
              <w:t xml:space="preserve"> </w:t>
            </w:r>
            <w:r w:rsidR="00393E77" w:rsidRPr="00CF77B9">
              <w:rPr>
                <w:b/>
                <w:bCs/>
              </w:rPr>
              <w:t>Outages</w:t>
            </w:r>
          </w:p>
        </w:tc>
        <w:tc>
          <w:tcPr>
            <w:tcW w:w="1283" w:type="dxa"/>
            <w:tcBorders>
              <w:top w:val="nil"/>
              <w:left w:val="nil"/>
              <w:bottom w:val="single" w:sz="4" w:space="0" w:color="auto"/>
              <w:right w:val="nil"/>
            </w:tcBorders>
            <w:noWrap/>
          </w:tcPr>
          <w:p w14:paraId="109F882C" w14:textId="77777777" w:rsidR="00393E77" w:rsidRPr="00CF77B9" w:rsidRDefault="00393E77" w:rsidP="00267BB5"/>
        </w:tc>
        <w:tc>
          <w:tcPr>
            <w:tcW w:w="2080" w:type="dxa"/>
            <w:tcBorders>
              <w:top w:val="nil"/>
              <w:left w:val="nil"/>
              <w:bottom w:val="single" w:sz="4" w:space="0" w:color="auto"/>
              <w:right w:val="nil"/>
            </w:tcBorders>
            <w:noWrap/>
          </w:tcPr>
          <w:p w14:paraId="5337C837" w14:textId="77777777" w:rsidR="00393E77" w:rsidRPr="00CF77B9" w:rsidRDefault="00393E77" w:rsidP="00267BB5"/>
        </w:tc>
        <w:tc>
          <w:tcPr>
            <w:tcW w:w="1283" w:type="dxa"/>
            <w:tcBorders>
              <w:top w:val="nil"/>
              <w:left w:val="nil"/>
              <w:bottom w:val="single" w:sz="4" w:space="0" w:color="auto"/>
              <w:right w:val="nil"/>
            </w:tcBorders>
            <w:noWrap/>
          </w:tcPr>
          <w:p w14:paraId="1E08C3B8" w14:textId="77777777" w:rsidR="00393E77" w:rsidRPr="00CF77B9" w:rsidRDefault="00393E77" w:rsidP="00267BB5"/>
        </w:tc>
        <w:tc>
          <w:tcPr>
            <w:tcW w:w="1910" w:type="dxa"/>
            <w:tcBorders>
              <w:top w:val="nil"/>
              <w:left w:val="nil"/>
              <w:bottom w:val="single" w:sz="4" w:space="0" w:color="auto"/>
              <w:right w:val="nil"/>
            </w:tcBorders>
            <w:noWrap/>
          </w:tcPr>
          <w:p w14:paraId="5149263C" w14:textId="77777777" w:rsidR="00393E77" w:rsidRPr="00CF77B9" w:rsidRDefault="00393E77" w:rsidP="00267BB5"/>
        </w:tc>
      </w:tr>
      <w:tr w:rsidR="00393E77" w:rsidRPr="00CF77B9" w14:paraId="444824DA" w14:textId="77777777" w:rsidTr="00267BB5">
        <w:trPr>
          <w:trHeight w:val="255"/>
          <w:jc w:val="center"/>
        </w:trPr>
        <w:tc>
          <w:tcPr>
            <w:tcW w:w="2080" w:type="dxa"/>
            <w:tcBorders>
              <w:top w:val="single" w:sz="4" w:space="0" w:color="auto"/>
            </w:tcBorders>
          </w:tcPr>
          <w:p w14:paraId="5FCB553E" w14:textId="77777777" w:rsidR="00393E77" w:rsidRPr="00CF77B9" w:rsidRDefault="00393E77" w:rsidP="00267BB5">
            <w:pPr>
              <w:spacing w:after="120"/>
              <w:jc w:val="both"/>
              <w:rPr>
                <w:b/>
                <w:bCs/>
              </w:rPr>
            </w:pPr>
            <w:r w:rsidRPr="00CF77B9">
              <w:rPr>
                <w:b/>
                <w:bCs/>
              </w:rPr>
              <w:t>Start Date</w:t>
            </w:r>
          </w:p>
        </w:tc>
        <w:tc>
          <w:tcPr>
            <w:tcW w:w="1283" w:type="dxa"/>
            <w:tcBorders>
              <w:top w:val="single" w:sz="4" w:space="0" w:color="auto"/>
            </w:tcBorders>
            <w:noWrap/>
          </w:tcPr>
          <w:p w14:paraId="16922655" w14:textId="77777777" w:rsidR="00393E77" w:rsidRPr="00CF77B9" w:rsidRDefault="00393E77" w:rsidP="00267BB5">
            <w:pPr>
              <w:spacing w:after="120"/>
              <w:jc w:val="both"/>
              <w:rPr>
                <w:b/>
                <w:bCs/>
              </w:rPr>
            </w:pPr>
            <w:r w:rsidRPr="00CF77B9">
              <w:rPr>
                <w:b/>
                <w:bCs/>
              </w:rPr>
              <w:t>HE</w:t>
            </w:r>
          </w:p>
        </w:tc>
        <w:tc>
          <w:tcPr>
            <w:tcW w:w="2080" w:type="dxa"/>
            <w:tcBorders>
              <w:top w:val="single" w:sz="4" w:space="0" w:color="auto"/>
            </w:tcBorders>
            <w:noWrap/>
          </w:tcPr>
          <w:p w14:paraId="7FD5598D" w14:textId="77777777" w:rsidR="00393E77" w:rsidRPr="00CF77B9" w:rsidRDefault="00393E77" w:rsidP="00267BB5">
            <w:pPr>
              <w:spacing w:after="120"/>
              <w:jc w:val="both"/>
              <w:rPr>
                <w:b/>
                <w:bCs/>
              </w:rPr>
            </w:pPr>
            <w:r w:rsidRPr="00CF77B9">
              <w:rPr>
                <w:b/>
                <w:bCs/>
              </w:rPr>
              <w:t>End Date</w:t>
            </w:r>
          </w:p>
        </w:tc>
        <w:tc>
          <w:tcPr>
            <w:tcW w:w="1283" w:type="dxa"/>
            <w:tcBorders>
              <w:top w:val="single" w:sz="4" w:space="0" w:color="auto"/>
            </w:tcBorders>
            <w:noWrap/>
          </w:tcPr>
          <w:p w14:paraId="36D96BC9" w14:textId="77777777" w:rsidR="00393E77" w:rsidRPr="00CF77B9" w:rsidRDefault="00393E77" w:rsidP="00267BB5">
            <w:pPr>
              <w:spacing w:after="120"/>
              <w:jc w:val="both"/>
              <w:rPr>
                <w:b/>
                <w:bCs/>
              </w:rPr>
            </w:pPr>
            <w:r w:rsidRPr="00CF77B9">
              <w:rPr>
                <w:b/>
                <w:bCs/>
              </w:rPr>
              <w:t>HE</w:t>
            </w:r>
          </w:p>
        </w:tc>
        <w:tc>
          <w:tcPr>
            <w:tcW w:w="1910" w:type="dxa"/>
            <w:tcBorders>
              <w:top w:val="single" w:sz="4" w:space="0" w:color="auto"/>
            </w:tcBorders>
            <w:noWrap/>
          </w:tcPr>
          <w:p w14:paraId="4E08D7B5" w14:textId="77777777" w:rsidR="00393E77" w:rsidRPr="00CF77B9" w:rsidRDefault="00393E77" w:rsidP="00267BB5">
            <w:pPr>
              <w:spacing w:after="120"/>
              <w:jc w:val="both"/>
              <w:rPr>
                <w:b/>
                <w:bCs/>
              </w:rPr>
            </w:pPr>
            <w:r w:rsidRPr="00CF77B9">
              <w:rPr>
                <w:b/>
                <w:bCs/>
              </w:rPr>
              <w:t>MW Available</w:t>
            </w:r>
          </w:p>
        </w:tc>
      </w:tr>
      <w:tr w:rsidR="00393E77" w:rsidRPr="00CF77B9" w14:paraId="7D6DD67E" w14:textId="77777777" w:rsidTr="00267BB5">
        <w:trPr>
          <w:trHeight w:val="255"/>
          <w:jc w:val="center"/>
        </w:trPr>
        <w:tc>
          <w:tcPr>
            <w:tcW w:w="2080" w:type="dxa"/>
          </w:tcPr>
          <w:p w14:paraId="1EBAA0D4" w14:textId="77777777" w:rsidR="00393E77" w:rsidRPr="00CF77B9" w:rsidRDefault="00393E77" w:rsidP="00267BB5">
            <w:pPr>
              <w:spacing w:after="120"/>
            </w:pPr>
            <w:r w:rsidRPr="00CF77B9">
              <w:t> </w:t>
            </w:r>
          </w:p>
        </w:tc>
        <w:tc>
          <w:tcPr>
            <w:tcW w:w="1283" w:type="dxa"/>
            <w:noWrap/>
          </w:tcPr>
          <w:p w14:paraId="78B8B27D" w14:textId="77777777" w:rsidR="00393E77" w:rsidRPr="00CF77B9" w:rsidRDefault="00393E77" w:rsidP="00267BB5">
            <w:pPr>
              <w:spacing w:after="120"/>
            </w:pPr>
            <w:r w:rsidRPr="00CF77B9">
              <w:t> </w:t>
            </w:r>
          </w:p>
        </w:tc>
        <w:tc>
          <w:tcPr>
            <w:tcW w:w="2080" w:type="dxa"/>
          </w:tcPr>
          <w:p w14:paraId="60A45E91" w14:textId="77777777" w:rsidR="00393E77" w:rsidRPr="00CF77B9" w:rsidRDefault="00393E77" w:rsidP="00267BB5">
            <w:pPr>
              <w:spacing w:after="120"/>
            </w:pPr>
            <w:r w:rsidRPr="00CF77B9">
              <w:t> </w:t>
            </w:r>
          </w:p>
        </w:tc>
        <w:tc>
          <w:tcPr>
            <w:tcW w:w="1283" w:type="dxa"/>
            <w:noWrap/>
          </w:tcPr>
          <w:p w14:paraId="1CCCD5F1" w14:textId="77777777" w:rsidR="00393E77" w:rsidRPr="00CF77B9" w:rsidRDefault="00393E77" w:rsidP="00267BB5">
            <w:pPr>
              <w:spacing w:after="120"/>
            </w:pPr>
            <w:r w:rsidRPr="00CF77B9">
              <w:t> </w:t>
            </w:r>
          </w:p>
        </w:tc>
        <w:tc>
          <w:tcPr>
            <w:tcW w:w="1910" w:type="dxa"/>
            <w:noWrap/>
          </w:tcPr>
          <w:p w14:paraId="79383C4A" w14:textId="77777777" w:rsidR="00393E77" w:rsidRPr="00CF77B9" w:rsidRDefault="00393E77" w:rsidP="00267BB5">
            <w:pPr>
              <w:spacing w:after="120"/>
            </w:pPr>
            <w:r w:rsidRPr="00CF77B9">
              <w:t> </w:t>
            </w:r>
          </w:p>
        </w:tc>
      </w:tr>
      <w:tr w:rsidR="00393E77" w:rsidRPr="00CF77B9" w14:paraId="3179CFD1" w14:textId="77777777" w:rsidTr="00267BB5">
        <w:trPr>
          <w:trHeight w:val="255"/>
          <w:jc w:val="center"/>
        </w:trPr>
        <w:tc>
          <w:tcPr>
            <w:tcW w:w="2080" w:type="dxa"/>
          </w:tcPr>
          <w:p w14:paraId="79CAAA76" w14:textId="77777777" w:rsidR="00393E77" w:rsidRPr="00CF77B9" w:rsidRDefault="00393E77" w:rsidP="00267BB5">
            <w:pPr>
              <w:spacing w:after="120"/>
            </w:pPr>
            <w:r w:rsidRPr="00CF77B9">
              <w:t> </w:t>
            </w:r>
          </w:p>
        </w:tc>
        <w:tc>
          <w:tcPr>
            <w:tcW w:w="1283" w:type="dxa"/>
            <w:noWrap/>
          </w:tcPr>
          <w:p w14:paraId="6EFA7975" w14:textId="77777777" w:rsidR="00393E77" w:rsidRPr="00CF77B9" w:rsidRDefault="00393E77" w:rsidP="00267BB5">
            <w:pPr>
              <w:spacing w:after="120"/>
            </w:pPr>
            <w:r w:rsidRPr="00CF77B9">
              <w:t> </w:t>
            </w:r>
          </w:p>
        </w:tc>
        <w:tc>
          <w:tcPr>
            <w:tcW w:w="2080" w:type="dxa"/>
          </w:tcPr>
          <w:p w14:paraId="1A1282CE" w14:textId="77777777" w:rsidR="00393E77" w:rsidRPr="00CF77B9" w:rsidRDefault="00393E77" w:rsidP="00267BB5">
            <w:pPr>
              <w:spacing w:after="120"/>
            </w:pPr>
            <w:r w:rsidRPr="00CF77B9">
              <w:t> </w:t>
            </w:r>
          </w:p>
        </w:tc>
        <w:tc>
          <w:tcPr>
            <w:tcW w:w="1283" w:type="dxa"/>
            <w:noWrap/>
          </w:tcPr>
          <w:p w14:paraId="5330D1B5" w14:textId="77777777" w:rsidR="00393E77" w:rsidRPr="00CF77B9" w:rsidRDefault="00393E77" w:rsidP="00267BB5">
            <w:pPr>
              <w:spacing w:after="120"/>
            </w:pPr>
            <w:r w:rsidRPr="00CF77B9">
              <w:t> </w:t>
            </w:r>
          </w:p>
        </w:tc>
        <w:tc>
          <w:tcPr>
            <w:tcW w:w="1910" w:type="dxa"/>
            <w:noWrap/>
          </w:tcPr>
          <w:p w14:paraId="12E9E16D" w14:textId="77777777" w:rsidR="00393E77" w:rsidRPr="00CF77B9" w:rsidRDefault="00393E77" w:rsidP="00267BB5">
            <w:pPr>
              <w:spacing w:after="120"/>
            </w:pPr>
            <w:r w:rsidRPr="00CF77B9">
              <w:t> </w:t>
            </w:r>
          </w:p>
        </w:tc>
      </w:tr>
      <w:tr w:rsidR="00393E77" w:rsidRPr="00CF77B9" w14:paraId="7E0F642D" w14:textId="77777777" w:rsidTr="00267BB5">
        <w:trPr>
          <w:trHeight w:val="255"/>
          <w:jc w:val="center"/>
        </w:trPr>
        <w:tc>
          <w:tcPr>
            <w:tcW w:w="2080" w:type="dxa"/>
          </w:tcPr>
          <w:p w14:paraId="292647C3" w14:textId="77777777" w:rsidR="00393E77" w:rsidRPr="00CF77B9" w:rsidRDefault="00393E77" w:rsidP="00267BB5">
            <w:pPr>
              <w:spacing w:after="120"/>
            </w:pPr>
            <w:r w:rsidRPr="00CF77B9">
              <w:t> </w:t>
            </w:r>
          </w:p>
        </w:tc>
        <w:tc>
          <w:tcPr>
            <w:tcW w:w="1283" w:type="dxa"/>
            <w:noWrap/>
          </w:tcPr>
          <w:p w14:paraId="3C9BDE94" w14:textId="77777777" w:rsidR="00393E77" w:rsidRPr="00CF77B9" w:rsidRDefault="00393E77" w:rsidP="00267BB5">
            <w:pPr>
              <w:spacing w:after="120"/>
            </w:pPr>
            <w:r w:rsidRPr="00CF77B9">
              <w:t> </w:t>
            </w:r>
          </w:p>
        </w:tc>
        <w:tc>
          <w:tcPr>
            <w:tcW w:w="2080" w:type="dxa"/>
          </w:tcPr>
          <w:p w14:paraId="42B6AC55" w14:textId="77777777" w:rsidR="00393E77" w:rsidRPr="00CF77B9" w:rsidRDefault="00393E77" w:rsidP="00267BB5">
            <w:pPr>
              <w:spacing w:after="120"/>
            </w:pPr>
            <w:r w:rsidRPr="00CF77B9">
              <w:t> </w:t>
            </w:r>
          </w:p>
        </w:tc>
        <w:tc>
          <w:tcPr>
            <w:tcW w:w="1283" w:type="dxa"/>
            <w:noWrap/>
          </w:tcPr>
          <w:p w14:paraId="74FE072D" w14:textId="77777777" w:rsidR="00393E77" w:rsidRPr="00CF77B9" w:rsidRDefault="00393E77" w:rsidP="00267BB5">
            <w:pPr>
              <w:spacing w:after="120"/>
            </w:pPr>
            <w:r w:rsidRPr="00CF77B9">
              <w:t> </w:t>
            </w:r>
          </w:p>
        </w:tc>
        <w:tc>
          <w:tcPr>
            <w:tcW w:w="1910" w:type="dxa"/>
            <w:noWrap/>
          </w:tcPr>
          <w:p w14:paraId="5066426E" w14:textId="77777777" w:rsidR="00393E77" w:rsidRPr="00CF77B9" w:rsidRDefault="00393E77" w:rsidP="00267BB5">
            <w:pPr>
              <w:spacing w:after="120"/>
            </w:pPr>
            <w:r w:rsidRPr="00CF77B9">
              <w:t> </w:t>
            </w:r>
          </w:p>
        </w:tc>
      </w:tr>
      <w:tr w:rsidR="00393E77" w:rsidRPr="00CF77B9" w14:paraId="10F73C05" w14:textId="77777777" w:rsidTr="00267BB5">
        <w:trPr>
          <w:trHeight w:val="255"/>
          <w:jc w:val="center"/>
        </w:trPr>
        <w:tc>
          <w:tcPr>
            <w:tcW w:w="2080" w:type="dxa"/>
          </w:tcPr>
          <w:p w14:paraId="2F8319F8" w14:textId="77777777" w:rsidR="00393E77" w:rsidRPr="00CF77B9" w:rsidRDefault="00393E77" w:rsidP="00267BB5">
            <w:pPr>
              <w:spacing w:after="120"/>
            </w:pPr>
            <w:r w:rsidRPr="00CF77B9">
              <w:t> </w:t>
            </w:r>
          </w:p>
        </w:tc>
        <w:tc>
          <w:tcPr>
            <w:tcW w:w="1283" w:type="dxa"/>
            <w:noWrap/>
          </w:tcPr>
          <w:p w14:paraId="5388103D" w14:textId="77777777" w:rsidR="00393E77" w:rsidRPr="00CF77B9" w:rsidRDefault="00393E77" w:rsidP="00267BB5">
            <w:pPr>
              <w:spacing w:after="120"/>
            </w:pPr>
            <w:r w:rsidRPr="00CF77B9">
              <w:t> </w:t>
            </w:r>
          </w:p>
        </w:tc>
        <w:tc>
          <w:tcPr>
            <w:tcW w:w="2080" w:type="dxa"/>
          </w:tcPr>
          <w:p w14:paraId="25E3E980" w14:textId="77777777" w:rsidR="00393E77" w:rsidRPr="00CF77B9" w:rsidRDefault="00393E77" w:rsidP="00267BB5">
            <w:pPr>
              <w:spacing w:after="120"/>
            </w:pPr>
            <w:r w:rsidRPr="00CF77B9">
              <w:t> </w:t>
            </w:r>
          </w:p>
        </w:tc>
        <w:tc>
          <w:tcPr>
            <w:tcW w:w="1283" w:type="dxa"/>
            <w:noWrap/>
          </w:tcPr>
          <w:p w14:paraId="33819836" w14:textId="77777777" w:rsidR="00393E77" w:rsidRPr="00CF77B9" w:rsidRDefault="00393E77" w:rsidP="00267BB5">
            <w:pPr>
              <w:spacing w:after="120"/>
            </w:pPr>
            <w:r w:rsidRPr="00CF77B9">
              <w:t> </w:t>
            </w:r>
          </w:p>
        </w:tc>
        <w:tc>
          <w:tcPr>
            <w:tcW w:w="1910" w:type="dxa"/>
            <w:noWrap/>
          </w:tcPr>
          <w:p w14:paraId="0DB918C0" w14:textId="77777777" w:rsidR="00393E77" w:rsidRPr="00CF77B9" w:rsidRDefault="00393E77" w:rsidP="00267BB5">
            <w:pPr>
              <w:spacing w:after="120"/>
            </w:pPr>
            <w:r w:rsidRPr="00CF77B9">
              <w:t> </w:t>
            </w:r>
          </w:p>
        </w:tc>
      </w:tr>
      <w:tr w:rsidR="00393E77" w:rsidRPr="00CF77B9" w14:paraId="36105D5B" w14:textId="77777777" w:rsidTr="00267BB5">
        <w:trPr>
          <w:trHeight w:val="255"/>
          <w:jc w:val="center"/>
        </w:trPr>
        <w:tc>
          <w:tcPr>
            <w:tcW w:w="2080" w:type="dxa"/>
          </w:tcPr>
          <w:p w14:paraId="77C63D1E" w14:textId="77777777" w:rsidR="00393E77" w:rsidRPr="00CF77B9" w:rsidRDefault="00393E77" w:rsidP="00267BB5">
            <w:pPr>
              <w:spacing w:after="120"/>
            </w:pPr>
            <w:r w:rsidRPr="00CF77B9">
              <w:t> </w:t>
            </w:r>
          </w:p>
        </w:tc>
        <w:tc>
          <w:tcPr>
            <w:tcW w:w="1283" w:type="dxa"/>
            <w:noWrap/>
          </w:tcPr>
          <w:p w14:paraId="0B2395AC" w14:textId="77777777" w:rsidR="00393E77" w:rsidRPr="00CF77B9" w:rsidRDefault="00393E77" w:rsidP="00267BB5">
            <w:pPr>
              <w:spacing w:after="120"/>
            </w:pPr>
            <w:r w:rsidRPr="00CF77B9">
              <w:t> </w:t>
            </w:r>
          </w:p>
        </w:tc>
        <w:tc>
          <w:tcPr>
            <w:tcW w:w="2080" w:type="dxa"/>
          </w:tcPr>
          <w:p w14:paraId="6F319F01" w14:textId="77777777" w:rsidR="00393E77" w:rsidRPr="00CF77B9" w:rsidRDefault="00393E77" w:rsidP="00267BB5">
            <w:pPr>
              <w:spacing w:after="120"/>
            </w:pPr>
            <w:r w:rsidRPr="00CF77B9">
              <w:t> </w:t>
            </w:r>
          </w:p>
        </w:tc>
        <w:tc>
          <w:tcPr>
            <w:tcW w:w="1283" w:type="dxa"/>
            <w:noWrap/>
          </w:tcPr>
          <w:p w14:paraId="5DADDA0E" w14:textId="77777777" w:rsidR="00393E77" w:rsidRPr="00CF77B9" w:rsidRDefault="00393E77" w:rsidP="00267BB5">
            <w:pPr>
              <w:spacing w:after="120"/>
            </w:pPr>
            <w:r w:rsidRPr="00CF77B9">
              <w:t> </w:t>
            </w:r>
          </w:p>
        </w:tc>
        <w:tc>
          <w:tcPr>
            <w:tcW w:w="1910" w:type="dxa"/>
            <w:noWrap/>
          </w:tcPr>
          <w:p w14:paraId="71932C1E" w14:textId="77777777" w:rsidR="00393E77" w:rsidRPr="00CF77B9" w:rsidRDefault="00393E77" w:rsidP="00267BB5">
            <w:pPr>
              <w:spacing w:after="120"/>
            </w:pPr>
            <w:r w:rsidRPr="00CF77B9">
              <w:t> </w:t>
            </w:r>
          </w:p>
        </w:tc>
      </w:tr>
    </w:tbl>
    <w:p w14:paraId="2CDA399C" w14:textId="77777777" w:rsidR="00393E77" w:rsidRPr="00CF77B9" w:rsidRDefault="00393E77" w:rsidP="00393E77">
      <w:pPr>
        <w:spacing w:before="100" w:after="100"/>
        <w:jc w:val="center"/>
        <w:rPr>
          <w:i/>
          <w:iCs/>
        </w:rPr>
      </w:pPr>
    </w:p>
    <w:p w14:paraId="4AE0EF70" w14:textId="77777777" w:rsidR="00393E77" w:rsidRPr="00CF77B9" w:rsidRDefault="00393E77" w:rsidP="00393E77">
      <w:pPr>
        <w:spacing w:before="100" w:after="100"/>
        <w:jc w:val="center"/>
        <w:rPr>
          <w:i/>
          <w:iCs/>
        </w:rPr>
      </w:pPr>
    </w:p>
    <w:p w14:paraId="324E6664" w14:textId="77777777" w:rsidR="00393E77" w:rsidRPr="00CF77B9" w:rsidRDefault="00393E77" w:rsidP="00393E77">
      <w:pPr>
        <w:spacing w:before="100" w:after="100"/>
        <w:jc w:val="center"/>
        <w:rPr>
          <w:i/>
          <w:iCs/>
        </w:rPr>
      </w:pPr>
    </w:p>
    <w:p w14:paraId="04BAE7D8" w14:textId="5CA9933E" w:rsidR="00393E77" w:rsidRPr="00CF77B9" w:rsidRDefault="00393E77" w:rsidP="00393E77">
      <w:pPr>
        <w:spacing w:before="100" w:after="100"/>
        <w:jc w:val="center"/>
        <w:rPr>
          <w:u w:val="single"/>
        </w:rPr>
      </w:pPr>
      <w:r w:rsidRPr="00CF77B9">
        <w:rPr>
          <w:i/>
          <w:iCs/>
        </w:rPr>
        <w:t xml:space="preserve">*** End of EXHIBIT </w:t>
      </w:r>
      <w:r>
        <w:rPr>
          <w:i/>
          <w:iCs/>
        </w:rPr>
        <w:t>M</w:t>
      </w:r>
      <w:r w:rsidRPr="00CF77B9">
        <w:rPr>
          <w:i/>
          <w:iCs/>
        </w:rPr>
        <w:t xml:space="preserve"> ***</w:t>
      </w:r>
    </w:p>
    <w:p w14:paraId="115CF0F6" w14:textId="77777777" w:rsidR="00393E77" w:rsidRPr="00CF77B9" w:rsidRDefault="00393E77" w:rsidP="00393E77"/>
    <w:p w14:paraId="3594B647" w14:textId="77777777" w:rsidR="00393E77" w:rsidRPr="00CF77B9" w:rsidRDefault="00393E77" w:rsidP="00393E77">
      <w:pPr>
        <w:sectPr w:rsidR="00393E77" w:rsidRPr="00CF77B9">
          <w:footerReference w:type="default" r:id="rId48"/>
          <w:pgSz w:w="12240" w:h="15840"/>
          <w:pgMar w:top="1440" w:right="1440" w:bottom="1440" w:left="1440" w:header="720" w:footer="720" w:gutter="0"/>
          <w:pgNumType w:start="1"/>
          <w:cols w:space="720"/>
          <w:docGrid w:linePitch="360"/>
        </w:sectPr>
      </w:pPr>
    </w:p>
    <w:p w14:paraId="38E22297" w14:textId="77777777" w:rsidR="006B1090" w:rsidRPr="0027789B" w:rsidRDefault="006B1090" w:rsidP="006B1090">
      <w:pPr>
        <w:rPr>
          <w:color w:val="000000"/>
          <w:u w:val="single"/>
        </w:rPr>
      </w:pPr>
      <w:bookmarkStart w:id="671" w:name="_DV_M1753"/>
      <w:bookmarkStart w:id="672" w:name="_DV_M1754"/>
      <w:bookmarkStart w:id="673" w:name="_DV_M1755"/>
      <w:bookmarkStart w:id="674" w:name="_DV_M1756"/>
      <w:bookmarkStart w:id="675" w:name="_DV_M1757"/>
      <w:bookmarkStart w:id="676" w:name="_DV_M1758"/>
      <w:bookmarkStart w:id="677" w:name="_DV_M1759"/>
      <w:bookmarkStart w:id="678" w:name="_DV_M1760"/>
      <w:bookmarkStart w:id="679" w:name="_DV_M1761"/>
      <w:bookmarkStart w:id="680" w:name="_DV_M1762"/>
      <w:bookmarkStart w:id="681" w:name="_DV_M1763"/>
      <w:bookmarkStart w:id="682" w:name="_DV_M1764"/>
      <w:bookmarkStart w:id="683" w:name="_DV_M1765"/>
      <w:bookmarkStart w:id="684" w:name="_DV_M1766"/>
      <w:bookmarkStart w:id="685" w:name="_DV_M1767"/>
      <w:bookmarkStart w:id="686" w:name="_DV_M1768"/>
      <w:bookmarkStart w:id="687" w:name="_DV_M1769"/>
      <w:bookmarkStart w:id="688" w:name="_DV_M1770"/>
      <w:bookmarkStart w:id="689" w:name="_DV_M1771"/>
      <w:bookmarkStart w:id="690" w:name="_DV_M1772"/>
      <w:bookmarkStart w:id="691" w:name="_DV_M1773"/>
      <w:bookmarkStart w:id="692" w:name="_DV_M1774"/>
      <w:bookmarkStart w:id="693" w:name="_DV_M1775"/>
      <w:bookmarkStart w:id="694" w:name="_DV_M1776"/>
      <w:bookmarkStart w:id="695" w:name="_DV_M1777"/>
      <w:bookmarkStart w:id="696" w:name="_DV_M1778"/>
      <w:bookmarkStart w:id="697" w:name="_DV_M1779"/>
      <w:bookmarkStart w:id="698" w:name="_DV_M1780"/>
      <w:bookmarkStart w:id="699" w:name="_DV_M1781"/>
      <w:bookmarkStart w:id="700" w:name="_DV_M1782"/>
      <w:bookmarkStart w:id="701" w:name="_DV_M1783"/>
      <w:bookmarkStart w:id="702" w:name="_DV_M1784"/>
      <w:bookmarkStart w:id="703" w:name="_DV_M1785"/>
      <w:bookmarkStart w:id="704" w:name="_DV_M1786"/>
      <w:bookmarkStart w:id="705" w:name="_DV_M1787"/>
      <w:bookmarkStart w:id="706" w:name="_DV_M1788"/>
      <w:bookmarkStart w:id="707" w:name="_DV_M1789"/>
      <w:bookmarkStart w:id="708" w:name="_DV_M1790"/>
      <w:bookmarkStart w:id="709" w:name="_DV_M1791"/>
      <w:bookmarkStart w:id="710" w:name="_DV_M1792"/>
      <w:bookmarkStart w:id="711" w:name="_DV_M1793"/>
      <w:bookmarkStart w:id="712" w:name="_DV_M1794"/>
      <w:bookmarkStart w:id="713" w:name="_DV_M1795"/>
      <w:bookmarkStart w:id="714" w:name="_DV_M1796"/>
      <w:bookmarkStart w:id="715" w:name="_DV_M1797"/>
      <w:bookmarkStart w:id="716" w:name="_DV_M1798"/>
      <w:bookmarkStart w:id="717" w:name="_DV_M1799"/>
      <w:bookmarkStart w:id="718" w:name="_DV_M1800"/>
      <w:bookmarkStart w:id="719" w:name="_DV_M1801"/>
      <w:bookmarkStart w:id="720" w:name="_DV_M1802"/>
      <w:bookmarkStart w:id="721" w:name="_DV_M1803"/>
      <w:bookmarkStart w:id="722" w:name="_DV_M1804"/>
      <w:bookmarkStart w:id="723" w:name="_DV_M1805"/>
      <w:bookmarkStart w:id="724" w:name="_DV_M1806"/>
      <w:bookmarkStart w:id="725" w:name="_DV_M1807"/>
      <w:bookmarkStart w:id="726" w:name="_DV_M1808"/>
      <w:bookmarkStart w:id="727" w:name="_DV_M1809"/>
      <w:bookmarkEnd w:id="667"/>
      <w:bookmarkEnd w:id="668"/>
      <w:bookmarkEnd w:id="669"/>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1A77F6A4" w14:textId="77777777" w:rsidR="006B1090" w:rsidRPr="00CF77B9" w:rsidRDefault="006B1090" w:rsidP="006B1090">
      <w:pPr>
        <w:jc w:val="center"/>
        <w:rPr>
          <w:b/>
        </w:rPr>
      </w:pPr>
      <w:bookmarkStart w:id="728" w:name="_Toc364783657"/>
      <w:bookmarkStart w:id="729" w:name="_Toc366241210"/>
      <w:bookmarkStart w:id="730" w:name="_Toc366249645"/>
    </w:p>
    <w:p w14:paraId="06571FA5" w14:textId="1177C206" w:rsidR="00267BB5" w:rsidRPr="0027789B" w:rsidRDefault="00267BB5" w:rsidP="00267BB5">
      <w:pPr>
        <w:spacing w:after="0"/>
        <w:jc w:val="center"/>
        <w:rPr>
          <w:b/>
        </w:rPr>
      </w:pPr>
      <w:r w:rsidRPr="0027789B">
        <w:rPr>
          <w:b/>
        </w:rPr>
        <w:t xml:space="preserve">EXHIBIT </w:t>
      </w:r>
      <w:r>
        <w:rPr>
          <w:b/>
        </w:rPr>
        <w:t>N</w:t>
      </w:r>
    </w:p>
    <w:p w14:paraId="5765B849" w14:textId="77777777" w:rsidR="00267BB5" w:rsidRPr="0027789B" w:rsidRDefault="00267BB5" w:rsidP="00267BB5">
      <w:pPr>
        <w:spacing w:after="0"/>
        <w:jc w:val="center"/>
        <w:rPr>
          <w:b/>
        </w:rPr>
      </w:pPr>
      <w:r w:rsidRPr="0027789B">
        <w:rPr>
          <w:b/>
        </w:rPr>
        <w:t>AVAILABILITY NOTICE</w:t>
      </w:r>
    </w:p>
    <w:p w14:paraId="745BA875" w14:textId="77777777" w:rsidR="00267BB5" w:rsidRPr="0027789B" w:rsidRDefault="00267BB5" w:rsidP="00267BB5">
      <w:pPr>
        <w:spacing w:before="240" w:after="120" w:line="480" w:lineRule="exact"/>
        <w:jc w:val="center"/>
        <w:outlineLvl w:val="7"/>
        <w:rPr>
          <w:b/>
          <w:u w:val="single"/>
        </w:rPr>
      </w:pPr>
      <w:r w:rsidRPr="0027789B">
        <w:rPr>
          <w:b/>
          <w:u w:val="single"/>
        </w:rPr>
        <w:t>Availability Notice</w:t>
      </w:r>
    </w:p>
    <w:p w14:paraId="7B5A8C95" w14:textId="77777777" w:rsidR="00267BB5" w:rsidRPr="0027789B" w:rsidRDefault="00267BB5" w:rsidP="00267BB5">
      <w:pPr>
        <w:spacing w:after="0"/>
      </w:pPr>
    </w:p>
    <w:p w14:paraId="5BD0288A" w14:textId="77777777" w:rsidR="00267BB5" w:rsidRPr="0027789B" w:rsidRDefault="00267BB5" w:rsidP="00267BB5">
      <w:pPr>
        <w:tabs>
          <w:tab w:val="left" w:pos="4248"/>
        </w:tabs>
        <w:spacing w:after="0"/>
        <w:jc w:val="both"/>
        <w:rPr>
          <w:u w:val="single"/>
        </w:rPr>
      </w:pPr>
      <w:r w:rsidRPr="0027789B">
        <w:t xml:space="preserve">Operating Day: </w:t>
      </w:r>
      <w:r w:rsidRPr="0027789B">
        <w:rPr>
          <w:u w:val="single"/>
        </w:rPr>
        <w:tab/>
      </w:r>
    </w:p>
    <w:p w14:paraId="5BB00C13" w14:textId="77777777" w:rsidR="00267BB5" w:rsidRPr="0027789B" w:rsidRDefault="00267BB5" w:rsidP="00267BB5">
      <w:pPr>
        <w:tabs>
          <w:tab w:val="left" w:pos="4248"/>
        </w:tabs>
        <w:spacing w:after="0"/>
        <w:jc w:val="both"/>
      </w:pPr>
    </w:p>
    <w:p w14:paraId="0BCC1BDB" w14:textId="77777777" w:rsidR="00267BB5" w:rsidRPr="0027789B" w:rsidRDefault="00267BB5" w:rsidP="00267BB5">
      <w:pPr>
        <w:tabs>
          <w:tab w:val="left" w:pos="3600"/>
          <w:tab w:val="left" w:pos="4320"/>
          <w:tab w:val="left" w:pos="9360"/>
        </w:tabs>
        <w:spacing w:after="0"/>
        <w:jc w:val="both"/>
        <w:rPr>
          <w:u w:val="single"/>
        </w:rPr>
      </w:pPr>
      <w:r w:rsidRPr="0027789B">
        <w:t xml:space="preserve">Station: </w:t>
      </w:r>
      <w:r w:rsidRPr="0027789B">
        <w:rPr>
          <w:u w:val="single"/>
        </w:rPr>
        <w:t xml:space="preserve"> </w:t>
      </w:r>
      <w:r w:rsidRPr="0027789B">
        <w:rPr>
          <w:u w:val="single"/>
        </w:rPr>
        <w:tab/>
      </w:r>
      <w:r w:rsidRPr="0027789B">
        <w:rPr>
          <w:u w:val="single"/>
        </w:rPr>
        <w:tab/>
        <w:t xml:space="preserve">  </w:t>
      </w:r>
      <w:r w:rsidRPr="0027789B">
        <w:t xml:space="preserve">Issued By: </w:t>
      </w:r>
      <w:r w:rsidRPr="0027789B">
        <w:rPr>
          <w:u w:val="single"/>
        </w:rPr>
        <w:tab/>
      </w:r>
    </w:p>
    <w:p w14:paraId="30556A11" w14:textId="77777777" w:rsidR="00267BB5" w:rsidRPr="0027789B" w:rsidRDefault="00267BB5" w:rsidP="00267BB5">
      <w:pPr>
        <w:tabs>
          <w:tab w:val="left" w:pos="3600"/>
          <w:tab w:val="left" w:pos="4320"/>
          <w:tab w:val="left" w:pos="9360"/>
        </w:tabs>
        <w:spacing w:after="0"/>
        <w:jc w:val="both"/>
      </w:pPr>
    </w:p>
    <w:p w14:paraId="57D2C8EB" w14:textId="77777777" w:rsidR="00267BB5" w:rsidRPr="0027789B" w:rsidRDefault="00267BB5" w:rsidP="00267BB5">
      <w:pPr>
        <w:tabs>
          <w:tab w:val="left" w:pos="3600"/>
          <w:tab w:val="left" w:pos="4320"/>
          <w:tab w:val="left" w:pos="9360"/>
        </w:tabs>
        <w:spacing w:after="0"/>
        <w:jc w:val="both"/>
        <w:rPr>
          <w:u w:val="single"/>
        </w:rPr>
      </w:pPr>
      <w:r w:rsidRPr="0027789B">
        <w:t>Unit:</w:t>
      </w:r>
      <w:r w:rsidRPr="0027789B">
        <w:rPr>
          <w:u w:val="single"/>
        </w:rPr>
        <w:tab/>
      </w:r>
      <w:r w:rsidRPr="0027789B">
        <w:rPr>
          <w:u w:val="single"/>
        </w:rPr>
        <w:tab/>
        <w:t xml:space="preserve">  </w:t>
      </w:r>
      <w:r w:rsidRPr="0027789B">
        <w:t xml:space="preserve">Issued At: </w:t>
      </w:r>
      <w:r w:rsidRPr="0027789B">
        <w:rPr>
          <w:u w:val="single"/>
        </w:rPr>
        <w:tab/>
      </w:r>
    </w:p>
    <w:p w14:paraId="4C72C8CB" w14:textId="77777777" w:rsidR="00267BB5" w:rsidRPr="0027789B" w:rsidRDefault="00267BB5" w:rsidP="00267BB5">
      <w:pPr>
        <w:tabs>
          <w:tab w:val="left" w:pos="3600"/>
          <w:tab w:val="left" w:pos="4320"/>
          <w:tab w:val="left" w:pos="9360"/>
        </w:tabs>
        <w:spacing w:after="0"/>
        <w:jc w:val="both"/>
      </w:pPr>
    </w:p>
    <w:p w14:paraId="6A8E0363" w14:textId="77777777" w:rsidR="00267BB5" w:rsidRPr="0027789B" w:rsidRDefault="00267BB5" w:rsidP="00267BB5">
      <w:pPr>
        <w:tabs>
          <w:tab w:val="left" w:pos="6480"/>
        </w:tabs>
        <w:spacing w:after="0"/>
        <w:jc w:val="both"/>
        <w:rPr>
          <w:u w:val="single"/>
        </w:rPr>
      </w:pPr>
      <w:r w:rsidRPr="0027789B">
        <w:t xml:space="preserve">Unit 100% Available No Restrictions:  </w:t>
      </w:r>
      <w:r w:rsidRPr="0027789B">
        <w:rPr>
          <w:u w:val="single"/>
        </w:rPr>
        <w:tab/>
      </w:r>
    </w:p>
    <w:p w14:paraId="6524DF87" w14:textId="77777777" w:rsidR="00267BB5" w:rsidRPr="0027789B" w:rsidRDefault="00267BB5" w:rsidP="00267BB5">
      <w:pPr>
        <w:tabs>
          <w:tab w:val="left" w:pos="6480"/>
        </w:tabs>
        <w:spacing w:after="0"/>
        <w:jc w:val="both"/>
        <w:rPr>
          <w:u w:val="single"/>
        </w:rPr>
      </w:pPr>
    </w:p>
    <w:p w14:paraId="52A033D4" w14:textId="77777777" w:rsidR="00267BB5" w:rsidRPr="0027789B" w:rsidRDefault="00267BB5" w:rsidP="00267BB5">
      <w:pPr>
        <w:tabs>
          <w:tab w:val="left" w:pos="6480"/>
        </w:tabs>
        <w:spacing w:after="0"/>
        <w:jc w:val="both"/>
      </w:pPr>
      <w:r w:rsidRPr="0027789B">
        <w:t xml:space="preserve">Stored Energy Level:  </w:t>
      </w:r>
      <w:r w:rsidRPr="0027789B">
        <w:rPr>
          <w:u w:val="single"/>
        </w:rPr>
        <w:tab/>
      </w:r>
    </w:p>
    <w:p w14:paraId="66F13A88" w14:textId="77777777" w:rsidR="00267BB5" w:rsidRPr="0027789B" w:rsidRDefault="00267BB5" w:rsidP="00267BB5">
      <w:pPr>
        <w:tabs>
          <w:tab w:val="left" w:pos="6480"/>
        </w:tabs>
        <w:spacing w:after="0"/>
        <w:jc w:val="both"/>
        <w:rPr>
          <w:u w:val="single"/>
        </w:rPr>
      </w:pPr>
    </w:p>
    <w:tbl>
      <w:tblPr>
        <w:tblStyle w:val="TableGrid"/>
        <w:tblW w:w="10674" w:type="dxa"/>
        <w:jc w:val="center"/>
        <w:tblLook w:val="04A0" w:firstRow="1" w:lastRow="0" w:firstColumn="1" w:lastColumn="0" w:noHBand="0" w:noVBand="1"/>
      </w:tblPr>
      <w:tblGrid>
        <w:gridCol w:w="1067"/>
        <w:gridCol w:w="1067"/>
        <w:gridCol w:w="1068"/>
        <w:gridCol w:w="1067"/>
        <w:gridCol w:w="1068"/>
        <w:gridCol w:w="1067"/>
        <w:gridCol w:w="1067"/>
        <w:gridCol w:w="1068"/>
        <w:gridCol w:w="1067"/>
        <w:gridCol w:w="1068"/>
      </w:tblGrid>
      <w:tr w:rsidR="00267BB5" w:rsidRPr="0027789B" w14:paraId="66ED8891" w14:textId="77777777" w:rsidTr="00267BB5">
        <w:trPr>
          <w:jc w:val="center"/>
        </w:trPr>
        <w:tc>
          <w:tcPr>
            <w:tcW w:w="1067" w:type="dxa"/>
            <w:vAlign w:val="center"/>
          </w:tcPr>
          <w:p w14:paraId="4F5F7089" w14:textId="77777777" w:rsidR="00267BB5" w:rsidRPr="0027789B" w:rsidRDefault="00267BB5" w:rsidP="00267BB5">
            <w:pPr>
              <w:tabs>
                <w:tab w:val="left" w:pos="6480"/>
              </w:tabs>
              <w:rPr>
                <w:sz w:val="16"/>
                <w:szCs w:val="16"/>
              </w:rPr>
            </w:pPr>
            <w:r w:rsidRPr="0027789B">
              <w:rPr>
                <w:sz w:val="16"/>
                <w:szCs w:val="16"/>
              </w:rPr>
              <w:t>Hour Ending</w:t>
            </w:r>
          </w:p>
        </w:tc>
        <w:tc>
          <w:tcPr>
            <w:tcW w:w="1067" w:type="dxa"/>
            <w:vAlign w:val="center"/>
          </w:tcPr>
          <w:p w14:paraId="1B6D1EA6" w14:textId="77777777" w:rsidR="00267BB5" w:rsidRPr="0027789B" w:rsidRDefault="00267BB5" w:rsidP="00267BB5">
            <w:pPr>
              <w:tabs>
                <w:tab w:val="left" w:pos="6480"/>
              </w:tabs>
              <w:rPr>
                <w:sz w:val="16"/>
                <w:szCs w:val="16"/>
              </w:rPr>
            </w:pPr>
            <w:r w:rsidRPr="0027789B">
              <w:rPr>
                <w:sz w:val="16"/>
                <w:szCs w:val="16"/>
              </w:rPr>
              <w:t>Available Capacity to Discharge</w:t>
            </w:r>
          </w:p>
        </w:tc>
        <w:tc>
          <w:tcPr>
            <w:tcW w:w="1068" w:type="dxa"/>
            <w:vAlign w:val="center"/>
          </w:tcPr>
          <w:p w14:paraId="443D88D7" w14:textId="77777777" w:rsidR="00267BB5" w:rsidRPr="0027789B" w:rsidRDefault="00267BB5" w:rsidP="00267BB5">
            <w:pPr>
              <w:tabs>
                <w:tab w:val="left" w:pos="6480"/>
              </w:tabs>
              <w:rPr>
                <w:sz w:val="16"/>
                <w:szCs w:val="16"/>
              </w:rPr>
            </w:pPr>
            <w:r w:rsidRPr="0027789B">
              <w:rPr>
                <w:sz w:val="16"/>
                <w:szCs w:val="16"/>
              </w:rPr>
              <w:t>Available Capacity to Charge</w:t>
            </w:r>
          </w:p>
        </w:tc>
        <w:tc>
          <w:tcPr>
            <w:tcW w:w="1067" w:type="dxa"/>
            <w:vAlign w:val="center"/>
          </w:tcPr>
          <w:p w14:paraId="07B78556" w14:textId="77777777" w:rsidR="00267BB5" w:rsidRPr="0027789B" w:rsidRDefault="00267BB5" w:rsidP="00267BB5">
            <w:pPr>
              <w:tabs>
                <w:tab w:val="left" w:pos="6480"/>
              </w:tabs>
              <w:rPr>
                <w:sz w:val="16"/>
                <w:szCs w:val="16"/>
              </w:rPr>
            </w:pPr>
            <w:r w:rsidRPr="0027789B">
              <w:rPr>
                <w:sz w:val="16"/>
                <w:szCs w:val="16"/>
              </w:rPr>
              <w:t>Minimum Output</w:t>
            </w:r>
          </w:p>
        </w:tc>
        <w:tc>
          <w:tcPr>
            <w:tcW w:w="1068" w:type="dxa"/>
            <w:vAlign w:val="center"/>
          </w:tcPr>
          <w:p w14:paraId="2682F6EE" w14:textId="77777777" w:rsidR="00267BB5" w:rsidRPr="0027789B" w:rsidRDefault="00267BB5" w:rsidP="00267BB5">
            <w:pPr>
              <w:tabs>
                <w:tab w:val="left" w:pos="6480"/>
              </w:tabs>
              <w:rPr>
                <w:sz w:val="16"/>
                <w:szCs w:val="16"/>
              </w:rPr>
            </w:pPr>
            <w:r w:rsidRPr="0027789B">
              <w:rPr>
                <w:sz w:val="16"/>
                <w:szCs w:val="16"/>
              </w:rPr>
              <w:t>AGC Available</w:t>
            </w:r>
          </w:p>
        </w:tc>
        <w:tc>
          <w:tcPr>
            <w:tcW w:w="1067" w:type="dxa"/>
            <w:vAlign w:val="center"/>
          </w:tcPr>
          <w:p w14:paraId="0947D544" w14:textId="77777777" w:rsidR="00267BB5" w:rsidRPr="0027789B" w:rsidRDefault="00267BB5" w:rsidP="00267BB5">
            <w:pPr>
              <w:tabs>
                <w:tab w:val="left" w:pos="6480"/>
              </w:tabs>
              <w:rPr>
                <w:sz w:val="16"/>
                <w:szCs w:val="16"/>
              </w:rPr>
            </w:pPr>
            <w:r w:rsidRPr="0027789B">
              <w:rPr>
                <w:sz w:val="16"/>
                <w:szCs w:val="16"/>
              </w:rPr>
              <w:t>AGC Min Limit</w:t>
            </w:r>
          </w:p>
        </w:tc>
        <w:tc>
          <w:tcPr>
            <w:tcW w:w="1067" w:type="dxa"/>
            <w:vAlign w:val="center"/>
          </w:tcPr>
          <w:p w14:paraId="23CD4C26" w14:textId="77777777" w:rsidR="00267BB5" w:rsidRPr="0027789B" w:rsidRDefault="00267BB5" w:rsidP="00267BB5">
            <w:pPr>
              <w:tabs>
                <w:tab w:val="left" w:pos="6480"/>
              </w:tabs>
              <w:rPr>
                <w:sz w:val="16"/>
                <w:szCs w:val="16"/>
              </w:rPr>
            </w:pPr>
            <w:r w:rsidRPr="0027789B">
              <w:rPr>
                <w:sz w:val="16"/>
                <w:szCs w:val="16"/>
              </w:rPr>
              <w:t>AGC Max Limit</w:t>
            </w:r>
          </w:p>
        </w:tc>
        <w:tc>
          <w:tcPr>
            <w:tcW w:w="1068" w:type="dxa"/>
          </w:tcPr>
          <w:p w14:paraId="15EF1B5C" w14:textId="77777777" w:rsidR="00267BB5" w:rsidRPr="0027789B" w:rsidRDefault="00267BB5" w:rsidP="00267BB5">
            <w:pPr>
              <w:tabs>
                <w:tab w:val="left" w:pos="6480"/>
              </w:tabs>
              <w:rPr>
                <w:sz w:val="16"/>
                <w:szCs w:val="16"/>
              </w:rPr>
            </w:pPr>
            <w:r w:rsidRPr="0027789B">
              <w:rPr>
                <w:sz w:val="16"/>
                <w:szCs w:val="16"/>
              </w:rPr>
              <w:t>Storage Capacity Available to Charge</w:t>
            </w:r>
          </w:p>
        </w:tc>
        <w:tc>
          <w:tcPr>
            <w:tcW w:w="1067" w:type="dxa"/>
          </w:tcPr>
          <w:p w14:paraId="10F94BD3" w14:textId="77777777" w:rsidR="00267BB5" w:rsidRPr="0027789B" w:rsidRDefault="00267BB5" w:rsidP="00267BB5">
            <w:pPr>
              <w:tabs>
                <w:tab w:val="left" w:pos="6480"/>
              </w:tabs>
              <w:rPr>
                <w:sz w:val="16"/>
                <w:szCs w:val="16"/>
              </w:rPr>
            </w:pPr>
            <w:r w:rsidRPr="0027789B">
              <w:rPr>
                <w:sz w:val="16"/>
                <w:szCs w:val="16"/>
              </w:rPr>
              <w:t>Storage Capacity Available to Discharge</w:t>
            </w:r>
          </w:p>
        </w:tc>
        <w:tc>
          <w:tcPr>
            <w:tcW w:w="1068" w:type="dxa"/>
            <w:vAlign w:val="center"/>
          </w:tcPr>
          <w:p w14:paraId="46DEA85B" w14:textId="77777777" w:rsidR="00267BB5" w:rsidRPr="0027789B" w:rsidRDefault="00267BB5" w:rsidP="00267BB5">
            <w:pPr>
              <w:tabs>
                <w:tab w:val="left" w:pos="6480"/>
              </w:tabs>
              <w:rPr>
                <w:sz w:val="16"/>
                <w:szCs w:val="16"/>
              </w:rPr>
            </w:pPr>
            <w:r w:rsidRPr="0027789B">
              <w:rPr>
                <w:sz w:val="16"/>
                <w:szCs w:val="16"/>
              </w:rPr>
              <w:t>Comments</w:t>
            </w:r>
          </w:p>
        </w:tc>
      </w:tr>
      <w:tr w:rsidR="00267BB5" w:rsidRPr="0027789B" w14:paraId="7AB28B49" w14:textId="77777777" w:rsidTr="00267BB5">
        <w:trPr>
          <w:jc w:val="center"/>
        </w:trPr>
        <w:tc>
          <w:tcPr>
            <w:tcW w:w="1067" w:type="dxa"/>
          </w:tcPr>
          <w:p w14:paraId="419D16E4" w14:textId="77777777" w:rsidR="00267BB5" w:rsidRPr="0027789B" w:rsidRDefault="00267BB5" w:rsidP="00267BB5">
            <w:pPr>
              <w:tabs>
                <w:tab w:val="left" w:pos="6480"/>
              </w:tabs>
              <w:rPr>
                <w:sz w:val="16"/>
                <w:szCs w:val="16"/>
              </w:rPr>
            </w:pPr>
          </w:p>
        </w:tc>
        <w:tc>
          <w:tcPr>
            <w:tcW w:w="1067" w:type="dxa"/>
          </w:tcPr>
          <w:p w14:paraId="4283F81A" w14:textId="77777777" w:rsidR="00267BB5" w:rsidRPr="0027789B" w:rsidRDefault="00267BB5" w:rsidP="00267BB5">
            <w:pPr>
              <w:tabs>
                <w:tab w:val="left" w:pos="6480"/>
              </w:tabs>
              <w:rPr>
                <w:sz w:val="16"/>
                <w:szCs w:val="16"/>
              </w:rPr>
            </w:pPr>
            <w:r w:rsidRPr="0027789B">
              <w:rPr>
                <w:sz w:val="16"/>
                <w:szCs w:val="16"/>
              </w:rPr>
              <w:t>(MW)</w:t>
            </w:r>
          </w:p>
        </w:tc>
        <w:tc>
          <w:tcPr>
            <w:tcW w:w="1068" w:type="dxa"/>
          </w:tcPr>
          <w:p w14:paraId="5BD1DE07" w14:textId="77777777" w:rsidR="00267BB5" w:rsidRPr="0027789B" w:rsidRDefault="00267BB5" w:rsidP="00267BB5">
            <w:pPr>
              <w:tabs>
                <w:tab w:val="left" w:pos="6480"/>
              </w:tabs>
              <w:rPr>
                <w:sz w:val="16"/>
                <w:szCs w:val="16"/>
              </w:rPr>
            </w:pPr>
            <w:r w:rsidRPr="0027789B">
              <w:rPr>
                <w:sz w:val="16"/>
                <w:szCs w:val="16"/>
              </w:rPr>
              <w:t>(MW)</w:t>
            </w:r>
          </w:p>
        </w:tc>
        <w:tc>
          <w:tcPr>
            <w:tcW w:w="1067" w:type="dxa"/>
          </w:tcPr>
          <w:p w14:paraId="1D3F918E" w14:textId="77777777" w:rsidR="00267BB5" w:rsidRPr="0027789B" w:rsidRDefault="00267BB5" w:rsidP="00267BB5">
            <w:pPr>
              <w:tabs>
                <w:tab w:val="left" w:pos="6480"/>
              </w:tabs>
              <w:rPr>
                <w:sz w:val="16"/>
                <w:szCs w:val="16"/>
              </w:rPr>
            </w:pPr>
            <w:r w:rsidRPr="0027789B">
              <w:rPr>
                <w:sz w:val="16"/>
                <w:szCs w:val="16"/>
              </w:rPr>
              <w:t>(MW) (non AGC)</w:t>
            </w:r>
          </w:p>
        </w:tc>
        <w:tc>
          <w:tcPr>
            <w:tcW w:w="1068" w:type="dxa"/>
          </w:tcPr>
          <w:p w14:paraId="2ABFB45A" w14:textId="77777777" w:rsidR="00267BB5" w:rsidRPr="0027789B" w:rsidRDefault="00267BB5" w:rsidP="00267BB5">
            <w:pPr>
              <w:tabs>
                <w:tab w:val="left" w:pos="6480"/>
              </w:tabs>
              <w:rPr>
                <w:sz w:val="16"/>
                <w:szCs w:val="16"/>
              </w:rPr>
            </w:pPr>
            <w:r w:rsidRPr="0027789B">
              <w:rPr>
                <w:sz w:val="16"/>
                <w:szCs w:val="16"/>
              </w:rPr>
              <w:t>YES/NO</w:t>
            </w:r>
          </w:p>
        </w:tc>
        <w:tc>
          <w:tcPr>
            <w:tcW w:w="1067" w:type="dxa"/>
          </w:tcPr>
          <w:p w14:paraId="1776AA47" w14:textId="77777777" w:rsidR="00267BB5" w:rsidRPr="0027789B" w:rsidRDefault="00267BB5" w:rsidP="00267BB5">
            <w:pPr>
              <w:tabs>
                <w:tab w:val="left" w:pos="6480"/>
              </w:tabs>
              <w:rPr>
                <w:sz w:val="16"/>
                <w:szCs w:val="16"/>
              </w:rPr>
            </w:pPr>
            <w:r w:rsidRPr="0027789B">
              <w:rPr>
                <w:sz w:val="16"/>
                <w:szCs w:val="16"/>
              </w:rPr>
              <w:t>(MW)</w:t>
            </w:r>
          </w:p>
        </w:tc>
        <w:tc>
          <w:tcPr>
            <w:tcW w:w="1067" w:type="dxa"/>
          </w:tcPr>
          <w:p w14:paraId="3E6F2781" w14:textId="77777777" w:rsidR="00267BB5" w:rsidRPr="0027789B" w:rsidRDefault="00267BB5" w:rsidP="00267BB5">
            <w:pPr>
              <w:tabs>
                <w:tab w:val="left" w:pos="6480"/>
              </w:tabs>
              <w:rPr>
                <w:sz w:val="16"/>
                <w:szCs w:val="16"/>
              </w:rPr>
            </w:pPr>
            <w:r w:rsidRPr="0027789B">
              <w:rPr>
                <w:sz w:val="16"/>
                <w:szCs w:val="16"/>
              </w:rPr>
              <w:t>(MW)</w:t>
            </w:r>
          </w:p>
        </w:tc>
        <w:tc>
          <w:tcPr>
            <w:tcW w:w="1068" w:type="dxa"/>
          </w:tcPr>
          <w:p w14:paraId="494B652B" w14:textId="77777777" w:rsidR="00267BB5" w:rsidRPr="0027789B" w:rsidRDefault="00267BB5" w:rsidP="00267BB5">
            <w:pPr>
              <w:tabs>
                <w:tab w:val="left" w:pos="6480"/>
              </w:tabs>
              <w:rPr>
                <w:sz w:val="16"/>
                <w:szCs w:val="16"/>
              </w:rPr>
            </w:pPr>
            <w:r w:rsidRPr="0027789B">
              <w:rPr>
                <w:sz w:val="16"/>
                <w:szCs w:val="16"/>
              </w:rPr>
              <w:t>(MWh)</w:t>
            </w:r>
          </w:p>
        </w:tc>
        <w:tc>
          <w:tcPr>
            <w:tcW w:w="1067" w:type="dxa"/>
          </w:tcPr>
          <w:p w14:paraId="6C74EC46" w14:textId="77777777" w:rsidR="00267BB5" w:rsidRPr="0027789B" w:rsidRDefault="00267BB5" w:rsidP="00267BB5">
            <w:pPr>
              <w:tabs>
                <w:tab w:val="left" w:pos="6480"/>
              </w:tabs>
              <w:rPr>
                <w:sz w:val="16"/>
                <w:szCs w:val="16"/>
              </w:rPr>
            </w:pPr>
            <w:r w:rsidRPr="0027789B">
              <w:rPr>
                <w:sz w:val="16"/>
                <w:szCs w:val="16"/>
              </w:rPr>
              <w:t>(MWh)</w:t>
            </w:r>
          </w:p>
        </w:tc>
        <w:tc>
          <w:tcPr>
            <w:tcW w:w="1068" w:type="dxa"/>
          </w:tcPr>
          <w:p w14:paraId="5C992879" w14:textId="77777777" w:rsidR="00267BB5" w:rsidRPr="0027789B" w:rsidRDefault="00267BB5" w:rsidP="00267BB5">
            <w:pPr>
              <w:tabs>
                <w:tab w:val="left" w:pos="6480"/>
              </w:tabs>
              <w:rPr>
                <w:sz w:val="16"/>
                <w:szCs w:val="16"/>
              </w:rPr>
            </w:pPr>
          </w:p>
        </w:tc>
      </w:tr>
      <w:tr w:rsidR="00267BB5" w:rsidRPr="0027789B" w14:paraId="3B360A67" w14:textId="77777777" w:rsidTr="00267BB5">
        <w:trPr>
          <w:jc w:val="center"/>
        </w:trPr>
        <w:tc>
          <w:tcPr>
            <w:tcW w:w="1067" w:type="dxa"/>
          </w:tcPr>
          <w:p w14:paraId="2E966DDA" w14:textId="77777777" w:rsidR="00267BB5" w:rsidRPr="0027789B" w:rsidRDefault="00267BB5" w:rsidP="00267BB5">
            <w:pPr>
              <w:tabs>
                <w:tab w:val="left" w:pos="6480"/>
              </w:tabs>
              <w:jc w:val="both"/>
              <w:rPr>
                <w:sz w:val="16"/>
                <w:szCs w:val="16"/>
              </w:rPr>
            </w:pPr>
            <w:r w:rsidRPr="0027789B">
              <w:rPr>
                <w:sz w:val="16"/>
                <w:szCs w:val="16"/>
              </w:rPr>
              <w:t>1:00</w:t>
            </w:r>
          </w:p>
        </w:tc>
        <w:tc>
          <w:tcPr>
            <w:tcW w:w="1067" w:type="dxa"/>
          </w:tcPr>
          <w:p w14:paraId="5C010143" w14:textId="77777777" w:rsidR="00267BB5" w:rsidRPr="0027789B" w:rsidRDefault="00267BB5" w:rsidP="00267BB5">
            <w:pPr>
              <w:tabs>
                <w:tab w:val="left" w:pos="6480"/>
              </w:tabs>
              <w:jc w:val="both"/>
              <w:rPr>
                <w:sz w:val="16"/>
                <w:szCs w:val="16"/>
              </w:rPr>
            </w:pPr>
          </w:p>
        </w:tc>
        <w:tc>
          <w:tcPr>
            <w:tcW w:w="1068" w:type="dxa"/>
          </w:tcPr>
          <w:p w14:paraId="2D9A429B" w14:textId="77777777" w:rsidR="00267BB5" w:rsidRPr="0027789B" w:rsidRDefault="00267BB5" w:rsidP="00267BB5">
            <w:pPr>
              <w:tabs>
                <w:tab w:val="left" w:pos="6480"/>
              </w:tabs>
              <w:jc w:val="both"/>
              <w:rPr>
                <w:sz w:val="16"/>
                <w:szCs w:val="16"/>
              </w:rPr>
            </w:pPr>
          </w:p>
        </w:tc>
        <w:tc>
          <w:tcPr>
            <w:tcW w:w="1067" w:type="dxa"/>
          </w:tcPr>
          <w:p w14:paraId="11F9F0EE" w14:textId="77777777" w:rsidR="00267BB5" w:rsidRPr="0027789B" w:rsidRDefault="00267BB5" w:rsidP="00267BB5">
            <w:pPr>
              <w:tabs>
                <w:tab w:val="left" w:pos="6480"/>
              </w:tabs>
              <w:jc w:val="both"/>
              <w:rPr>
                <w:sz w:val="16"/>
                <w:szCs w:val="16"/>
              </w:rPr>
            </w:pPr>
          </w:p>
        </w:tc>
        <w:tc>
          <w:tcPr>
            <w:tcW w:w="1068" w:type="dxa"/>
          </w:tcPr>
          <w:p w14:paraId="3C9C8BEA" w14:textId="77777777" w:rsidR="00267BB5" w:rsidRPr="0027789B" w:rsidRDefault="00267BB5" w:rsidP="00267BB5">
            <w:pPr>
              <w:tabs>
                <w:tab w:val="left" w:pos="6480"/>
              </w:tabs>
              <w:jc w:val="both"/>
              <w:rPr>
                <w:sz w:val="16"/>
                <w:szCs w:val="16"/>
              </w:rPr>
            </w:pPr>
          </w:p>
        </w:tc>
        <w:tc>
          <w:tcPr>
            <w:tcW w:w="1067" w:type="dxa"/>
          </w:tcPr>
          <w:p w14:paraId="5CB0655A" w14:textId="77777777" w:rsidR="00267BB5" w:rsidRPr="0027789B" w:rsidRDefault="00267BB5" w:rsidP="00267BB5">
            <w:pPr>
              <w:tabs>
                <w:tab w:val="left" w:pos="6480"/>
              </w:tabs>
              <w:jc w:val="both"/>
              <w:rPr>
                <w:sz w:val="16"/>
                <w:szCs w:val="16"/>
              </w:rPr>
            </w:pPr>
          </w:p>
        </w:tc>
        <w:tc>
          <w:tcPr>
            <w:tcW w:w="1067" w:type="dxa"/>
          </w:tcPr>
          <w:p w14:paraId="762D0343" w14:textId="77777777" w:rsidR="00267BB5" w:rsidRPr="0027789B" w:rsidRDefault="00267BB5" w:rsidP="00267BB5">
            <w:pPr>
              <w:tabs>
                <w:tab w:val="left" w:pos="6480"/>
              </w:tabs>
              <w:jc w:val="both"/>
              <w:rPr>
                <w:sz w:val="16"/>
                <w:szCs w:val="16"/>
              </w:rPr>
            </w:pPr>
          </w:p>
        </w:tc>
        <w:tc>
          <w:tcPr>
            <w:tcW w:w="1068" w:type="dxa"/>
          </w:tcPr>
          <w:p w14:paraId="37E30BD0" w14:textId="77777777" w:rsidR="00267BB5" w:rsidRPr="0027789B" w:rsidRDefault="00267BB5" w:rsidP="00267BB5">
            <w:pPr>
              <w:tabs>
                <w:tab w:val="left" w:pos="6480"/>
              </w:tabs>
              <w:jc w:val="both"/>
              <w:rPr>
                <w:sz w:val="16"/>
                <w:szCs w:val="16"/>
              </w:rPr>
            </w:pPr>
          </w:p>
        </w:tc>
        <w:tc>
          <w:tcPr>
            <w:tcW w:w="1067" w:type="dxa"/>
          </w:tcPr>
          <w:p w14:paraId="1C4908C0" w14:textId="77777777" w:rsidR="00267BB5" w:rsidRPr="0027789B" w:rsidRDefault="00267BB5" w:rsidP="00267BB5">
            <w:pPr>
              <w:tabs>
                <w:tab w:val="left" w:pos="6480"/>
              </w:tabs>
              <w:jc w:val="both"/>
              <w:rPr>
                <w:sz w:val="16"/>
                <w:szCs w:val="16"/>
              </w:rPr>
            </w:pPr>
          </w:p>
        </w:tc>
        <w:tc>
          <w:tcPr>
            <w:tcW w:w="1068" w:type="dxa"/>
          </w:tcPr>
          <w:p w14:paraId="38E16D97" w14:textId="77777777" w:rsidR="00267BB5" w:rsidRPr="0027789B" w:rsidRDefault="00267BB5" w:rsidP="00267BB5">
            <w:pPr>
              <w:tabs>
                <w:tab w:val="left" w:pos="6480"/>
              </w:tabs>
              <w:jc w:val="both"/>
              <w:rPr>
                <w:sz w:val="16"/>
                <w:szCs w:val="16"/>
              </w:rPr>
            </w:pPr>
          </w:p>
        </w:tc>
      </w:tr>
      <w:tr w:rsidR="00267BB5" w:rsidRPr="0027789B" w14:paraId="55417CA6" w14:textId="77777777" w:rsidTr="00267BB5">
        <w:trPr>
          <w:jc w:val="center"/>
        </w:trPr>
        <w:tc>
          <w:tcPr>
            <w:tcW w:w="1067" w:type="dxa"/>
          </w:tcPr>
          <w:p w14:paraId="2339F560" w14:textId="77777777" w:rsidR="00267BB5" w:rsidRPr="0027789B" w:rsidRDefault="00267BB5" w:rsidP="00267BB5">
            <w:pPr>
              <w:tabs>
                <w:tab w:val="left" w:pos="6480"/>
              </w:tabs>
              <w:jc w:val="both"/>
              <w:rPr>
                <w:sz w:val="16"/>
                <w:szCs w:val="16"/>
              </w:rPr>
            </w:pPr>
            <w:r w:rsidRPr="0027789B">
              <w:rPr>
                <w:sz w:val="16"/>
                <w:szCs w:val="16"/>
              </w:rPr>
              <w:t>2:00</w:t>
            </w:r>
          </w:p>
        </w:tc>
        <w:tc>
          <w:tcPr>
            <w:tcW w:w="1067" w:type="dxa"/>
          </w:tcPr>
          <w:p w14:paraId="01872332" w14:textId="77777777" w:rsidR="00267BB5" w:rsidRPr="0027789B" w:rsidRDefault="00267BB5" w:rsidP="00267BB5">
            <w:pPr>
              <w:tabs>
                <w:tab w:val="left" w:pos="6480"/>
              </w:tabs>
              <w:jc w:val="both"/>
              <w:rPr>
                <w:sz w:val="16"/>
                <w:szCs w:val="16"/>
              </w:rPr>
            </w:pPr>
          </w:p>
        </w:tc>
        <w:tc>
          <w:tcPr>
            <w:tcW w:w="1068" w:type="dxa"/>
          </w:tcPr>
          <w:p w14:paraId="385DD4EF" w14:textId="77777777" w:rsidR="00267BB5" w:rsidRPr="0027789B" w:rsidRDefault="00267BB5" w:rsidP="00267BB5">
            <w:pPr>
              <w:tabs>
                <w:tab w:val="left" w:pos="6480"/>
              </w:tabs>
              <w:jc w:val="both"/>
              <w:rPr>
                <w:sz w:val="16"/>
                <w:szCs w:val="16"/>
              </w:rPr>
            </w:pPr>
          </w:p>
        </w:tc>
        <w:tc>
          <w:tcPr>
            <w:tcW w:w="1067" w:type="dxa"/>
          </w:tcPr>
          <w:p w14:paraId="02BEAF45" w14:textId="77777777" w:rsidR="00267BB5" w:rsidRPr="0027789B" w:rsidRDefault="00267BB5" w:rsidP="00267BB5">
            <w:pPr>
              <w:tabs>
                <w:tab w:val="left" w:pos="6480"/>
              </w:tabs>
              <w:jc w:val="both"/>
              <w:rPr>
                <w:sz w:val="16"/>
                <w:szCs w:val="16"/>
              </w:rPr>
            </w:pPr>
          </w:p>
        </w:tc>
        <w:tc>
          <w:tcPr>
            <w:tcW w:w="1068" w:type="dxa"/>
          </w:tcPr>
          <w:p w14:paraId="68568BDB" w14:textId="77777777" w:rsidR="00267BB5" w:rsidRPr="0027789B" w:rsidRDefault="00267BB5" w:rsidP="00267BB5">
            <w:pPr>
              <w:tabs>
                <w:tab w:val="left" w:pos="6480"/>
              </w:tabs>
              <w:jc w:val="both"/>
              <w:rPr>
                <w:sz w:val="16"/>
                <w:szCs w:val="16"/>
              </w:rPr>
            </w:pPr>
          </w:p>
        </w:tc>
        <w:tc>
          <w:tcPr>
            <w:tcW w:w="1067" w:type="dxa"/>
          </w:tcPr>
          <w:p w14:paraId="5B404DB1" w14:textId="77777777" w:rsidR="00267BB5" w:rsidRPr="0027789B" w:rsidRDefault="00267BB5" w:rsidP="00267BB5">
            <w:pPr>
              <w:tabs>
                <w:tab w:val="left" w:pos="6480"/>
              </w:tabs>
              <w:jc w:val="both"/>
              <w:rPr>
                <w:sz w:val="16"/>
                <w:szCs w:val="16"/>
              </w:rPr>
            </w:pPr>
          </w:p>
        </w:tc>
        <w:tc>
          <w:tcPr>
            <w:tcW w:w="1067" w:type="dxa"/>
          </w:tcPr>
          <w:p w14:paraId="4CF156D1" w14:textId="77777777" w:rsidR="00267BB5" w:rsidRPr="0027789B" w:rsidRDefault="00267BB5" w:rsidP="00267BB5">
            <w:pPr>
              <w:tabs>
                <w:tab w:val="left" w:pos="6480"/>
              </w:tabs>
              <w:jc w:val="both"/>
              <w:rPr>
                <w:sz w:val="16"/>
                <w:szCs w:val="16"/>
              </w:rPr>
            </w:pPr>
          </w:p>
        </w:tc>
        <w:tc>
          <w:tcPr>
            <w:tcW w:w="1068" w:type="dxa"/>
          </w:tcPr>
          <w:p w14:paraId="619C6FC2" w14:textId="77777777" w:rsidR="00267BB5" w:rsidRPr="0027789B" w:rsidRDefault="00267BB5" w:rsidP="00267BB5">
            <w:pPr>
              <w:tabs>
                <w:tab w:val="left" w:pos="6480"/>
              </w:tabs>
              <w:jc w:val="both"/>
              <w:rPr>
                <w:sz w:val="16"/>
                <w:szCs w:val="16"/>
              </w:rPr>
            </w:pPr>
          </w:p>
        </w:tc>
        <w:tc>
          <w:tcPr>
            <w:tcW w:w="1067" w:type="dxa"/>
          </w:tcPr>
          <w:p w14:paraId="49784B87" w14:textId="77777777" w:rsidR="00267BB5" w:rsidRPr="0027789B" w:rsidRDefault="00267BB5" w:rsidP="00267BB5">
            <w:pPr>
              <w:tabs>
                <w:tab w:val="left" w:pos="6480"/>
              </w:tabs>
              <w:jc w:val="both"/>
              <w:rPr>
                <w:sz w:val="16"/>
                <w:szCs w:val="16"/>
              </w:rPr>
            </w:pPr>
          </w:p>
        </w:tc>
        <w:tc>
          <w:tcPr>
            <w:tcW w:w="1068" w:type="dxa"/>
          </w:tcPr>
          <w:p w14:paraId="26F66305" w14:textId="77777777" w:rsidR="00267BB5" w:rsidRPr="0027789B" w:rsidRDefault="00267BB5" w:rsidP="00267BB5">
            <w:pPr>
              <w:tabs>
                <w:tab w:val="left" w:pos="6480"/>
              </w:tabs>
              <w:jc w:val="both"/>
              <w:rPr>
                <w:sz w:val="16"/>
                <w:szCs w:val="16"/>
              </w:rPr>
            </w:pPr>
          </w:p>
        </w:tc>
      </w:tr>
      <w:tr w:rsidR="00267BB5" w:rsidRPr="0027789B" w14:paraId="43AC7433" w14:textId="77777777" w:rsidTr="00267BB5">
        <w:trPr>
          <w:jc w:val="center"/>
        </w:trPr>
        <w:tc>
          <w:tcPr>
            <w:tcW w:w="1067" w:type="dxa"/>
          </w:tcPr>
          <w:p w14:paraId="4C57D13C" w14:textId="77777777" w:rsidR="00267BB5" w:rsidRPr="0027789B" w:rsidRDefault="00267BB5" w:rsidP="00267BB5">
            <w:pPr>
              <w:tabs>
                <w:tab w:val="left" w:pos="6480"/>
              </w:tabs>
              <w:jc w:val="both"/>
              <w:rPr>
                <w:sz w:val="16"/>
                <w:szCs w:val="16"/>
              </w:rPr>
            </w:pPr>
            <w:r w:rsidRPr="0027789B">
              <w:rPr>
                <w:sz w:val="16"/>
                <w:szCs w:val="16"/>
              </w:rPr>
              <w:t>3:00</w:t>
            </w:r>
          </w:p>
        </w:tc>
        <w:tc>
          <w:tcPr>
            <w:tcW w:w="1067" w:type="dxa"/>
          </w:tcPr>
          <w:p w14:paraId="6002B7F9" w14:textId="77777777" w:rsidR="00267BB5" w:rsidRPr="0027789B" w:rsidRDefault="00267BB5" w:rsidP="00267BB5">
            <w:pPr>
              <w:tabs>
                <w:tab w:val="left" w:pos="6480"/>
              </w:tabs>
              <w:jc w:val="both"/>
              <w:rPr>
                <w:sz w:val="16"/>
                <w:szCs w:val="16"/>
              </w:rPr>
            </w:pPr>
          </w:p>
        </w:tc>
        <w:tc>
          <w:tcPr>
            <w:tcW w:w="1068" w:type="dxa"/>
          </w:tcPr>
          <w:p w14:paraId="6358A8BE" w14:textId="77777777" w:rsidR="00267BB5" w:rsidRPr="0027789B" w:rsidRDefault="00267BB5" w:rsidP="00267BB5">
            <w:pPr>
              <w:tabs>
                <w:tab w:val="left" w:pos="6480"/>
              </w:tabs>
              <w:jc w:val="both"/>
              <w:rPr>
                <w:sz w:val="16"/>
                <w:szCs w:val="16"/>
              </w:rPr>
            </w:pPr>
          </w:p>
        </w:tc>
        <w:tc>
          <w:tcPr>
            <w:tcW w:w="1067" w:type="dxa"/>
          </w:tcPr>
          <w:p w14:paraId="5B4E6055" w14:textId="77777777" w:rsidR="00267BB5" w:rsidRPr="0027789B" w:rsidRDefault="00267BB5" w:rsidP="00267BB5">
            <w:pPr>
              <w:tabs>
                <w:tab w:val="left" w:pos="6480"/>
              </w:tabs>
              <w:jc w:val="both"/>
              <w:rPr>
                <w:sz w:val="16"/>
                <w:szCs w:val="16"/>
              </w:rPr>
            </w:pPr>
          </w:p>
        </w:tc>
        <w:tc>
          <w:tcPr>
            <w:tcW w:w="1068" w:type="dxa"/>
          </w:tcPr>
          <w:p w14:paraId="68D27884" w14:textId="77777777" w:rsidR="00267BB5" w:rsidRPr="0027789B" w:rsidRDefault="00267BB5" w:rsidP="00267BB5">
            <w:pPr>
              <w:tabs>
                <w:tab w:val="left" w:pos="6480"/>
              </w:tabs>
              <w:jc w:val="both"/>
              <w:rPr>
                <w:sz w:val="16"/>
                <w:szCs w:val="16"/>
              </w:rPr>
            </w:pPr>
          </w:p>
        </w:tc>
        <w:tc>
          <w:tcPr>
            <w:tcW w:w="1067" w:type="dxa"/>
          </w:tcPr>
          <w:p w14:paraId="6D663F69" w14:textId="77777777" w:rsidR="00267BB5" w:rsidRPr="0027789B" w:rsidRDefault="00267BB5" w:rsidP="00267BB5">
            <w:pPr>
              <w:tabs>
                <w:tab w:val="left" w:pos="6480"/>
              </w:tabs>
              <w:jc w:val="both"/>
              <w:rPr>
                <w:sz w:val="16"/>
                <w:szCs w:val="16"/>
              </w:rPr>
            </w:pPr>
          </w:p>
        </w:tc>
        <w:tc>
          <w:tcPr>
            <w:tcW w:w="1067" w:type="dxa"/>
          </w:tcPr>
          <w:p w14:paraId="069B88B9" w14:textId="77777777" w:rsidR="00267BB5" w:rsidRPr="0027789B" w:rsidRDefault="00267BB5" w:rsidP="00267BB5">
            <w:pPr>
              <w:tabs>
                <w:tab w:val="left" w:pos="6480"/>
              </w:tabs>
              <w:jc w:val="both"/>
              <w:rPr>
                <w:sz w:val="16"/>
                <w:szCs w:val="16"/>
              </w:rPr>
            </w:pPr>
          </w:p>
        </w:tc>
        <w:tc>
          <w:tcPr>
            <w:tcW w:w="1068" w:type="dxa"/>
          </w:tcPr>
          <w:p w14:paraId="17D8D223" w14:textId="77777777" w:rsidR="00267BB5" w:rsidRPr="0027789B" w:rsidRDefault="00267BB5" w:rsidP="00267BB5">
            <w:pPr>
              <w:tabs>
                <w:tab w:val="left" w:pos="6480"/>
              </w:tabs>
              <w:jc w:val="both"/>
              <w:rPr>
                <w:sz w:val="16"/>
                <w:szCs w:val="16"/>
              </w:rPr>
            </w:pPr>
          </w:p>
        </w:tc>
        <w:tc>
          <w:tcPr>
            <w:tcW w:w="1067" w:type="dxa"/>
          </w:tcPr>
          <w:p w14:paraId="740253A4" w14:textId="77777777" w:rsidR="00267BB5" w:rsidRPr="0027789B" w:rsidRDefault="00267BB5" w:rsidP="00267BB5">
            <w:pPr>
              <w:tabs>
                <w:tab w:val="left" w:pos="6480"/>
              </w:tabs>
              <w:jc w:val="both"/>
              <w:rPr>
                <w:sz w:val="16"/>
                <w:szCs w:val="16"/>
              </w:rPr>
            </w:pPr>
          </w:p>
        </w:tc>
        <w:tc>
          <w:tcPr>
            <w:tcW w:w="1068" w:type="dxa"/>
          </w:tcPr>
          <w:p w14:paraId="184FACFF" w14:textId="77777777" w:rsidR="00267BB5" w:rsidRPr="0027789B" w:rsidRDefault="00267BB5" w:rsidP="00267BB5">
            <w:pPr>
              <w:tabs>
                <w:tab w:val="left" w:pos="6480"/>
              </w:tabs>
              <w:jc w:val="both"/>
              <w:rPr>
                <w:sz w:val="16"/>
                <w:szCs w:val="16"/>
              </w:rPr>
            </w:pPr>
          </w:p>
        </w:tc>
      </w:tr>
      <w:tr w:rsidR="00267BB5" w:rsidRPr="0027789B" w14:paraId="7BBF0E13" w14:textId="77777777" w:rsidTr="00267BB5">
        <w:trPr>
          <w:jc w:val="center"/>
        </w:trPr>
        <w:tc>
          <w:tcPr>
            <w:tcW w:w="1067" w:type="dxa"/>
          </w:tcPr>
          <w:p w14:paraId="49F29FE5" w14:textId="77777777" w:rsidR="00267BB5" w:rsidRPr="0027789B" w:rsidRDefault="00267BB5" w:rsidP="00267BB5">
            <w:pPr>
              <w:tabs>
                <w:tab w:val="left" w:pos="6480"/>
              </w:tabs>
              <w:jc w:val="both"/>
              <w:rPr>
                <w:sz w:val="16"/>
                <w:szCs w:val="16"/>
              </w:rPr>
            </w:pPr>
            <w:r w:rsidRPr="0027789B">
              <w:rPr>
                <w:sz w:val="16"/>
                <w:szCs w:val="16"/>
              </w:rPr>
              <w:t>4:00</w:t>
            </w:r>
          </w:p>
        </w:tc>
        <w:tc>
          <w:tcPr>
            <w:tcW w:w="1067" w:type="dxa"/>
          </w:tcPr>
          <w:p w14:paraId="7BECE616" w14:textId="77777777" w:rsidR="00267BB5" w:rsidRPr="0027789B" w:rsidRDefault="00267BB5" w:rsidP="00267BB5">
            <w:pPr>
              <w:tabs>
                <w:tab w:val="left" w:pos="6480"/>
              </w:tabs>
              <w:jc w:val="both"/>
              <w:rPr>
                <w:sz w:val="16"/>
                <w:szCs w:val="16"/>
              </w:rPr>
            </w:pPr>
          </w:p>
        </w:tc>
        <w:tc>
          <w:tcPr>
            <w:tcW w:w="1068" w:type="dxa"/>
          </w:tcPr>
          <w:p w14:paraId="4A43C849" w14:textId="77777777" w:rsidR="00267BB5" w:rsidRPr="0027789B" w:rsidRDefault="00267BB5" w:rsidP="00267BB5">
            <w:pPr>
              <w:tabs>
                <w:tab w:val="left" w:pos="6480"/>
              </w:tabs>
              <w:jc w:val="both"/>
              <w:rPr>
                <w:sz w:val="16"/>
                <w:szCs w:val="16"/>
              </w:rPr>
            </w:pPr>
          </w:p>
        </w:tc>
        <w:tc>
          <w:tcPr>
            <w:tcW w:w="1067" w:type="dxa"/>
          </w:tcPr>
          <w:p w14:paraId="256780BF" w14:textId="77777777" w:rsidR="00267BB5" w:rsidRPr="0027789B" w:rsidRDefault="00267BB5" w:rsidP="00267BB5">
            <w:pPr>
              <w:tabs>
                <w:tab w:val="left" w:pos="6480"/>
              </w:tabs>
              <w:jc w:val="both"/>
              <w:rPr>
                <w:sz w:val="16"/>
                <w:szCs w:val="16"/>
              </w:rPr>
            </w:pPr>
          </w:p>
        </w:tc>
        <w:tc>
          <w:tcPr>
            <w:tcW w:w="1068" w:type="dxa"/>
          </w:tcPr>
          <w:p w14:paraId="0EC2EC44" w14:textId="77777777" w:rsidR="00267BB5" w:rsidRPr="0027789B" w:rsidRDefault="00267BB5" w:rsidP="00267BB5">
            <w:pPr>
              <w:tabs>
                <w:tab w:val="left" w:pos="6480"/>
              </w:tabs>
              <w:jc w:val="both"/>
              <w:rPr>
                <w:sz w:val="16"/>
                <w:szCs w:val="16"/>
              </w:rPr>
            </w:pPr>
          </w:p>
        </w:tc>
        <w:tc>
          <w:tcPr>
            <w:tcW w:w="1067" w:type="dxa"/>
          </w:tcPr>
          <w:p w14:paraId="66EEAE1D" w14:textId="77777777" w:rsidR="00267BB5" w:rsidRPr="0027789B" w:rsidRDefault="00267BB5" w:rsidP="00267BB5">
            <w:pPr>
              <w:tabs>
                <w:tab w:val="left" w:pos="6480"/>
              </w:tabs>
              <w:jc w:val="both"/>
              <w:rPr>
                <w:sz w:val="16"/>
                <w:szCs w:val="16"/>
              </w:rPr>
            </w:pPr>
          </w:p>
        </w:tc>
        <w:tc>
          <w:tcPr>
            <w:tcW w:w="1067" w:type="dxa"/>
          </w:tcPr>
          <w:p w14:paraId="6D9A7E53" w14:textId="77777777" w:rsidR="00267BB5" w:rsidRPr="0027789B" w:rsidRDefault="00267BB5" w:rsidP="00267BB5">
            <w:pPr>
              <w:tabs>
                <w:tab w:val="left" w:pos="6480"/>
              </w:tabs>
              <w:jc w:val="both"/>
              <w:rPr>
                <w:sz w:val="16"/>
                <w:szCs w:val="16"/>
              </w:rPr>
            </w:pPr>
          </w:p>
        </w:tc>
        <w:tc>
          <w:tcPr>
            <w:tcW w:w="1068" w:type="dxa"/>
          </w:tcPr>
          <w:p w14:paraId="5AED36A7" w14:textId="77777777" w:rsidR="00267BB5" w:rsidRPr="0027789B" w:rsidRDefault="00267BB5" w:rsidP="00267BB5">
            <w:pPr>
              <w:tabs>
                <w:tab w:val="left" w:pos="6480"/>
              </w:tabs>
              <w:jc w:val="both"/>
              <w:rPr>
                <w:sz w:val="16"/>
                <w:szCs w:val="16"/>
              </w:rPr>
            </w:pPr>
          </w:p>
        </w:tc>
        <w:tc>
          <w:tcPr>
            <w:tcW w:w="1067" w:type="dxa"/>
          </w:tcPr>
          <w:p w14:paraId="59569249" w14:textId="77777777" w:rsidR="00267BB5" w:rsidRPr="0027789B" w:rsidRDefault="00267BB5" w:rsidP="00267BB5">
            <w:pPr>
              <w:tabs>
                <w:tab w:val="left" w:pos="6480"/>
              </w:tabs>
              <w:jc w:val="both"/>
              <w:rPr>
                <w:sz w:val="16"/>
                <w:szCs w:val="16"/>
              </w:rPr>
            </w:pPr>
          </w:p>
        </w:tc>
        <w:tc>
          <w:tcPr>
            <w:tcW w:w="1068" w:type="dxa"/>
          </w:tcPr>
          <w:p w14:paraId="6936F0C1" w14:textId="77777777" w:rsidR="00267BB5" w:rsidRPr="0027789B" w:rsidRDefault="00267BB5" w:rsidP="00267BB5">
            <w:pPr>
              <w:tabs>
                <w:tab w:val="left" w:pos="6480"/>
              </w:tabs>
              <w:jc w:val="both"/>
              <w:rPr>
                <w:sz w:val="16"/>
                <w:szCs w:val="16"/>
              </w:rPr>
            </w:pPr>
          </w:p>
        </w:tc>
      </w:tr>
      <w:tr w:rsidR="00267BB5" w:rsidRPr="0027789B" w14:paraId="0BCE8634" w14:textId="77777777" w:rsidTr="00267BB5">
        <w:trPr>
          <w:jc w:val="center"/>
        </w:trPr>
        <w:tc>
          <w:tcPr>
            <w:tcW w:w="1067" w:type="dxa"/>
          </w:tcPr>
          <w:p w14:paraId="6B8BF9AB" w14:textId="77777777" w:rsidR="00267BB5" w:rsidRPr="0027789B" w:rsidRDefault="00267BB5" w:rsidP="00267BB5">
            <w:pPr>
              <w:tabs>
                <w:tab w:val="left" w:pos="6480"/>
              </w:tabs>
              <w:jc w:val="both"/>
              <w:rPr>
                <w:sz w:val="16"/>
                <w:szCs w:val="16"/>
              </w:rPr>
            </w:pPr>
            <w:r w:rsidRPr="0027789B">
              <w:rPr>
                <w:sz w:val="16"/>
                <w:szCs w:val="16"/>
              </w:rPr>
              <w:t>5:00</w:t>
            </w:r>
          </w:p>
        </w:tc>
        <w:tc>
          <w:tcPr>
            <w:tcW w:w="1067" w:type="dxa"/>
          </w:tcPr>
          <w:p w14:paraId="73F5FE3E" w14:textId="77777777" w:rsidR="00267BB5" w:rsidRPr="0027789B" w:rsidRDefault="00267BB5" w:rsidP="00267BB5">
            <w:pPr>
              <w:tabs>
                <w:tab w:val="left" w:pos="6480"/>
              </w:tabs>
              <w:jc w:val="both"/>
              <w:rPr>
                <w:sz w:val="16"/>
                <w:szCs w:val="16"/>
              </w:rPr>
            </w:pPr>
          </w:p>
        </w:tc>
        <w:tc>
          <w:tcPr>
            <w:tcW w:w="1068" w:type="dxa"/>
          </w:tcPr>
          <w:p w14:paraId="3F278ABB" w14:textId="77777777" w:rsidR="00267BB5" w:rsidRPr="0027789B" w:rsidRDefault="00267BB5" w:rsidP="00267BB5">
            <w:pPr>
              <w:tabs>
                <w:tab w:val="left" w:pos="6480"/>
              </w:tabs>
              <w:jc w:val="both"/>
              <w:rPr>
                <w:sz w:val="16"/>
                <w:szCs w:val="16"/>
              </w:rPr>
            </w:pPr>
          </w:p>
        </w:tc>
        <w:tc>
          <w:tcPr>
            <w:tcW w:w="1067" w:type="dxa"/>
          </w:tcPr>
          <w:p w14:paraId="6B020BA9" w14:textId="77777777" w:rsidR="00267BB5" w:rsidRPr="0027789B" w:rsidRDefault="00267BB5" w:rsidP="00267BB5">
            <w:pPr>
              <w:tabs>
                <w:tab w:val="left" w:pos="6480"/>
              </w:tabs>
              <w:jc w:val="both"/>
              <w:rPr>
                <w:sz w:val="16"/>
                <w:szCs w:val="16"/>
              </w:rPr>
            </w:pPr>
          </w:p>
        </w:tc>
        <w:tc>
          <w:tcPr>
            <w:tcW w:w="1068" w:type="dxa"/>
          </w:tcPr>
          <w:p w14:paraId="48864988" w14:textId="77777777" w:rsidR="00267BB5" w:rsidRPr="0027789B" w:rsidRDefault="00267BB5" w:rsidP="00267BB5">
            <w:pPr>
              <w:tabs>
                <w:tab w:val="left" w:pos="6480"/>
              </w:tabs>
              <w:jc w:val="both"/>
              <w:rPr>
                <w:sz w:val="16"/>
                <w:szCs w:val="16"/>
              </w:rPr>
            </w:pPr>
          </w:p>
        </w:tc>
        <w:tc>
          <w:tcPr>
            <w:tcW w:w="1067" w:type="dxa"/>
          </w:tcPr>
          <w:p w14:paraId="62BFB90D" w14:textId="77777777" w:rsidR="00267BB5" w:rsidRPr="0027789B" w:rsidRDefault="00267BB5" w:rsidP="00267BB5">
            <w:pPr>
              <w:tabs>
                <w:tab w:val="left" w:pos="6480"/>
              </w:tabs>
              <w:jc w:val="both"/>
              <w:rPr>
                <w:sz w:val="16"/>
                <w:szCs w:val="16"/>
              </w:rPr>
            </w:pPr>
          </w:p>
        </w:tc>
        <w:tc>
          <w:tcPr>
            <w:tcW w:w="1067" w:type="dxa"/>
          </w:tcPr>
          <w:p w14:paraId="702B0EF9" w14:textId="77777777" w:rsidR="00267BB5" w:rsidRPr="0027789B" w:rsidRDefault="00267BB5" w:rsidP="00267BB5">
            <w:pPr>
              <w:tabs>
                <w:tab w:val="left" w:pos="6480"/>
              </w:tabs>
              <w:jc w:val="both"/>
              <w:rPr>
                <w:sz w:val="16"/>
                <w:szCs w:val="16"/>
              </w:rPr>
            </w:pPr>
          </w:p>
        </w:tc>
        <w:tc>
          <w:tcPr>
            <w:tcW w:w="1068" w:type="dxa"/>
          </w:tcPr>
          <w:p w14:paraId="3EEA4BD6" w14:textId="77777777" w:rsidR="00267BB5" w:rsidRPr="0027789B" w:rsidRDefault="00267BB5" w:rsidP="00267BB5">
            <w:pPr>
              <w:tabs>
                <w:tab w:val="left" w:pos="6480"/>
              </w:tabs>
              <w:jc w:val="both"/>
              <w:rPr>
                <w:sz w:val="16"/>
                <w:szCs w:val="16"/>
              </w:rPr>
            </w:pPr>
          </w:p>
        </w:tc>
        <w:tc>
          <w:tcPr>
            <w:tcW w:w="1067" w:type="dxa"/>
          </w:tcPr>
          <w:p w14:paraId="3D6C2171" w14:textId="77777777" w:rsidR="00267BB5" w:rsidRPr="0027789B" w:rsidRDefault="00267BB5" w:rsidP="00267BB5">
            <w:pPr>
              <w:tabs>
                <w:tab w:val="left" w:pos="6480"/>
              </w:tabs>
              <w:jc w:val="both"/>
              <w:rPr>
                <w:sz w:val="16"/>
                <w:szCs w:val="16"/>
              </w:rPr>
            </w:pPr>
          </w:p>
        </w:tc>
        <w:tc>
          <w:tcPr>
            <w:tcW w:w="1068" w:type="dxa"/>
          </w:tcPr>
          <w:p w14:paraId="784BB793" w14:textId="77777777" w:rsidR="00267BB5" w:rsidRPr="0027789B" w:rsidRDefault="00267BB5" w:rsidP="00267BB5">
            <w:pPr>
              <w:tabs>
                <w:tab w:val="left" w:pos="6480"/>
              </w:tabs>
              <w:jc w:val="both"/>
              <w:rPr>
                <w:sz w:val="16"/>
                <w:szCs w:val="16"/>
              </w:rPr>
            </w:pPr>
          </w:p>
        </w:tc>
      </w:tr>
      <w:tr w:rsidR="00267BB5" w:rsidRPr="0027789B" w14:paraId="42601D23" w14:textId="77777777" w:rsidTr="00267BB5">
        <w:trPr>
          <w:jc w:val="center"/>
        </w:trPr>
        <w:tc>
          <w:tcPr>
            <w:tcW w:w="1067" w:type="dxa"/>
          </w:tcPr>
          <w:p w14:paraId="0CFF3FDA" w14:textId="77777777" w:rsidR="00267BB5" w:rsidRPr="0027789B" w:rsidRDefault="00267BB5" w:rsidP="00267BB5">
            <w:pPr>
              <w:tabs>
                <w:tab w:val="left" w:pos="6480"/>
              </w:tabs>
              <w:jc w:val="both"/>
              <w:rPr>
                <w:sz w:val="16"/>
                <w:szCs w:val="16"/>
              </w:rPr>
            </w:pPr>
            <w:r w:rsidRPr="0027789B">
              <w:rPr>
                <w:sz w:val="16"/>
                <w:szCs w:val="16"/>
              </w:rPr>
              <w:t>6:00</w:t>
            </w:r>
          </w:p>
        </w:tc>
        <w:tc>
          <w:tcPr>
            <w:tcW w:w="1067" w:type="dxa"/>
          </w:tcPr>
          <w:p w14:paraId="37414232" w14:textId="77777777" w:rsidR="00267BB5" w:rsidRPr="0027789B" w:rsidRDefault="00267BB5" w:rsidP="00267BB5">
            <w:pPr>
              <w:tabs>
                <w:tab w:val="left" w:pos="6480"/>
              </w:tabs>
              <w:jc w:val="both"/>
              <w:rPr>
                <w:sz w:val="16"/>
                <w:szCs w:val="16"/>
              </w:rPr>
            </w:pPr>
          </w:p>
        </w:tc>
        <w:tc>
          <w:tcPr>
            <w:tcW w:w="1068" w:type="dxa"/>
          </w:tcPr>
          <w:p w14:paraId="5D955440" w14:textId="77777777" w:rsidR="00267BB5" w:rsidRPr="0027789B" w:rsidRDefault="00267BB5" w:rsidP="00267BB5">
            <w:pPr>
              <w:tabs>
                <w:tab w:val="left" w:pos="6480"/>
              </w:tabs>
              <w:jc w:val="both"/>
              <w:rPr>
                <w:sz w:val="16"/>
                <w:szCs w:val="16"/>
              </w:rPr>
            </w:pPr>
          </w:p>
        </w:tc>
        <w:tc>
          <w:tcPr>
            <w:tcW w:w="1067" w:type="dxa"/>
          </w:tcPr>
          <w:p w14:paraId="44CDFE28" w14:textId="77777777" w:rsidR="00267BB5" w:rsidRPr="0027789B" w:rsidRDefault="00267BB5" w:rsidP="00267BB5">
            <w:pPr>
              <w:tabs>
                <w:tab w:val="left" w:pos="6480"/>
              </w:tabs>
              <w:jc w:val="both"/>
              <w:rPr>
                <w:sz w:val="16"/>
                <w:szCs w:val="16"/>
              </w:rPr>
            </w:pPr>
          </w:p>
        </w:tc>
        <w:tc>
          <w:tcPr>
            <w:tcW w:w="1068" w:type="dxa"/>
          </w:tcPr>
          <w:p w14:paraId="2D9C1561" w14:textId="77777777" w:rsidR="00267BB5" w:rsidRPr="0027789B" w:rsidRDefault="00267BB5" w:rsidP="00267BB5">
            <w:pPr>
              <w:tabs>
                <w:tab w:val="left" w:pos="6480"/>
              </w:tabs>
              <w:jc w:val="both"/>
              <w:rPr>
                <w:sz w:val="16"/>
                <w:szCs w:val="16"/>
              </w:rPr>
            </w:pPr>
          </w:p>
        </w:tc>
        <w:tc>
          <w:tcPr>
            <w:tcW w:w="1067" w:type="dxa"/>
          </w:tcPr>
          <w:p w14:paraId="57ED03B4" w14:textId="77777777" w:rsidR="00267BB5" w:rsidRPr="0027789B" w:rsidRDefault="00267BB5" w:rsidP="00267BB5">
            <w:pPr>
              <w:tabs>
                <w:tab w:val="left" w:pos="6480"/>
              </w:tabs>
              <w:jc w:val="both"/>
              <w:rPr>
                <w:sz w:val="16"/>
                <w:szCs w:val="16"/>
              </w:rPr>
            </w:pPr>
          </w:p>
        </w:tc>
        <w:tc>
          <w:tcPr>
            <w:tcW w:w="1067" w:type="dxa"/>
          </w:tcPr>
          <w:p w14:paraId="3AB3E596" w14:textId="77777777" w:rsidR="00267BB5" w:rsidRPr="0027789B" w:rsidRDefault="00267BB5" w:rsidP="00267BB5">
            <w:pPr>
              <w:tabs>
                <w:tab w:val="left" w:pos="6480"/>
              </w:tabs>
              <w:jc w:val="both"/>
              <w:rPr>
                <w:sz w:val="16"/>
                <w:szCs w:val="16"/>
              </w:rPr>
            </w:pPr>
          </w:p>
        </w:tc>
        <w:tc>
          <w:tcPr>
            <w:tcW w:w="1068" w:type="dxa"/>
          </w:tcPr>
          <w:p w14:paraId="227B7320" w14:textId="77777777" w:rsidR="00267BB5" w:rsidRPr="0027789B" w:rsidRDefault="00267BB5" w:rsidP="00267BB5">
            <w:pPr>
              <w:tabs>
                <w:tab w:val="left" w:pos="6480"/>
              </w:tabs>
              <w:jc w:val="both"/>
              <w:rPr>
                <w:sz w:val="16"/>
                <w:szCs w:val="16"/>
              </w:rPr>
            </w:pPr>
          </w:p>
        </w:tc>
        <w:tc>
          <w:tcPr>
            <w:tcW w:w="1067" w:type="dxa"/>
          </w:tcPr>
          <w:p w14:paraId="74FC5EF9" w14:textId="77777777" w:rsidR="00267BB5" w:rsidRPr="0027789B" w:rsidRDefault="00267BB5" w:rsidP="00267BB5">
            <w:pPr>
              <w:tabs>
                <w:tab w:val="left" w:pos="6480"/>
              </w:tabs>
              <w:jc w:val="both"/>
              <w:rPr>
                <w:sz w:val="16"/>
                <w:szCs w:val="16"/>
              </w:rPr>
            </w:pPr>
          </w:p>
        </w:tc>
        <w:tc>
          <w:tcPr>
            <w:tcW w:w="1068" w:type="dxa"/>
          </w:tcPr>
          <w:p w14:paraId="10D47A2F" w14:textId="77777777" w:rsidR="00267BB5" w:rsidRPr="0027789B" w:rsidRDefault="00267BB5" w:rsidP="00267BB5">
            <w:pPr>
              <w:tabs>
                <w:tab w:val="left" w:pos="6480"/>
              </w:tabs>
              <w:jc w:val="both"/>
              <w:rPr>
                <w:sz w:val="16"/>
                <w:szCs w:val="16"/>
              </w:rPr>
            </w:pPr>
          </w:p>
        </w:tc>
      </w:tr>
      <w:tr w:rsidR="00267BB5" w:rsidRPr="0027789B" w14:paraId="74A97207" w14:textId="77777777" w:rsidTr="00267BB5">
        <w:trPr>
          <w:jc w:val="center"/>
        </w:trPr>
        <w:tc>
          <w:tcPr>
            <w:tcW w:w="1067" w:type="dxa"/>
          </w:tcPr>
          <w:p w14:paraId="7C4AAD2A" w14:textId="77777777" w:rsidR="00267BB5" w:rsidRPr="0027789B" w:rsidRDefault="00267BB5" w:rsidP="00267BB5">
            <w:pPr>
              <w:tabs>
                <w:tab w:val="left" w:pos="6480"/>
              </w:tabs>
              <w:jc w:val="both"/>
              <w:rPr>
                <w:sz w:val="16"/>
                <w:szCs w:val="16"/>
              </w:rPr>
            </w:pPr>
            <w:r w:rsidRPr="0027789B">
              <w:rPr>
                <w:sz w:val="16"/>
                <w:szCs w:val="16"/>
              </w:rPr>
              <w:t>7:00</w:t>
            </w:r>
          </w:p>
        </w:tc>
        <w:tc>
          <w:tcPr>
            <w:tcW w:w="1067" w:type="dxa"/>
          </w:tcPr>
          <w:p w14:paraId="57E22236" w14:textId="77777777" w:rsidR="00267BB5" w:rsidRPr="0027789B" w:rsidRDefault="00267BB5" w:rsidP="00267BB5">
            <w:pPr>
              <w:tabs>
                <w:tab w:val="left" w:pos="6480"/>
              </w:tabs>
              <w:jc w:val="both"/>
              <w:rPr>
                <w:sz w:val="16"/>
                <w:szCs w:val="16"/>
              </w:rPr>
            </w:pPr>
          </w:p>
        </w:tc>
        <w:tc>
          <w:tcPr>
            <w:tcW w:w="1068" w:type="dxa"/>
          </w:tcPr>
          <w:p w14:paraId="1947587F" w14:textId="77777777" w:rsidR="00267BB5" w:rsidRPr="0027789B" w:rsidRDefault="00267BB5" w:rsidP="00267BB5">
            <w:pPr>
              <w:tabs>
                <w:tab w:val="left" w:pos="6480"/>
              </w:tabs>
              <w:jc w:val="both"/>
              <w:rPr>
                <w:sz w:val="16"/>
                <w:szCs w:val="16"/>
              </w:rPr>
            </w:pPr>
          </w:p>
        </w:tc>
        <w:tc>
          <w:tcPr>
            <w:tcW w:w="1067" w:type="dxa"/>
          </w:tcPr>
          <w:p w14:paraId="611AC2AC" w14:textId="77777777" w:rsidR="00267BB5" w:rsidRPr="0027789B" w:rsidRDefault="00267BB5" w:rsidP="00267BB5">
            <w:pPr>
              <w:tabs>
                <w:tab w:val="left" w:pos="6480"/>
              </w:tabs>
              <w:jc w:val="both"/>
              <w:rPr>
                <w:sz w:val="16"/>
                <w:szCs w:val="16"/>
              </w:rPr>
            </w:pPr>
          </w:p>
        </w:tc>
        <w:tc>
          <w:tcPr>
            <w:tcW w:w="1068" w:type="dxa"/>
          </w:tcPr>
          <w:p w14:paraId="5AAB25B6" w14:textId="77777777" w:rsidR="00267BB5" w:rsidRPr="0027789B" w:rsidRDefault="00267BB5" w:rsidP="00267BB5">
            <w:pPr>
              <w:tabs>
                <w:tab w:val="left" w:pos="6480"/>
              </w:tabs>
              <w:jc w:val="both"/>
              <w:rPr>
                <w:sz w:val="16"/>
                <w:szCs w:val="16"/>
              </w:rPr>
            </w:pPr>
          </w:p>
        </w:tc>
        <w:tc>
          <w:tcPr>
            <w:tcW w:w="1067" w:type="dxa"/>
          </w:tcPr>
          <w:p w14:paraId="72D2A02A" w14:textId="77777777" w:rsidR="00267BB5" w:rsidRPr="0027789B" w:rsidRDefault="00267BB5" w:rsidP="00267BB5">
            <w:pPr>
              <w:tabs>
                <w:tab w:val="left" w:pos="6480"/>
              </w:tabs>
              <w:jc w:val="both"/>
              <w:rPr>
                <w:sz w:val="16"/>
                <w:szCs w:val="16"/>
              </w:rPr>
            </w:pPr>
          </w:p>
        </w:tc>
        <w:tc>
          <w:tcPr>
            <w:tcW w:w="1067" w:type="dxa"/>
          </w:tcPr>
          <w:p w14:paraId="15575E6D" w14:textId="77777777" w:rsidR="00267BB5" w:rsidRPr="0027789B" w:rsidRDefault="00267BB5" w:rsidP="00267BB5">
            <w:pPr>
              <w:tabs>
                <w:tab w:val="left" w:pos="6480"/>
              </w:tabs>
              <w:jc w:val="both"/>
              <w:rPr>
                <w:sz w:val="16"/>
                <w:szCs w:val="16"/>
              </w:rPr>
            </w:pPr>
          </w:p>
        </w:tc>
        <w:tc>
          <w:tcPr>
            <w:tcW w:w="1068" w:type="dxa"/>
          </w:tcPr>
          <w:p w14:paraId="53CE361E" w14:textId="77777777" w:rsidR="00267BB5" w:rsidRPr="0027789B" w:rsidRDefault="00267BB5" w:rsidP="00267BB5">
            <w:pPr>
              <w:tabs>
                <w:tab w:val="left" w:pos="6480"/>
              </w:tabs>
              <w:jc w:val="both"/>
              <w:rPr>
                <w:sz w:val="16"/>
                <w:szCs w:val="16"/>
              </w:rPr>
            </w:pPr>
          </w:p>
        </w:tc>
        <w:tc>
          <w:tcPr>
            <w:tcW w:w="1067" w:type="dxa"/>
          </w:tcPr>
          <w:p w14:paraId="28FEF16B" w14:textId="77777777" w:rsidR="00267BB5" w:rsidRPr="0027789B" w:rsidRDefault="00267BB5" w:rsidP="00267BB5">
            <w:pPr>
              <w:tabs>
                <w:tab w:val="left" w:pos="6480"/>
              </w:tabs>
              <w:jc w:val="both"/>
              <w:rPr>
                <w:sz w:val="16"/>
                <w:szCs w:val="16"/>
              </w:rPr>
            </w:pPr>
          </w:p>
        </w:tc>
        <w:tc>
          <w:tcPr>
            <w:tcW w:w="1068" w:type="dxa"/>
          </w:tcPr>
          <w:p w14:paraId="57806B83" w14:textId="77777777" w:rsidR="00267BB5" w:rsidRPr="0027789B" w:rsidRDefault="00267BB5" w:rsidP="00267BB5">
            <w:pPr>
              <w:tabs>
                <w:tab w:val="left" w:pos="6480"/>
              </w:tabs>
              <w:jc w:val="both"/>
              <w:rPr>
                <w:sz w:val="16"/>
                <w:szCs w:val="16"/>
              </w:rPr>
            </w:pPr>
          </w:p>
        </w:tc>
      </w:tr>
      <w:tr w:rsidR="00267BB5" w:rsidRPr="0027789B" w14:paraId="05CA507B" w14:textId="77777777" w:rsidTr="00267BB5">
        <w:trPr>
          <w:jc w:val="center"/>
        </w:trPr>
        <w:tc>
          <w:tcPr>
            <w:tcW w:w="1067" w:type="dxa"/>
          </w:tcPr>
          <w:p w14:paraId="238876E6" w14:textId="77777777" w:rsidR="00267BB5" w:rsidRPr="0027789B" w:rsidRDefault="00267BB5" w:rsidP="00267BB5">
            <w:pPr>
              <w:tabs>
                <w:tab w:val="left" w:pos="6480"/>
              </w:tabs>
              <w:jc w:val="both"/>
              <w:rPr>
                <w:sz w:val="16"/>
                <w:szCs w:val="16"/>
              </w:rPr>
            </w:pPr>
            <w:r w:rsidRPr="0027789B">
              <w:rPr>
                <w:sz w:val="16"/>
                <w:szCs w:val="16"/>
              </w:rPr>
              <w:t>8:00</w:t>
            </w:r>
          </w:p>
        </w:tc>
        <w:tc>
          <w:tcPr>
            <w:tcW w:w="1067" w:type="dxa"/>
          </w:tcPr>
          <w:p w14:paraId="45460EE0" w14:textId="77777777" w:rsidR="00267BB5" w:rsidRPr="0027789B" w:rsidRDefault="00267BB5" w:rsidP="00267BB5">
            <w:pPr>
              <w:tabs>
                <w:tab w:val="left" w:pos="6480"/>
              </w:tabs>
              <w:jc w:val="both"/>
              <w:rPr>
                <w:sz w:val="16"/>
                <w:szCs w:val="16"/>
              </w:rPr>
            </w:pPr>
          </w:p>
        </w:tc>
        <w:tc>
          <w:tcPr>
            <w:tcW w:w="1068" w:type="dxa"/>
          </w:tcPr>
          <w:p w14:paraId="2BB57F7E" w14:textId="77777777" w:rsidR="00267BB5" w:rsidRPr="0027789B" w:rsidRDefault="00267BB5" w:rsidP="00267BB5">
            <w:pPr>
              <w:tabs>
                <w:tab w:val="left" w:pos="6480"/>
              </w:tabs>
              <w:jc w:val="both"/>
              <w:rPr>
                <w:sz w:val="16"/>
                <w:szCs w:val="16"/>
              </w:rPr>
            </w:pPr>
          </w:p>
        </w:tc>
        <w:tc>
          <w:tcPr>
            <w:tcW w:w="1067" w:type="dxa"/>
          </w:tcPr>
          <w:p w14:paraId="6CE8CFA0" w14:textId="77777777" w:rsidR="00267BB5" w:rsidRPr="0027789B" w:rsidRDefault="00267BB5" w:rsidP="00267BB5">
            <w:pPr>
              <w:tabs>
                <w:tab w:val="left" w:pos="6480"/>
              </w:tabs>
              <w:jc w:val="both"/>
              <w:rPr>
                <w:sz w:val="16"/>
                <w:szCs w:val="16"/>
              </w:rPr>
            </w:pPr>
          </w:p>
        </w:tc>
        <w:tc>
          <w:tcPr>
            <w:tcW w:w="1068" w:type="dxa"/>
          </w:tcPr>
          <w:p w14:paraId="3A721893" w14:textId="77777777" w:rsidR="00267BB5" w:rsidRPr="0027789B" w:rsidRDefault="00267BB5" w:rsidP="00267BB5">
            <w:pPr>
              <w:tabs>
                <w:tab w:val="left" w:pos="6480"/>
              </w:tabs>
              <w:jc w:val="both"/>
              <w:rPr>
                <w:sz w:val="16"/>
                <w:szCs w:val="16"/>
              </w:rPr>
            </w:pPr>
          </w:p>
        </w:tc>
        <w:tc>
          <w:tcPr>
            <w:tcW w:w="1067" w:type="dxa"/>
          </w:tcPr>
          <w:p w14:paraId="46258529" w14:textId="77777777" w:rsidR="00267BB5" w:rsidRPr="0027789B" w:rsidRDefault="00267BB5" w:rsidP="00267BB5">
            <w:pPr>
              <w:tabs>
                <w:tab w:val="left" w:pos="6480"/>
              </w:tabs>
              <w:jc w:val="both"/>
              <w:rPr>
                <w:sz w:val="16"/>
                <w:szCs w:val="16"/>
              </w:rPr>
            </w:pPr>
          </w:p>
        </w:tc>
        <w:tc>
          <w:tcPr>
            <w:tcW w:w="1067" w:type="dxa"/>
          </w:tcPr>
          <w:p w14:paraId="287253DB" w14:textId="77777777" w:rsidR="00267BB5" w:rsidRPr="0027789B" w:rsidRDefault="00267BB5" w:rsidP="00267BB5">
            <w:pPr>
              <w:tabs>
                <w:tab w:val="left" w:pos="6480"/>
              </w:tabs>
              <w:jc w:val="both"/>
              <w:rPr>
                <w:sz w:val="16"/>
                <w:szCs w:val="16"/>
              </w:rPr>
            </w:pPr>
          </w:p>
        </w:tc>
        <w:tc>
          <w:tcPr>
            <w:tcW w:w="1068" w:type="dxa"/>
          </w:tcPr>
          <w:p w14:paraId="4507C9DB" w14:textId="77777777" w:rsidR="00267BB5" w:rsidRPr="0027789B" w:rsidRDefault="00267BB5" w:rsidP="00267BB5">
            <w:pPr>
              <w:tabs>
                <w:tab w:val="left" w:pos="6480"/>
              </w:tabs>
              <w:jc w:val="both"/>
              <w:rPr>
                <w:sz w:val="16"/>
                <w:szCs w:val="16"/>
              </w:rPr>
            </w:pPr>
          </w:p>
        </w:tc>
        <w:tc>
          <w:tcPr>
            <w:tcW w:w="1067" w:type="dxa"/>
          </w:tcPr>
          <w:p w14:paraId="56D7B378" w14:textId="77777777" w:rsidR="00267BB5" w:rsidRPr="0027789B" w:rsidRDefault="00267BB5" w:rsidP="00267BB5">
            <w:pPr>
              <w:tabs>
                <w:tab w:val="left" w:pos="6480"/>
              </w:tabs>
              <w:jc w:val="both"/>
              <w:rPr>
                <w:sz w:val="16"/>
                <w:szCs w:val="16"/>
              </w:rPr>
            </w:pPr>
          </w:p>
        </w:tc>
        <w:tc>
          <w:tcPr>
            <w:tcW w:w="1068" w:type="dxa"/>
          </w:tcPr>
          <w:p w14:paraId="2C0CE56D" w14:textId="77777777" w:rsidR="00267BB5" w:rsidRPr="0027789B" w:rsidRDefault="00267BB5" w:rsidP="00267BB5">
            <w:pPr>
              <w:tabs>
                <w:tab w:val="left" w:pos="6480"/>
              </w:tabs>
              <w:jc w:val="both"/>
              <w:rPr>
                <w:sz w:val="16"/>
                <w:szCs w:val="16"/>
              </w:rPr>
            </w:pPr>
          </w:p>
        </w:tc>
      </w:tr>
      <w:tr w:rsidR="00267BB5" w:rsidRPr="0027789B" w14:paraId="7AEEFEBD" w14:textId="77777777" w:rsidTr="00267BB5">
        <w:trPr>
          <w:jc w:val="center"/>
        </w:trPr>
        <w:tc>
          <w:tcPr>
            <w:tcW w:w="1067" w:type="dxa"/>
          </w:tcPr>
          <w:p w14:paraId="3D7E35E8" w14:textId="77777777" w:rsidR="00267BB5" w:rsidRPr="0027789B" w:rsidRDefault="00267BB5" w:rsidP="00267BB5">
            <w:pPr>
              <w:tabs>
                <w:tab w:val="left" w:pos="6480"/>
              </w:tabs>
              <w:jc w:val="both"/>
              <w:rPr>
                <w:sz w:val="16"/>
                <w:szCs w:val="16"/>
              </w:rPr>
            </w:pPr>
            <w:r w:rsidRPr="0027789B">
              <w:rPr>
                <w:sz w:val="16"/>
                <w:szCs w:val="16"/>
              </w:rPr>
              <w:lastRenderedPageBreak/>
              <w:t>9:00</w:t>
            </w:r>
          </w:p>
        </w:tc>
        <w:tc>
          <w:tcPr>
            <w:tcW w:w="1067" w:type="dxa"/>
          </w:tcPr>
          <w:p w14:paraId="2DE6DA1A" w14:textId="77777777" w:rsidR="00267BB5" w:rsidRPr="0027789B" w:rsidRDefault="00267BB5" w:rsidP="00267BB5">
            <w:pPr>
              <w:tabs>
                <w:tab w:val="left" w:pos="6480"/>
              </w:tabs>
              <w:jc w:val="both"/>
              <w:rPr>
                <w:sz w:val="16"/>
                <w:szCs w:val="16"/>
              </w:rPr>
            </w:pPr>
          </w:p>
        </w:tc>
        <w:tc>
          <w:tcPr>
            <w:tcW w:w="1068" w:type="dxa"/>
          </w:tcPr>
          <w:p w14:paraId="0C49E29A" w14:textId="77777777" w:rsidR="00267BB5" w:rsidRPr="0027789B" w:rsidRDefault="00267BB5" w:rsidP="00267BB5">
            <w:pPr>
              <w:tabs>
                <w:tab w:val="left" w:pos="6480"/>
              </w:tabs>
              <w:jc w:val="both"/>
              <w:rPr>
                <w:sz w:val="16"/>
                <w:szCs w:val="16"/>
              </w:rPr>
            </w:pPr>
          </w:p>
        </w:tc>
        <w:tc>
          <w:tcPr>
            <w:tcW w:w="1067" w:type="dxa"/>
          </w:tcPr>
          <w:p w14:paraId="0986E88B" w14:textId="77777777" w:rsidR="00267BB5" w:rsidRPr="0027789B" w:rsidRDefault="00267BB5" w:rsidP="00267BB5">
            <w:pPr>
              <w:tabs>
                <w:tab w:val="left" w:pos="6480"/>
              </w:tabs>
              <w:jc w:val="both"/>
              <w:rPr>
                <w:sz w:val="16"/>
                <w:szCs w:val="16"/>
              </w:rPr>
            </w:pPr>
          </w:p>
        </w:tc>
        <w:tc>
          <w:tcPr>
            <w:tcW w:w="1068" w:type="dxa"/>
          </w:tcPr>
          <w:p w14:paraId="1793D1A0" w14:textId="77777777" w:rsidR="00267BB5" w:rsidRPr="0027789B" w:rsidRDefault="00267BB5" w:rsidP="00267BB5">
            <w:pPr>
              <w:tabs>
                <w:tab w:val="left" w:pos="6480"/>
              </w:tabs>
              <w:jc w:val="both"/>
              <w:rPr>
                <w:sz w:val="16"/>
                <w:szCs w:val="16"/>
              </w:rPr>
            </w:pPr>
          </w:p>
        </w:tc>
        <w:tc>
          <w:tcPr>
            <w:tcW w:w="1067" w:type="dxa"/>
          </w:tcPr>
          <w:p w14:paraId="1CDD9249" w14:textId="77777777" w:rsidR="00267BB5" w:rsidRPr="0027789B" w:rsidRDefault="00267BB5" w:rsidP="00267BB5">
            <w:pPr>
              <w:tabs>
                <w:tab w:val="left" w:pos="6480"/>
              </w:tabs>
              <w:jc w:val="both"/>
              <w:rPr>
                <w:sz w:val="16"/>
                <w:szCs w:val="16"/>
              </w:rPr>
            </w:pPr>
          </w:p>
        </w:tc>
        <w:tc>
          <w:tcPr>
            <w:tcW w:w="1067" w:type="dxa"/>
          </w:tcPr>
          <w:p w14:paraId="7B41C5F8" w14:textId="77777777" w:rsidR="00267BB5" w:rsidRPr="0027789B" w:rsidRDefault="00267BB5" w:rsidP="00267BB5">
            <w:pPr>
              <w:tabs>
                <w:tab w:val="left" w:pos="6480"/>
              </w:tabs>
              <w:jc w:val="both"/>
              <w:rPr>
                <w:sz w:val="16"/>
                <w:szCs w:val="16"/>
              </w:rPr>
            </w:pPr>
          </w:p>
        </w:tc>
        <w:tc>
          <w:tcPr>
            <w:tcW w:w="1068" w:type="dxa"/>
          </w:tcPr>
          <w:p w14:paraId="2554B7ED" w14:textId="77777777" w:rsidR="00267BB5" w:rsidRPr="0027789B" w:rsidRDefault="00267BB5" w:rsidP="00267BB5">
            <w:pPr>
              <w:tabs>
                <w:tab w:val="left" w:pos="6480"/>
              </w:tabs>
              <w:jc w:val="both"/>
              <w:rPr>
                <w:sz w:val="16"/>
                <w:szCs w:val="16"/>
              </w:rPr>
            </w:pPr>
          </w:p>
        </w:tc>
        <w:tc>
          <w:tcPr>
            <w:tcW w:w="1067" w:type="dxa"/>
          </w:tcPr>
          <w:p w14:paraId="3E20CA40" w14:textId="77777777" w:rsidR="00267BB5" w:rsidRPr="0027789B" w:rsidRDefault="00267BB5" w:rsidP="00267BB5">
            <w:pPr>
              <w:tabs>
                <w:tab w:val="left" w:pos="6480"/>
              </w:tabs>
              <w:jc w:val="both"/>
              <w:rPr>
                <w:sz w:val="16"/>
                <w:szCs w:val="16"/>
              </w:rPr>
            </w:pPr>
          </w:p>
        </w:tc>
        <w:tc>
          <w:tcPr>
            <w:tcW w:w="1068" w:type="dxa"/>
          </w:tcPr>
          <w:p w14:paraId="0AFBDA36" w14:textId="77777777" w:rsidR="00267BB5" w:rsidRPr="0027789B" w:rsidRDefault="00267BB5" w:rsidP="00267BB5">
            <w:pPr>
              <w:tabs>
                <w:tab w:val="left" w:pos="6480"/>
              </w:tabs>
              <w:jc w:val="both"/>
              <w:rPr>
                <w:sz w:val="16"/>
                <w:szCs w:val="16"/>
              </w:rPr>
            </w:pPr>
          </w:p>
        </w:tc>
      </w:tr>
      <w:tr w:rsidR="00267BB5" w:rsidRPr="0027789B" w14:paraId="6E58C0BC" w14:textId="77777777" w:rsidTr="00267BB5">
        <w:trPr>
          <w:jc w:val="center"/>
        </w:trPr>
        <w:tc>
          <w:tcPr>
            <w:tcW w:w="1067" w:type="dxa"/>
          </w:tcPr>
          <w:p w14:paraId="3DAF908C" w14:textId="77777777" w:rsidR="00267BB5" w:rsidRPr="0027789B" w:rsidRDefault="00267BB5" w:rsidP="00267BB5">
            <w:pPr>
              <w:tabs>
                <w:tab w:val="left" w:pos="6480"/>
              </w:tabs>
              <w:jc w:val="both"/>
              <w:rPr>
                <w:sz w:val="16"/>
                <w:szCs w:val="16"/>
              </w:rPr>
            </w:pPr>
            <w:r w:rsidRPr="0027789B">
              <w:rPr>
                <w:sz w:val="16"/>
                <w:szCs w:val="16"/>
              </w:rPr>
              <w:t>10:00</w:t>
            </w:r>
          </w:p>
        </w:tc>
        <w:tc>
          <w:tcPr>
            <w:tcW w:w="1067" w:type="dxa"/>
          </w:tcPr>
          <w:p w14:paraId="13491651" w14:textId="77777777" w:rsidR="00267BB5" w:rsidRPr="0027789B" w:rsidRDefault="00267BB5" w:rsidP="00267BB5">
            <w:pPr>
              <w:tabs>
                <w:tab w:val="left" w:pos="6480"/>
              </w:tabs>
              <w:jc w:val="both"/>
              <w:rPr>
                <w:sz w:val="16"/>
                <w:szCs w:val="16"/>
              </w:rPr>
            </w:pPr>
          </w:p>
        </w:tc>
        <w:tc>
          <w:tcPr>
            <w:tcW w:w="1068" w:type="dxa"/>
          </w:tcPr>
          <w:p w14:paraId="75E9D187" w14:textId="77777777" w:rsidR="00267BB5" w:rsidRPr="0027789B" w:rsidRDefault="00267BB5" w:rsidP="00267BB5">
            <w:pPr>
              <w:tabs>
                <w:tab w:val="left" w:pos="6480"/>
              </w:tabs>
              <w:jc w:val="both"/>
              <w:rPr>
                <w:sz w:val="16"/>
                <w:szCs w:val="16"/>
              </w:rPr>
            </w:pPr>
          </w:p>
        </w:tc>
        <w:tc>
          <w:tcPr>
            <w:tcW w:w="1067" w:type="dxa"/>
          </w:tcPr>
          <w:p w14:paraId="26181969" w14:textId="77777777" w:rsidR="00267BB5" w:rsidRPr="0027789B" w:rsidRDefault="00267BB5" w:rsidP="00267BB5">
            <w:pPr>
              <w:tabs>
                <w:tab w:val="left" w:pos="6480"/>
              </w:tabs>
              <w:jc w:val="both"/>
              <w:rPr>
                <w:sz w:val="16"/>
                <w:szCs w:val="16"/>
              </w:rPr>
            </w:pPr>
          </w:p>
        </w:tc>
        <w:tc>
          <w:tcPr>
            <w:tcW w:w="1068" w:type="dxa"/>
          </w:tcPr>
          <w:p w14:paraId="0593A43E" w14:textId="77777777" w:rsidR="00267BB5" w:rsidRPr="0027789B" w:rsidRDefault="00267BB5" w:rsidP="00267BB5">
            <w:pPr>
              <w:tabs>
                <w:tab w:val="left" w:pos="6480"/>
              </w:tabs>
              <w:jc w:val="both"/>
              <w:rPr>
                <w:sz w:val="16"/>
                <w:szCs w:val="16"/>
              </w:rPr>
            </w:pPr>
          </w:p>
        </w:tc>
        <w:tc>
          <w:tcPr>
            <w:tcW w:w="1067" w:type="dxa"/>
          </w:tcPr>
          <w:p w14:paraId="0C10A2DD" w14:textId="77777777" w:rsidR="00267BB5" w:rsidRPr="0027789B" w:rsidRDefault="00267BB5" w:rsidP="00267BB5">
            <w:pPr>
              <w:tabs>
                <w:tab w:val="left" w:pos="6480"/>
              </w:tabs>
              <w:jc w:val="both"/>
              <w:rPr>
                <w:sz w:val="16"/>
                <w:szCs w:val="16"/>
              </w:rPr>
            </w:pPr>
          </w:p>
        </w:tc>
        <w:tc>
          <w:tcPr>
            <w:tcW w:w="1067" w:type="dxa"/>
          </w:tcPr>
          <w:p w14:paraId="75449E92" w14:textId="77777777" w:rsidR="00267BB5" w:rsidRPr="0027789B" w:rsidRDefault="00267BB5" w:rsidP="00267BB5">
            <w:pPr>
              <w:tabs>
                <w:tab w:val="left" w:pos="6480"/>
              </w:tabs>
              <w:jc w:val="both"/>
              <w:rPr>
                <w:sz w:val="16"/>
                <w:szCs w:val="16"/>
              </w:rPr>
            </w:pPr>
          </w:p>
        </w:tc>
        <w:tc>
          <w:tcPr>
            <w:tcW w:w="1068" w:type="dxa"/>
          </w:tcPr>
          <w:p w14:paraId="64844045" w14:textId="77777777" w:rsidR="00267BB5" w:rsidRPr="0027789B" w:rsidRDefault="00267BB5" w:rsidP="00267BB5">
            <w:pPr>
              <w:tabs>
                <w:tab w:val="left" w:pos="6480"/>
              </w:tabs>
              <w:jc w:val="both"/>
              <w:rPr>
                <w:sz w:val="16"/>
                <w:szCs w:val="16"/>
              </w:rPr>
            </w:pPr>
          </w:p>
        </w:tc>
        <w:tc>
          <w:tcPr>
            <w:tcW w:w="1067" w:type="dxa"/>
          </w:tcPr>
          <w:p w14:paraId="40A2935F" w14:textId="77777777" w:rsidR="00267BB5" w:rsidRPr="0027789B" w:rsidRDefault="00267BB5" w:rsidP="00267BB5">
            <w:pPr>
              <w:tabs>
                <w:tab w:val="left" w:pos="6480"/>
              </w:tabs>
              <w:jc w:val="both"/>
              <w:rPr>
                <w:sz w:val="16"/>
                <w:szCs w:val="16"/>
              </w:rPr>
            </w:pPr>
          </w:p>
        </w:tc>
        <w:tc>
          <w:tcPr>
            <w:tcW w:w="1068" w:type="dxa"/>
          </w:tcPr>
          <w:p w14:paraId="37FC8A77" w14:textId="77777777" w:rsidR="00267BB5" w:rsidRPr="0027789B" w:rsidRDefault="00267BB5" w:rsidP="00267BB5">
            <w:pPr>
              <w:tabs>
                <w:tab w:val="left" w:pos="6480"/>
              </w:tabs>
              <w:jc w:val="both"/>
              <w:rPr>
                <w:sz w:val="16"/>
                <w:szCs w:val="16"/>
              </w:rPr>
            </w:pPr>
          </w:p>
        </w:tc>
      </w:tr>
      <w:tr w:rsidR="00267BB5" w:rsidRPr="0027789B" w14:paraId="08BF9B61" w14:textId="77777777" w:rsidTr="00267BB5">
        <w:trPr>
          <w:jc w:val="center"/>
        </w:trPr>
        <w:tc>
          <w:tcPr>
            <w:tcW w:w="1067" w:type="dxa"/>
          </w:tcPr>
          <w:p w14:paraId="5DE6CD67" w14:textId="77777777" w:rsidR="00267BB5" w:rsidRPr="0027789B" w:rsidRDefault="00267BB5" w:rsidP="00267BB5">
            <w:pPr>
              <w:tabs>
                <w:tab w:val="left" w:pos="6480"/>
              </w:tabs>
              <w:jc w:val="both"/>
              <w:rPr>
                <w:sz w:val="16"/>
                <w:szCs w:val="16"/>
              </w:rPr>
            </w:pPr>
            <w:r w:rsidRPr="0027789B">
              <w:rPr>
                <w:sz w:val="16"/>
                <w:szCs w:val="16"/>
              </w:rPr>
              <w:t>11:00</w:t>
            </w:r>
          </w:p>
        </w:tc>
        <w:tc>
          <w:tcPr>
            <w:tcW w:w="1067" w:type="dxa"/>
          </w:tcPr>
          <w:p w14:paraId="7A62D1D7" w14:textId="77777777" w:rsidR="00267BB5" w:rsidRPr="0027789B" w:rsidRDefault="00267BB5" w:rsidP="00267BB5">
            <w:pPr>
              <w:tabs>
                <w:tab w:val="left" w:pos="6480"/>
              </w:tabs>
              <w:jc w:val="both"/>
              <w:rPr>
                <w:sz w:val="16"/>
                <w:szCs w:val="16"/>
              </w:rPr>
            </w:pPr>
          </w:p>
        </w:tc>
        <w:tc>
          <w:tcPr>
            <w:tcW w:w="1068" w:type="dxa"/>
          </w:tcPr>
          <w:p w14:paraId="3C1914C0" w14:textId="77777777" w:rsidR="00267BB5" w:rsidRPr="0027789B" w:rsidRDefault="00267BB5" w:rsidP="00267BB5">
            <w:pPr>
              <w:tabs>
                <w:tab w:val="left" w:pos="6480"/>
              </w:tabs>
              <w:jc w:val="both"/>
              <w:rPr>
                <w:sz w:val="16"/>
                <w:szCs w:val="16"/>
              </w:rPr>
            </w:pPr>
          </w:p>
        </w:tc>
        <w:tc>
          <w:tcPr>
            <w:tcW w:w="1067" w:type="dxa"/>
          </w:tcPr>
          <w:p w14:paraId="293DD61B" w14:textId="77777777" w:rsidR="00267BB5" w:rsidRPr="0027789B" w:rsidRDefault="00267BB5" w:rsidP="00267BB5">
            <w:pPr>
              <w:tabs>
                <w:tab w:val="left" w:pos="6480"/>
              </w:tabs>
              <w:jc w:val="both"/>
              <w:rPr>
                <w:sz w:val="16"/>
                <w:szCs w:val="16"/>
              </w:rPr>
            </w:pPr>
          </w:p>
        </w:tc>
        <w:tc>
          <w:tcPr>
            <w:tcW w:w="1068" w:type="dxa"/>
          </w:tcPr>
          <w:p w14:paraId="444B80CE" w14:textId="77777777" w:rsidR="00267BB5" w:rsidRPr="0027789B" w:rsidRDefault="00267BB5" w:rsidP="00267BB5">
            <w:pPr>
              <w:tabs>
                <w:tab w:val="left" w:pos="6480"/>
              </w:tabs>
              <w:jc w:val="both"/>
              <w:rPr>
                <w:sz w:val="16"/>
                <w:szCs w:val="16"/>
              </w:rPr>
            </w:pPr>
          </w:p>
        </w:tc>
        <w:tc>
          <w:tcPr>
            <w:tcW w:w="1067" w:type="dxa"/>
          </w:tcPr>
          <w:p w14:paraId="1F99451E" w14:textId="77777777" w:rsidR="00267BB5" w:rsidRPr="0027789B" w:rsidRDefault="00267BB5" w:rsidP="00267BB5">
            <w:pPr>
              <w:tabs>
                <w:tab w:val="left" w:pos="6480"/>
              </w:tabs>
              <w:jc w:val="both"/>
              <w:rPr>
                <w:sz w:val="16"/>
                <w:szCs w:val="16"/>
              </w:rPr>
            </w:pPr>
          </w:p>
        </w:tc>
        <w:tc>
          <w:tcPr>
            <w:tcW w:w="1067" w:type="dxa"/>
          </w:tcPr>
          <w:p w14:paraId="55FD410D" w14:textId="77777777" w:rsidR="00267BB5" w:rsidRPr="0027789B" w:rsidRDefault="00267BB5" w:rsidP="00267BB5">
            <w:pPr>
              <w:tabs>
                <w:tab w:val="left" w:pos="6480"/>
              </w:tabs>
              <w:jc w:val="both"/>
              <w:rPr>
                <w:sz w:val="16"/>
                <w:szCs w:val="16"/>
              </w:rPr>
            </w:pPr>
          </w:p>
        </w:tc>
        <w:tc>
          <w:tcPr>
            <w:tcW w:w="1068" w:type="dxa"/>
          </w:tcPr>
          <w:p w14:paraId="6FB56F8E" w14:textId="77777777" w:rsidR="00267BB5" w:rsidRPr="0027789B" w:rsidRDefault="00267BB5" w:rsidP="00267BB5">
            <w:pPr>
              <w:tabs>
                <w:tab w:val="left" w:pos="6480"/>
              </w:tabs>
              <w:jc w:val="both"/>
              <w:rPr>
                <w:sz w:val="16"/>
                <w:szCs w:val="16"/>
              </w:rPr>
            </w:pPr>
          </w:p>
        </w:tc>
        <w:tc>
          <w:tcPr>
            <w:tcW w:w="1067" w:type="dxa"/>
          </w:tcPr>
          <w:p w14:paraId="1E8580A4" w14:textId="77777777" w:rsidR="00267BB5" w:rsidRPr="0027789B" w:rsidRDefault="00267BB5" w:rsidP="00267BB5">
            <w:pPr>
              <w:tabs>
                <w:tab w:val="left" w:pos="6480"/>
              </w:tabs>
              <w:jc w:val="both"/>
              <w:rPr>
                <w:sz w:val="16"/>
                <w:szCs w:val="16"/>
              </w:rPr>
            </w:pPr>
          </w:p>
        </w:tc>
        <w:tc>
          <w:tcPr>
            <w:tcW w:w="1068" w:type="dxa"/>
          </w:tcPr>
          <w:p w14:paraId="02A4D658" w14:textId="77777777" w:rsidR="00267BB5" w:rsidRPr="0027789B" w:rsidRDefault="00267BB5" w:rsidP="00267BB5">
            <w:pPr>
              <w:tabs>
                <w:tab w:val="left" w:pos="6480"/>
              </w:tabs>
              <w:jc w:val="both"/>
              <w:rPr>
                <w:sz w:val="16"/>
                <w:szCs w:val="16"/>
              </w:rPr>
            </w:pPr>
          </w:p>
        </w:tc>
      </w:tr>
      <w:tr w:rsidR="00267BB5" w:rsidRPr="0027789B" w14:paraId="7E8555A7" w14:textId="77777777" w:rsidTr="00267BB5">
        <w:trPr>
          <w:jc w:val="center"/>
        </w:trPr>
        <w:tc>
          <w:tcPr>
            <w:tcW w:w="1067" w:type="dxa"/>
          </w:tcPr>
          <w:p w14:paraId="39B88E90" w14:textId="77777777" w:rsidR="00267BB5" w:rsidRPr="0027789B" w:rsidRDefault="00267BB5" w:rsidP="00267BB5">
            <w:pPr>
              <w:tabs>
                <w:tab w:val="left" w:pos="6480"/>
              </w:tabs>
              <w:jc w:val="both"/>
              <w:rPr>
                <w:sz w:val="16"/>
                <w:szCs w:val="16"/>
              </w:rPr>
            </w:pPr>
            <w:r w:rsidRPr="0027789B">
              <w:rPr>
                <w:sz w:val="16"/>
                <w:szCs w:val="16"/>
              </w:rPr>
              <w:t>12:00</w:t>
            </w:r>
          </w:p>
        </w:tc>
        <w:tc>
          <w:tcPr>
            <w:tcW w:w="1067" w:type="dxa"/>
          </w:tcPr>
          <w:p w14:paraId="78420F3A" w14:textId="77777777" w:rsidR="00267BB5" w:rsidRPr="0027789B" w:rsidRDefault="00267BB5" w:rsidP="00267BB5">
            <w:pPr>
              <w:tabs>
                <w:tab w:val="left" w:pos="6480"/>
              </w:tabs>
              <w:jc w:val="both"/>
              <w:rPr>
                <w:sz w:val="16"/>
                <w:szCs w:val="16"/>
              </w:rPr>
            </w:pPr>
          </w:p>
        </w:tc>
        <w:tc>
          <w:tcPr>
            <w:tcW w:w="1068" w:type="dxa"/>
          </w:tcPr>
          <w:p w14:paraId="194F2EB1" w14:textId="77777777" w:rsidR="00267BB5" w:rsidRPr="0027789B" w:rsidRDefault="00267BB5" w:rsidP="00267BB5">
            <w:pPr>
              <w:tabs>
                <w:tab w:val="left" w:pos="6480"/>
              </w:tabs>
              <w:jc w:val="both"/>
              <w:rPr>
                <w:sz w:val="16"/>
                <w:szCs w:val="16"/>
              </w:rPr>
            </w:pPr>
          </w:p>
        </w:tc>
        <w:tc>
          <w:tcPr>
            <w:tcW w:w="1067" w:type="dxa"/>
          </w:tcPr>
          <w:p w14:paraId="0DBEF147" w14:textId="77777777" w:rsidR="00267BB5" w:rsidRPr="0027789B" w:rsidRDefault="00267BB5" w:rsidP="00267BB5">
            <w:pPr>
              <w:tabs>
                <w:tab w:val="left" w:pos="6480"/>
              </w:tabs>
              <w:jc w:val="both"/>
              <w:rPr>
                <w:sz w:val="16"/>
                <w:szCs w:val="16"/>
              </w:rPr>
            </w:pPr>
          </w:p>
        </w:tc>
        <w:tc>
          <w:tcPr>
            <w:tcW w:w="1068" w:type="dxa"/>
          </w:tcPr>
          <w:p w14:paraId="713AF460" w14:textId="77777777" w:rsidR="00267BB5" w:rsidRPr="0027789B" w:rsidRDefault="00267BB5" w:rsidP="00267BB5">
            <w:pPr>
              <w:tabs>
                <w:tab w:val="left" w:pos="6480"/>
              </w:tabs>
              <w:jc w:val="both"/>
              <w:rPr>
                <w:sz w:val="16"/>
                <w:szCs w:val="16"/>
              </w:rPr>
            </w:pPr>
          </w:p>
        </w:tc>
        <w:tc>
          <w:tcPr>
            <w:tcW w:w="1067" w:type="dxa"/>
          </w:tcPr>
          <w:p w14:paraId="7DBE00EE" w14:textId="77777777" w:rsidR="00267BB5" w:rsidRPr="0027789B" w:rsidRDefault="00267BB5" w:rsidP="00267BB5">
            <w:pPr>
              <w:tabs>
                <w:tab w:val="left" w:pos="6480"/>
              </w:tabs>
              <w:jc w:val="both"/>
              <w:rPr>
                <w:sz w:val="16"/>
                <w:szCs w:val="16"/>
              </w:rPr>
            </w:pPr>
          </w:p>
        </w:tc>
        <w:tc>
          <w:tcPr>
            <w:tcW w:w="1067" w:type="dxa"/>
          </w:tcPr>
          <w:p w14:paraId="7D36A69D" w14:textId="77777777" w:rsidR="00267BB5" w:rsidRPr="0027789B" w:rsidRDefault="00267BB5" w:rsidP="00267BB5">
            <w:pPr>
              <w:tabs>
                <w:tab w:val="left" w:pos="6480"/>
              </w:tabs>
              <w:jc w:val="both"/>
              <w:rPr>
                <w:sz w:val="16"/>
                <w:szCs w:val="16"/>
              </w:rPr>
            </w:pPr>
          </w:p>
        </w:tc>
        <w:tc>
          <w:tcPr>
            <w:tcW w:w="1068" w:type="dxa"/>
          </w:tcPr>
          <w:p w14:paraId="34A2D47D" w14:textId="77777777" w:rsidR="00267BB5" w:rsidRPr="0027789B" w:rsidRDefault="00267BB5" w:rsidP="00267BB5">
            <w:pPr>
              <w:tabs>
                <w:tab w:val="left" w:pos="6480"/>
              </w:tabs>
              <w:jc w:val="both"/>
              <w:rPr>
                <w:sz w:val="16"/>
                <w:szCs w:val="16"/>
              </w:rPr>
            </w:pPr>
          </w:p>
        </w:tc>
        <w:tc>
          <w:tcPr>
            <w:tcW w:w="1067" w:type="dxa"/>
          </w:tcPr>
          <w:p w14:paraId="65BE9833" w14:textId="77777777" w:rsidR="00267BB5" w:rsidRPr="0027789B" w:rsidRDefault="00267BB5" w:rsidP="00267BB5">
            <w:pPr>
              <w:tabs>
                <w:tab w:val="left" w:pos="6480"/>
              </w:tabs>
              <w:jc w:val="both"/>
              <w:rPr>
                <w:sz w:val="16"/>
                <w:szCs w:val="16"/>
              </w:rPr>
            </w:pPr>
          </w:p>
        </w:tc>
        <w:tc>
          <w:tcPr>
            <w:tcW w:w="1068" w:type="dxa"/>
          </w:tcPr>
          <w:p w14:paraId="5BE1BFBB" w14:textId="77777777" w:rsidR="00267BB5" w:rsidRPr="0027789B" w:rsidRDefault="00267BB5" w:rsidP="00267BB5">
            <w:pPr>
              <w:tabs>
                <w:tab w:val="left" w:pos="6480"/>
              </w:tabs>
              <w:jc w:val="both"/>
              <w:rPr>
                <w:sz w:val="16"/>
                <w:szCs w:val="16"/>
              </w:rPr>
            </w:pPr>
          </w:p>
        </w:tc>
      </w:tr>
      <w:tr w:rsidR="00267BB5" w:rsidRPr="0027789B" w14:paraId="5A65813A" w14:textId="77777777" w:rsidTr="00267BB5">
        <w:trPr>
          <w:jc w:val="center"/>
        </w:trPr>
        <w:tc>
          <w:tcPr>
            <w:tcW w:w="1067" w:type="dxa"/>
          </w:tcPr>
          <w:p w14:paraId="5C33D703" w14:textId="77777777" w:rsidR="00267BB5" w:rsidRPr="0027789B" w:rsidRDefault="00267BB5" w:rsidP="00267BB5">
            <w:pPr>
              <w:tabs>
                <w:tab w:val="left" w:pos="6480"/>
              </w:tabs>
              <w:jc w:val="both"/>
              <w:rPr>
                <w:sz w:val="16"/>
                <w:szCs w:val="16"/>
              </w:rPr>
            </w:pPr>
            <w:r w:rsidRPr="0027789B">
              <w:rPr>
                <w:sz w:val="16"/>
                <w:szCs w:val="16"/>
              </w:rPr>
              <w:t>13:00</w:t>
            </w:r>
          </w:p>
        </w:tc>
        <w:tc>
          <w:tcPr>
            <w:tcW w:w="1067" w:type="dxa"/>
          </w:tcPr>
          <w:p w14:paraId="4BCC64EE" w14:textId="77777777" w:rsidR="00267BB5" w:rsidRPr="0027789B" w:rsidRDefault="00267BB5" w:rsidP="00267BB5">
            <w:pPr>
              <w:tabs>
                <w:tab w:val="left" w:pos="6480"/>
              </w:tabs>
              <w:jc w:val="both"/>
              <w:rPr>
                <w:sz w:val="16"/>
                <w:szCs w:val="16"/>
              </w:rPr>
            </w:pPr>
          </w:p>
        </w:tc>
        <w:tc>
          <w:tcPr>
            <w:tcW w:w="1068" w:type="dxa"/>
          </w:tcPr>
          <w:p w14:paraId="7B48EC4D" w14:textId="77777777" w:rsidR="00267BB5" w:rsidRPr="0027789B" w:rsidRDefault="00267BB5" w:rsidP="00267BB5">
            <w:pPr>
              <w:tabs>
                <w:tab w:val="left" w:pos="6480"/>
              </w:tabs>
              <w:jc w:val="both"/>
              <w:rPr>
                <w:sz w:val="16"/>
                <w:szCs w:val="16"/>
              </w:rPr>
            </w:pPr>
          </w:p>
        </w:tc>
        <w:tc>
          <w:tcPr>
            <w:tcW w:w="1067" w:type="dxa"/>
          </w:tcPr>
          <w:p w14:paraId="379E511E" w14:textId="77777777" w:rsidR="00267BB5" w:rsidRPr="0027789B" w:rsidRDefault="00267BB5" w:rsidP="00267BB5">
            <w:pPr>
              <w:tabs>
                <w:tab w:val="left" w:pos="6480"/>
              </w:tabs>
              <w:jc w:val="both"/>
              <w:rPr>
                <w:sz w:val="16"/>
                <w:szCs w:val="16"/>
              </w:rPr>
            </w:pPr>
          </w:p>
        </w:tc>
        <w:tc>
          <w:tcPr>
            <w:tcW w:w="1068" w:type="dxa"/>
          </w:tcPr>
          <w:p w14:paraId="4F9AAB36" w14:textId="77777777" w:rsidR="00267BB5" w:rsidRPr="0027789B" w:rsidRDefault="00267BB5" w:rsidP="00267BB5">
            <w:pPr>
              <w:tabs>
                <w:tab w:val="left" w:pos="6480"/>
              </w:tabs>
              <w:jc w:val="both"/>
              <w:rPr>
                <w:sz w:val="16"/>
                <w:szCs w:val="16"/>
              </w:rPr>
            </w:pPr>
          </w:p>
        </w:tc>
        <w:tc>
          <w:tcPr>
            <w:tcW w:w="1067" w:type="dxa"/>
          </w:tcPr>
          <w:p w14:paraId="7BA7231C" w14:textId="77777777" w:rsidR="00267BB5" w:rsidRPr="0027789B" w:rsidRDefault="00267BB5" w:rsidP="00267BB5">
            <w:pPr>
              <w:tabs>
                <w:tab w:val="left" w:pos="6480"/>
              </w:tabs>
              <w:jc w:val="both"/>
              <w:rPr>
                <w:sz w:val="16"/>
                <w:szCs w:val="16"/>
              </w:rPr>
            </w:pPr>
          </w:p>
        </w:tc>
        <w:tc>
          <w:tcPr>
            <w:tcW w:w="1067" w:type="dxa"/>
          </w:tcPr>
          <w:p w14:paraId="55FAE9F9" w14:textId="77777777" w:rsidR="00267BB5" w:rsidRPr="0027789B" w:rsidRDefault="00267BB5" w:rsidP="00267BB5">
            <w:pPr>
              <w:tabs>
                <w:tab w:val="left" w:pos="6480"/>
              </w:tabs>
              <w:jc w:val="both"/>
              <w:rPr>
                <w:sz w:val="16"/>
                <w:szCs w:val="16"/>
              </w:rPr>
            </w:pPr>
          </w:p>
        </w:tc>
        <w:tc>
          <w:tcPr>
            <w:tcW w:w="1068" w:type="dxa"/>
          </w:tcPr>
          <w:p w14:paraId="15EED897" w14:textId="77777777" w:rsidR="00267BB5" w:rsidRPr="0027789B" w:rsidRDefault="00267BB5" w:rsidP="00267BB5">
            <w:pPr>
              <w:tabs>
                <w:tab w:val="left" w:pos="6480"/>
              </w:tabs>
              <w:jc w:val="both"/>
              <w:rPr>
                <w:sz w:val="16"/>
                <w:szCs w:val="16"/>
              </w:rPr>
            </w:pPr>
          </w:p>
        </w:tc>
        <w:tc>
          <w:tcPr>
            <w:tcW w:w="1067" w:type="dxa"/>
          </w:tcPr>
          <w:p w14:paraId="06F7D840" w14:textId="77777777" w:rsidR="00267BB5" w:rsidRPr="0027789B" w:rsidRDefault="00267BB5" w:rsidP="00267BB5">
            <w:pPr>
              <w:tabs>
                <w:tab w:val="left" w:pos="6480"/>
              </w:tabs>
              <w:jc w:val="both"/>
              <w:rPr>
                <w:sz w:val="16"/>
                <w:szCs w:val="16"/>
              </w:rPr>
            </w:pPr>
          </w:p>
        </w:tc>
        <w:tc>
          <w:tcPr>
            <w:tcW w:w="1068" w:type="dxa"/>
          </w:tcPr>
          <w:p w14:paraId="6D2FB5FC" w14:textId="77777777" w:rsidR="00267BB5" w:rsidRPr="0027789B" w:rsidRDefault="00267BB5" w:rsidP="00267BB5">
            <w:pPr>
              <w:tabs>
                <w:tab w:val="left" w:pos="6480"/>
              </w:tabs>
              <w:jc w:val="both"/>
              <w:rPr>
                <w:sz w:val="16"/>
                <w:szCs w:val="16"/>
              </w:rPr>
            </w:pPr>
          </w:p>
        </w:tc>
      </w:tr>
      <w:tr w:rsidR="00267BB5" w:rsidRPr="0027789B" w14:paraId="0553F496" w14:textId="77777777" w:rsidTr="00267BB5">
        <w:trPr>
          <w:jc w:val="center"/>
        </w:trPr>
        <w:tc>
          <w:tcPr>
            <w:tcW w:w="1067" w:type="dxa"/>
          </w:tcPr>
          <w:p w14:paraId="031B7181" w14:textId="77777777" w:rsidR="00267BB5" w:rsidRPr="0027789B" w:rsidRDefault="00267BB5" w:rsidP="00267BB5">
            <w:pPr>
              <w:tabs>
                <w:tab w:val="left" w:pos="6480"/>
              </w:tabs>
              <w:jc w:val="both"/>
              <w:rPr>
                <w:sz w:val="16"/>
                <w:szCs w:val="16"/>
              </w:rPr>
            </w:pPr>
            <w:r w:rsidRPr="0027789B">
              <w:rPr>
                <w:sz w:val="16"/>
                <w:szCs w:val="16"/>
              </w:rPr>
              <w:t>14:00</w:t>
            </w:r>
          </w:p>
        </w:tc>
        <w:tc>
          <w:tcPr>
            <w:tcW w:w="1067" w:type="dxa"/>
          </w:tcPr>
          <w:p w14:paraId="4EDE16C3" w14:textId="77777777" w:rsidR="00267BB5" w:rsidRPr="0027789B" w:rsidRDefault="00267BB5" w:rsidP="00267BB5">
            <w:pPr>
              <w:tabs>
                <w:tab w:val="left" w:pos="6480"/>
              </w:tabs>
              <w:jc w:val="both"/>
              <w:rPr>
                <w:sz w:val="16"/>
                <w:szCs w:val="16"/>
              </w:rPr>
            </w:pPr>
          </w:p>
        </w:tc>
        <w:tc>
          <w:tcPr>
            <w:tcW w:w="1068" w:type="dxa"/>
          </w:tcPr>
          <w:p w14:paraId="391C19D3" w14:textId="77777777" w:rsidR="00267BB5" w:rsidRPr="0027789B" w:rsidRDefault="00267BB5" w:rsidP="00267BB5">
            <w:pPr>
              <w:tabs>
                <w:tab w:val="left" w:pos="6480"/>
              </w:tabs>
              <w:jc w:val="both"/>
              <w:rPr>
                <w:sz w:val="16"/>
                <w:szCs w:val="16"/>
              </w:rPr>
            </w:pPr>
          </w:p>
        </w:tc>
        <w:tc>
          <w:tcPr>
            <w:tcW w:w="1067" w:type="dxa"/>
          </w:tcPr>
          <w:p w14:paraId="06177C1D" w14:textId="77777777" w:rsidR="00267BB5" w:rsidRPr="0027789B" w:rsidRDefault="00267BB5" w:rsidP="00267BB5">
            <w:pPr>
              <w:tabs>
                <w:tab w:val="left" w:pos="6480"/>
              </w:tabs>
              <w:jc w:val="both"/>
              <w:rPr>
                <w:sz w:val="16"/>
                <w:szCs w:val="16"/>
              </w:rPr>
            </w:pPr>
          </w:p>
        </w:tc>
        <w:tc>
          <w:tcPr>
            <w:tcW w:w="1068" w:type="dxa"/>
          </w:tcPr>
          <w:p w14:paraId="4E010A73" w14:textId="77777777" w:rsidR="00267BB5" w:rsidRPr="0027789B" w:rsidRDefault="00267BB5" w:rsidP="00267BB5">
            <w:pPr>
              <w:tabs>
                <w:tab w:val="left" w:pos="6480"/>
              </w:tabs>
              <w:jc w:val="both"/>
              <w:rPr>
                <w:sz w:val="16"/>
                <w:szCs w:val="16"/>
              </w:rPr>
            </w:pPr>
          </w:p>
        </w:tc>
        <w:tc>
          <w:tcPr>
            <w:tcW w:w="1067" w:type="dxa"/>
          </w:tcPr>
          <w:p w14:paraId="18FAB42C" w14:textId="77777777" w:rsidR="00267BB5" w:rsidRPr="0027789B" w:rsidRDefault="00267BB5" w:rsidP="00267BB5">
            <w:pPr>
              <w:tabs>
                <w:tab w:val="left" w:pos="6480"/>
              </w:tabs>
              <w:jc w:val="both"/>
              <w:rPr>
                <w:sz w:val="16"/>
                <w:szCs w:val="16"/>
              </w:rPr>
            </w:pPr>
          </w:p>
        </w:tc>
        <w:tc>
          <w:tcPr>
            <w:tcW w:w="1067" w:type="dxa"/>
          </w:tcPr>
          <w:p w14:paraId="64DEC004" w14:textId="77777777" w:rsidR="00267BB5" w:rsidRPr="0027789B" w:rsidRDefault="00267BB5" w:rsidP="00267BB5">
            <w:pPr>
              <w:tabs>
                <w:tab w:val="left" w:pos="6480"/>
              </w:tabs>
              <w:jc w:val="both"/>
              <w:rPr>
                <w:sz w:val="16"/>
                <w:szCs w:val="16"/>
              </w:rPr>
            </w:pPr>
          </w:p>
        </w:tc>
        <w:tc>
          <w:tcPr>
            <w:tcW w:w="1068" w:type="dxa"/>
          </w:tcPr>
          <w:p w14:paraId="507956F5" w14:textId="77777777" w:rsidR="00267BB5" w:rsidRPr="0027789B" w:rsidRDefault="00267BB5" w:rsidP="00267BB5">
            <w:pPr>
              <w:tabs>
                <w:tab w:val="left" w:pos="6480"/>
              </w:tabs>
              <w:jc w:val="both"/>
              <w:rPr>
                <w:sz w:val="16"/>
                <w:szCs w:val="16"/>
              </w:rPr>
            </w:pPr>
          </w:p>
        </w:tc>
        <w:tc>
          <w:tcPr>
            <w:tcW w:w="1067" w:type="dxa"/>
          </w:tcPr>
          <w:p w14:paraId="5A09D85C" w14:textId="77777777" w:rsidR="00267BB5" w:rsidRPr="0027789B" w:rsidRDefault="00267BB5" w:rsidP="00267BB5">
            <w:pPr>
              <w:tabs>
                <w:tab w:val="left" w:pos="6480"/>
              </w:tabs>
              <w:jc w:val="both"/>
              <w:rPr>
                <w:sz w:val="16"/>
                <w:szCs w:val="16"/>
              </w:rPr>
            </w:pPr>
          </w:p>
        </w:tc>
        <w:tc>
          <w:tcPr>
            <w:tcW w:w="1068" w:type="dxa"/>
          </w:tcPr>
          <w:p w14:paraId="46BE15B7" w14:textId="77777777" w:rsidR="00267BB5" w:rsidRPr="0027789B" w:rsidRDefault="00267BB5" w:rsidP="00267BB5">
            <w:pPr>
              <w:tabs>
                <w:tab w:val="left" w:pos="6480"/>
              </w:tabs>
              <w:jc w:val="both"/>
              <w:rPr>
                <w:sz w:val="16"/>
                <w:szCs w:val="16"/>
              </w:rPr>
            </w:pPr>
          </w:p>
        </w:tc>
      </w:tr>
      <w:tr w:rsidR="00267BB5" w:rsidRPr="0027789B" w14:paraId="54E50A98" w14:textId="77777777" w:rsidTr="00267BB5">
        <w:trPr>
          <w:jc w:val="center"/>
        </w:trPr>
        <w:tc>
          <w:tcPr>
            <w:tcW w:w="1067" w:type="dxa"/>
          </w:tcPr>
          <w:p w14:paraId="00DACF93" w14:textId="77777777" w:rsidR="00267BB5" w:rsidRPr="0027789B" w:rsidRDefault="00267BB5" w:rsidP="00267BB5">
            <w:pPr>
              <w:tabs>
                <w:tab w:val="left" w:pos="6480"/>
              </w:tabs>
              <w:jc w:val="both"/>
              <w:rPr>
                <w:sz w:val="16"/>
                <w:szCs w:val="16"/>
              </w:rPr>
            </w:pPr>
            <w:r w:rsidRPr="0027789B">
              <w:rPr>
                <w:sz w:val="16"/>
                <w:szCs w:val="16"/>
              </w:rPr>
              <w:t>15:00</w:t>
            </w:r>
          </w:p>
        </w:tc>
        <w:tc>
          <w:tcPr>
            <w:tcW w:w="1067" w:type="dxa"/>
          </w:tcPr>
          <w:p w14:paraId="6559ECE7" w14:textId="77777777" w:rsidR="00267BB5" w:rsidRPr="0027789B" w:rsidRDefault="00267BB5" w:rsidP="00267BB5">
            <w:pPr>
              <w:tabs>
                <w:tab w:val="left" w:pos="6480"/>
              </w:tabs>
              <w:jc w:val="both"/>
              <w:rPr>
                <w:sz w:val="16"/>
                <w:szCs w:val="16"/>
              </w:rPr>
            </w:pPr>
          </w:p>
        </w:tc>
        <w:tc>
          <w:tcPr>
            <w:tcW w:w="1068" w:type="dxa"/>
          </w:tcPr>
          <w:p w14:paraId="45E24418" w14:textId="77777777" w:rsidR="00267BB5" w:rsidRPr="0027789B" w:rsidRDefault="00267BB5" w:rsidP="00267BB5">
            <w:pPr>
              <w:tabs>
                <w:tab w:val="left" w:pos="6480"/>
              </w:tabs>
              <w:jc w:val="both"/>
              <w:rPr>
                <w:sz w:val="16"/>
                <w:szCs w:val="16"/>
              </w:rPr>
            </w:pPr>
          </w:p>
        </w:tc>
        <w:tc>
          <w:tcPr>
            <w:tcW w:w="1067" w:type="dxa"/>
          </w:tcPr>
          <w:p w14:paraId="145B1A6C" w14:textId="77777777" w:rsidR="00267BB5" w:rsidRPr="0027789B" w:rsidRDefault="00267BB5" w:rsidP="00267BB5">
            <w:pPr>
              <w:tabs>
                <w:tab w:val="left" w:pos="6480"/>
              </w:tabs>
              <w:jc w:val="both"/>
              <w:rPr>
                <w:sz w:val="16"/>
                <w:szCs w:val="16"/>
              </w:rPr>
            </w:pPr>
          </w:p>
        </w:tc>
        <w:tc>
          <w:tcPr>
            <w:tcW w:w="1068" w:type="dxa"/>
          </w:tcPr>
          <w:p w14:paraId="06116293" w14:textId="77777777" w:rsidR="00267BB5" w:rsidRPr="0027789B" w:rsidRDefault="00267BB5" w:rsidP="00267BB5">
            <w:pPr>
              <w:tabs>
                <w:tab w:val="left" w:pos="6480"/>
              </w:tabs>
              <w:jc w:val="both"/>
              <w:rPr>
                <w:sz w:val="16"/>
                <w:szCs w:val="16"/>
              </w:rPr>
            </w:pPr>
          </w:p>
        </w:tc>
        <w:tc>
          <w:tcPr>
            <w:tcW w:w="1067" w:type="dxa"/>
          </w:tcPr>
          <w:p w14:paraId="63FF63DD" w14:textId="77777777" w:rsidR="00267BB5" w:rsidRPr="0027789B" w:rsidRDefault="00267BB5" w:rsidP="00267BB5">
            <w:pPr>
              <w:tabs>
                <w:tab w:val="left" w:pos="6480"/>
              </w:tabs>
              <w:jc w:val="both"/>
              <w:rPr>
                <w:sz w:val="16"/>
                <w:szCs w:val="16"/>
              </w:rPr>
            </w:pPr>
          </w:p>
        </w:tc>
        <w:tc>
          <w:tcPr>
            <w:tcW w:w="1067" w:type="dxa"/>
          </w:tcPr>
          <w:p w14:paraId="57A6F38B" w14:textId="77777777" w:rsidR="00267BB5" w:rsidRPr="0027789B" w:rsidRDefault="00267BB5" w:rsidP="00267BB5">
            <w:pPr>
              <w:tabs>
                <w:tab w:val="left" w:pos="6480"/>
              </w:tabs>
              <w:jc w:val="both"/>
              <w:rPr>
                <w:sz w:val="16"/>
                <w:szCs w:val="16"/>
              </w:rPr>
            </w:pPr>
          </w:p>
        </w:tc>
        <w:tc>
          <w:tcPr>
            <w:tcW w:w="1068" w:type="dxa"/>
          </w:tcPr>
          <w:p w14:paraId="3ADA08AB" w14:textId="77777777" w:rsidR="00267BB5" w:rsidRPr="0027789B" w:rsidRDefault="00267BB5" w:rsidP="00267BB5">
            <w:pPr>
              <w:tabs>
                <w:tab w:val="left" w:pos="6480"/>
              </w:tabs>
              <w:jc w:val="both"/>
              <w:rPr>
                <w:sz w:val="16"/>
                <w:szCs w:val="16"/>
              </w:rPr>
            </w:pPr>
          </w:p>
        </w:tc>
        <w:tc>
          <w:tcPr>
            <w:tcW w:w="1067" w:type="dxa"/>
          </w:tcPr>
          <w:p w14:paraId="598B548C" w14:textId="77777777" w:rsidR="00267BB5" w:rsidRPr="0027789B" w:rsidRDefault="00267BB5" w:rsidP="00267BB5">
            <w:pPr>
              <w:tabs>
                <w:tab w:val="left" w:pos="6480"/>
              </w:tabs>
              <w:jc w:val="both"/>
              <w:rPr>
                <w:sz w:val="16"/>
                <w:szCs w:val="16"/>
              </w:rPr>
            </w:pPr>
          </w:p>
        </w:tc>
        <w:tc>
          <w:tcPr>
            <w:tcW w:w="1068" w:type="dxa"/>
          </w:tcPr>
          <w:p w14:paraId="51376330" w14:textId="77777777" w:rsidR="00267BB5" w:rsidRPr="0027789B" w:rsidRDefault="00267BB5" w:rsidP="00267BB5">
            <w:pPr>
              <w:tabs>
                <w:tab w:val="left" w:pos="6480"/>
              </w:tabs>
              <w:jc w:val="both"/>
              <w:rPr>
                <w:sz w:val="16"/>
                <w:szCs w:val="16"/>
              </w:rPr>
            </w:pPr>
          </w:p>
        </w:tc>
      </w:tr>
      <w:tr w:rsidR="00267BB5" w:rsidRPr="0027789B" w14:paraId="621AABC0" w14:textId="77777777" w:rsidTr="00267BB5">
        <w:trPr>
          <w:jc w:val="center"/>
        </w:trPr>
        <w:tc>
          <w:tcPr>
            <w:tcW w:w="1067" w:type="dxa"/>
          </w:tcPr>
          <w:p w14:paraId="71D4411B" w14:textId="77777777" w:rsidR="00267BB5" w:rsidRPr="0027789B" w:rsidRDefault="00267BB5" w:rsidP="00267BB5">
            <w:pPr>
              <w:tabs>
                <w:tab w:val="left" w:pos="6480"/>
              </w:tabs>
              <w:jc w:val="both"/>
              <w:rPr>
                <w:sz w:val="16"/>
                <w:szCs w:val="16"/>
              </w:rPr>
            </w:pPr>
            <w:r w:rsidRPr="0027789B">
              <w:rPr>
                <w:sz w:val="16"/>
                <w:szCs w:val="16"/>
              </w:rPr>
              <w:t>16:00</w:t>
            </w:r>
          </w:p>
        </w:tc>
        <w:tc>
          <w:tcPr>
            <w:tcW w:w="1067" w:type="dxa"/>
          </w:tcPr>
          <w:p w14:paraId="76D2AB7B" w14:textId="77777777" w:rsidR="00267BB5" w:rsidRPr="0027789B" w:rsidRDefault="00267BB5" w:rsidP="00267BB5">
            <w:pPr>
              <w:tabs>
                <w:tab w:val="left" w:pos="6480"/>
              </w:tabs>
              <w:jc w:val="both"/>
              <w:rPr>
                <w:sz w:val="16"/>
                <w:szCs w:val="16"/>
              </w:rPr>
            </w:pPr>
          </w:p>
        </w:tc>
        <w:tc>
          <w:tcPr>
            <w:tcW w:w="1068" w:type="dxa"/>
          </w:tcPr>
          <w:p w14:paraId="0B09857F" w14:textId="77777777" w:rsidR="00267BB5" w:rsidRPr="0027789B" w:rsidRDefault="00267BB5" w:rsidP="00267BB5">
            <w:pPr>
              <w:tabs>
                <w:tab w:val="left" w:pos="6480"/>
              </w:tabs>
              <w:jc w:val="both"/>
              <w:rPr>
                <w:sz w:val="16"/>
                <w:szCs w:val="16"/>
              </w:rPr>
            </w:pPr>
          </w:p>
        </w:tc>
        <w:tc>
          <w:tcPr>
            <w:tcW w:w="1067" w:type="dxa"/>
          </w:tcPr>
          <w:p w14:paraId="07531DB3" w14:textId="77777777" w:rsidR="00267BB5" w:rsidRPr="0027789B" w:rsidRDefault="00267BB5" w:rsidP="00267BB5">
            <w:pPr>
              <w:tabs>
                <w:tab w:val="left" w:pos="6480"/>
              </w:tabs>
              <w:jc w:val="both"/>
              <w:rPr>
                <w:sz w:val="16"/>
                <w:szCs w:val="16"/>
              </w:rPr>
            </w:pPr>
          </w:p>
        </w:tc>
        <w:tc>
          <w:tcPr>
            <w:tcW w:w="1068" w:type="dxa"/>
          </w:tcPr>
          <w:p w14:paraId="1AA71739" w14:textId="77777777" w:rsidR="00267BB5" w:rsidRPr="0027789B" w:rsidRDefault="00267BB5" w:rsidP="00267BB5">
            <w:pPr>
              <w:tabs>
                <w:tab w:val="left" w:pos="6480"/>
              </w:tabs>
              <w:jc w:val="both"/>
              <w:rPr>
                <w:sz w:val="16"/>
                <w:szCs w:val="16"/>
              </w:rPr>
            </w:pPr>
          </w:p>
        </w:tc>
        <w:tc>
          <w:tcPr>
            <w:tcW w:w="1067" w:type="dxa"/>
          </w:tcPr>
          <w:p w14:paraId="1732AC38" w14:textId="77777777" w:rsidR="00267BB5" w:rsidRPr="0027789B" w:rsidRDefault="00267BB5" w:rsidP="00267BB5">
            <w:pPr>
              <w:tabs>
                <w:tab w:val="left" w:pos="6480"/>
              </w:tabs>
              <w:jc w:val="both"/>
              <w:rPr>
                <w:sz w:val="16"/>
                <w:szCs w:val="16"/>
              </w:rPr>
            </w:pPr>
          </w:p>
        </w:tc>
        <w:tc>
          <w:tcPr>
            <w:tcW w:w="1067" w:type="dxa"/>
          </w:tcPr>
          <w:p w14:paraId="0E0590E7" w14:textId="77777777" w:rsidR="00267BB5" w:rsidRPr="0027789B" w:rsidRDefault="00267BB5" w:rsidP="00267BB5">
            <w:pPr>
              <w:tabs>
                <w:tab w:val="left" w:pos="6480"/>
              </w:tabs>
              <w:jc w:val="both"/>
              <w:rPr>
                <w:sz w:val="16"/>
                <w:szCs w:val="16"/>
              </w:rPr>
            </w:pPr>
          </w:p>
        </w:tc>
        <w:tc>
          <w:tcPr>
            <w:tcW w:w="1068" w:type="dxa"/>
          </w:tcPr>
          <w:p w14:paraId="06949602" w14:textId="77777777" w:rsidR="00267BB5" w:rsidRPr="0027789B" w:rsidRDefault="00267BB5" w:rsidP="00267BB5">
            <w:pPr>
              <w:tabs>
                <w:tab w:val="left" w:pos="6480"/>
              </w:tabs>
              <w:jc w:val="both"/>
              <w:rPr>
                <w:sz w:val="16"/>
                <w:szCs w:val="16"/>
              </w:rPr>
            </w:pPr>
          </w:p>
        </w:tc>
        <w:tc>
          <w:tcPr>
            <w:tcW w:w="1067" w:type="dxa"/>
          </w:tcPr>
          <w:p w14:paraId="0D4B8506" w14:textId="77777777" w:rsidR="00267BB5" w:rsidRPr="0027789B" w:rsidRDefault="00267BB5" w:rsidP="00267BB5">
            <w:pPr>
              <w:tabs>
                <w:tab w:val="left" w:pos="6480"/>
              </w:tabs>
              <w:jc w:val="both"/>
              <w:rPr>
                <w:sz w:val="16"/>
                <w:szCs w:val="16"/>
              </w:rPr>
            </w:pPr>
          </w:p>
        </w:tc>
        <w:tc>
          <w:tcPr>
            <w:tcW w:w="1068" w:type="dxa"/>
          </w:tcPr>
          <w:p w14:paraId="253AF6CC" w14:textId="77777777" w:rsidR="00267BB5" w:rsidRPr="0027789B" w:rsidRDefault="00267BB5" w:rsidP="00267BB5">
            <w:pPr>
              <w:tabs>
                <w:tab w:val="left" w:pos="6480"/>
              </w:tabs>
              <w:jc w:val="both"/>
              <w:rPr>
                <w:sz w:val="16"/>
                <w:szCs w:val="16"/>
              </w:rPr>
            </w:pPr>
          </w:p>
        </w:tc>
      </w:tr>
      <w:tr w:rsidR="00267BB5" w:rsidRPr="0027789B" w14:paraId="54F1C689" w14:textId="77777777" w:rsidTr="00267BB5">
        <w:trPr>
          <w:jc w:val="center"/>
        </w:trPr>
        <w:tc>
          <w:tcPr>
            <w:tcW w:w="1067" w:type="dxa"/>
          </w:tcPr>
          <w:p w14:paraId="343BD512" w14:textId="77777777" w:rsidR="00267BB5" w:rsidRPr="0027789B" w:rsidRDefault="00267BB5" w:rsidP="00267BB5">
            <w:pPr>
              <w:tabs>
                <w:tab w:val="left" w:pos="6480"/>
              </w:tabs>
              <w:jc w:val="both"/>
              <w:rPr>
                <w:sz w:val="16"/>
                <w:szCs w:val="16"/>
              </w:rPr>
            </w:pPr>
            <w:r w:rsidRPr="0027789B">
              <w:rPr>
                <w:sz w:val="16"/>
                <w:szCs w:val="16"/>
              </w:rPr>
              <w:t>17:00</w:t>
            </w:r>
          </w:p>
        </w:tc>
        <w:tc>
          <w:tcPr>
            <w:tcW w:w="1067" w:type="dxa"/>
          </w:tcPr>
          <w:p w14:paraId="7669D1BA" w14:textId="77777777" w:rsidR="00267BB5" w:rsidRPr="0027789B" w:rsidRDefault="00267BB5" w:rsidP="00267BB5">
            <w:pPr>
              <w:tabs>
                <w:tab w:val="left" w:pos="6480"/>
              </w:tabs>
              <w:jc w:val="both"/>
              <w:rPr>
                <w:sz w:val="16"/>
                <w:szCs w:val="16"/>
              </w:rPr>
            </w:pPr>
          </w:p>
        </w:tc>
        <w:tc>
          <w:tcPr>
            <w:tcW w:w="1068" w:type="dxa"/>
          </w:tcPr>
          <w:p w14:paraId="549FC3A1" w14:textId="77777777" w:rsidR="00267BB5" w:rsidRPr="0027789B" w:rsidRDefault="00267BB5" w:rsidP="00267BB5">
            <w:pPr>
              <w:tabs>
                <w:tab w:val="left" w:pos="6480"/>
              </w:tabs>
              <w:jc w:val="both"/>
              <w:rPr>
                <w:sz w:val="16"/>
                <w:szCs w:val="16"/>
              </w:rPr>
            </w:pPr>
          </w:p>
        </w:tc>
        <w:tc>
          <w:tcPr>
            <w:tcW w:w="1067" w:type="dxa"/>
          </w:tcPr>
          <w:p w14:paraId="1020E975" w14:textId="77777777" w:rsidR="00267BB5" w:rsidRPr="0027789B" w:rsidRDefault="00267BB5" w:rsidP="00267BB5">
            <w:pPr>
              <w:tabs>
                <w:tab w:val="left" w:pos="6480"/>
              </w:tabs>
              <w:jc w:val="both"/>
              <w:rPr>
                <w:sz w:val="16"/>
                <w:szCs w:val="16"/>
              </w:rPr>
            </w:pPr>
          </w:p>
        </w:tc>
        <w:tc>
          <w:tcPr>
            <w:tcW w:w="1068" w:type="dxa"/>
          </w:tcPr>
          <w:p w14:paraId="59A8EB8B" w14:textId="77777777" w:rsidR="00267BB5" w:rsidRPr="0027789B" w:rsidRDefault="00267BB5" w:rsidP="00267BB5">
            <w:pPr>
              <w:tabs>
                <w:tab w:val="left" w:pos="6480"/>
              </w:tabs>
              <w:jc w:val="both"/>
              <w:rPr>
                <w:sz w:val="16"/>
                <w:szCs w:val="16"/>
              </w:rPr>
            </w:pPr>
          </w:p>
        </w:tc>
        <w:tc>
          <w:tcPr>
            <w:tcW w:w="1067" w:type="dxa"/>
          </w:tcPr>
          <w:p w14:paraId="40611C9F" w14:textId="77777777" w:rsidR="00267BB5" w:rsidRPr="0027789B" w:rsidRDefault="00267BB5" w:rsidP="00267BB5">
            <w:pPr>
              <w:tabs>
                <w:tab w:val="left" w:pos="6480"/>
              </w:tabs>
              <w:jc w:val="both"/>
              <w:rPr>
                <w:sz w:val="16"/>
                <w:szCs w:val="16"/>
              </w:rPr>
            </w:pPr>
          </w:p>
        </w:tc>
        <w:tc>
          <w:tcPr>
            <w:tcW w:w="1067" w:type="dxa"/>
          </w:tcPr>
          <w:p w14:paraId="6893D388" w14:textId="77777777" w:rsidR="00267BB5" w:rsidRPr="0027789B" w:rsidRDefault="00267BB5" w:rsidP="00267BB5">
            <w:pPr>
              <w:tabs>
                <w:tab w:val="left" w:pos="6480"/>
              </w:tabs>
              <w:jc w:val="both"/>
              <w:rPr>
                <w:sz w:val="16"/>
                <w:szCs w:val="16"/>
              </w:rPr>
            </w:pPr>
          </w:p>
        </w:tc>
        <w:tc>
          <w:tcPr>
            <w:tcW w:w="1068" w:type="dxa"/>
          </w:tcPr>
          <w:p w14:paraId="0A26E519" w14:textId="77777777" w:rsidR="00267BB5" w:rsidRPr="0027789B" w:rsidRDefault="00267BB5" w:rsidP="00267BB5">
            <w:pPr>
              <w:tabs>
                <w:tab w:val="left" w:pos="6480"/>
              </w:tabs>
              <w:jc w:val="both"/>
              <w:rPr>
                <w:sz w:val="16"/>
                <w:szCs w:val="16"/>
              </w:rPr>
            </w:pPr>
          </w:p>
        </w:tc>
        <w:tc>
          <w:tcPr>
            <w:tcW w:w="1067" w:type="dxa"/>
          </w:tcPr>
          <w:p w14:paraId="112F97A6" w14:textId="77777777" w:rsidR="00267BB5" w:rsidRPr="0027789B" w:rsidRDefault="00267BB5" w:rsidP="00267BB5">
            <w:pPr>
              <w:tabs>
                <w:tab w:val="left" w:pos="6480"/>
              </w:tabs>
              <w:jc w:val="both"/>
              <w:rPr>
                <w:sz w:val="16"/>
                <w:szCs w:val="16"/>
              </w:rPr>
            </w:pPr>
          </w:p>
        </w:tc>
        <w:tc>
          <w:tcPr>
            <w:tcW w:w="1068" w:type="dxa"/>
          </w:tcPr>
          <w:p w14:paraId="69D96B2F" w14:textId="77777777" w:rsidR="00267BB5" w:rsidRPr="0027789B" w:rsidRDefault="00267BB5" w:rsidP="00267BB5">
            <w:pPr>
              <w:tabs>
                <w:tab w:val="left" w:pos="6480"/>
              </w:tabs>
              <w:jc w:val="both"/>
              <w:rPr>
                <w:sz w:val="16"/>
                <w:szCs w:val="16"/>
              </w:rPr>
            </w:pPr>
          </w:p>
        </w:tc>
      </w:tr>
      <w:tr w:rsidR="00267BB5" w:rsidRPr="0027789B" w14:paraId="4603107A" w14:textId="77777777" w:rsidTr="00267BB5">
        <w:trPr>
          <w:jc w:val="center"/>
        </w:trPr>
        <w:tc>
          <w:tcPr>
            <w:tcW w:w="1067" w:type="dxa"/>
          </w:tcPr>
          <w:p w14:paraId="5A5A5527" w14:textId="77777777" w:rsidR="00267BB5" w:rsidRPr="0027789B" w:rsidRDefault="00267BB5" w:rsidP="00267BB5">
            <w:pPr>
              <w:tabs>
                <w:tab w:val="left" w:pos="6480"/>
              </w:tabs>
              <w:jc w:val="both"/>
              <w:rPr>
                <w:sz w:val="16"/>
                <w:szCs w:val="16"/>
              </w:rPr>
            </w:pPr>
            <w:r w:rsidRPr="0027789B">
              <w:rPr>
                <w:sz w:val="16"/>
                <w:szCs w:val="16"/>
              </w:rPr>
              <w:t>18:00</w:t>
            </w:r>
          </w:p>
        </w:tc>
        <w:tc>
          <w:tcPr>
            <w:tcW w:w="1067" w:type="dxa"/>
          </w:tcPr>
          <w:p w14:paraId="56819BC6" w14:textId="77777777" w:rsidR="00267BB5" w:rsidRPr="0027789B" w:rsidRDefault="00267BB5" w:rsidP="00267BB5">
            <w:pPr>
              <w:tabs>
                <w:tab w:val="left" w:pos="6480"/>
              </w:tabs>
              <w:jc w:val="both"/>
              <w:rPr>
                <w:sz w:val="16"/>
                <w:szCs w:val="16"/>
              </w:rPr>
            </w:pPr>
          </w:p>
        </w:tc>
        <w:tc>
          <w:tcPr>
            <w:tcW w:w="1068" w:type="dxa"/>
          </w:tcPr>
          <w:p w14:paraId="4541D644" w14:textId="77777777" w:rsidR="00267BB5" w:rsidRPr="0027789B" w:rsidRDefault="00267BB5" w:rsidP="00267BB5">
            <w:pPr>
              <w:tabs>
                <w:tab w:val="left" w:pos="6480"/>
              </w:tabs>
              <w:jc w:val="both"/>
              <w:rPr>
                <w:sz w:val="16"/>
                <w:szCs w:val="16"/>
              </w:rPr>
            </w:pPr>
          </w:p>
        </w:tc>
        <w:tc>
          <w:tcPr>
            <w:tcW w:w="1067" w:type="dxa"/>
          </w:tcPr>
          <w:p w14:paraId="09C5D8A8" w14:textId="77777777" w:rsidR="00267BB5" w:rsidRPr="0027789B" w:rsidRDefault="00267BB5" w:rsidP="00267BB5">
            <w:pPr>
              <w:tabs>
                <w:tab w:val="left" w:pos="6480"/>
              </w:tabs>
              <w:jc w:val="both"/>
              <w:rPr>
                <w:sz w:val="16"/>
                <w:szCs w:val="16"/>
              </w:rPr>
            </w:pPr>
          </w:p>
        </w:tc>
        <w:tc>
          <w:tcPr>
            <w:tcW w:w="1068" w:type="dxa"/>
          </w:tcPr>
          <w:p w14:paraId="0615525E" w14:textId="77777777" w:rsidR="00267BB5" w:rsidRPr="0027789B" w:rsidRDefault="00267BB5" w:rsidP="00267BB5">
            <w:pPr>
              <w:tabs>
                <w:tab w:val="left" w:pos="6480"/>
              </w:tabs>
              <w:jc w:val="both"/>
              <w:rPr>
                <w:sz w:val="16"/>
                <w:szCs w:val="16"/>
              </w:rPr>
            </w:pPr>
          </w:p>
        </w:tc>
        <w:tc>
          <w:tcPr>
            <w:tcW w:w="1067" w:type="dxa"/>
          </w:tcPr>
          <w:p w14:paraId="7B058F80" w14:textId="77777777" w:rsidR="00267BB5" w:rsidRPr="0027789B" w:rsidRDefault="00267BB5" w:rsidP="00267BB5">
            <w:pPr>
              <w:tabs>
                <w:tab w:val="left" w:pos="6480"/>
              </w:tabs>
              <w:jc w:val="both"/>
              <w:rPr>
                <w:sz w:val="16"/>
                <w:szCs w:val="16"/>
              </w:rPr>
            </w:pPr>
          </w:p>
        </w:tc>
        <w:tc>
          <w:tcPr>
            <w:tcW w:w="1067" w:type="dxa"/>
          </w:tcPr>
          <w:p w14:paraId="1F5F19E9" w14:textId="77777777" w:rsidR="00267BB5" w:rsidRPr="0027789B" w:rsidRDefault="00267BB5" w:rsidP="00267BB5">
            <w:pPr>
              <w:tabs>
                <w:tab w:val="left" w:pos="6480"/>
              </w:tabs>
              <w:jc w:val="both"/>
              <w:rPr>
                <w:sz w:val="16"/>
                <w:szCs w:val="16"/>
              </w:rPr>
            </w:pPr>
          </w:p>
        </w:tc>
        <w:tc>
          <w:tcPr>
            <w:tcW w:w="1068" w:type="dxa"/>
          </w:tcPr>
          <w:p w14:paraId="1E71D597" w14:textId="77777777" w:rsidR="00267BB5" w:rsidRPr="0027789B" w:rsidRDefault="00267BB5" w:rsidP="00267BB5">
            <w:pPr>
              <w:tabs>
                <w:tab w:val="left" w:pos="6480"/>
              </w:tabs>
              <w:jc w:val="both"/>
              <w:rPr>
                <w:sz w:val="16"/>
                <w:szCs w:val="16"/>
              </w:rPr>
            </w:pPr>
          </w:p>
        </w:tc>
        <w:tc>
          <w:tcPr>
            <w:tcW w:w="1067" w:type="dxa"/>
          </w:tcPr>
          <w:p w14:paraId="101BC272" w14:textId="77777777" w:rsidR="00267BB5" w:rsidRPr="0027789B" w:rsidRDefault="00267BB5" w:rsidP="00267BB5">
            <w:pPr>
              <w:tabs>
                <w:tab w:val="left" w:pos="6480"/>
              </w:tabs>
              <w:jc w:val="both"/>
              <w:rPr>
                <w:sz w:val="16"/>
                <w:szCs w:val="16"/>
              </w:rPr>
            </w:pPr>
          </w:p>
        </w:tc>
        <w:tc>
          <w:tcPr>
            <w:tcW w:w="1068" w:type="dxa"/>
          </w:tcPr>
          <w:p w14:paraId="13FF58EC" w14:textId="77777777" w:rsidR="00267BB5" w:rsidRPr="0027789B" w:rsidRDefault="00267BB5" w:rsidP="00267BB5">
            <w:pPr>
              <w:tabs>
                <w:tab w:val="left" w:pos="6480"/>
              </w:tabs>
              <w:jc w:val="both"/>
              <w:rPr>
                <w:sz w:val="16"/>
                <w:szCs w:val="16"/>
              </w:rPr>
            </w:pPr>
          </w:p>
        </w:tc>
      </w:tr>
      <w:tr w:rsidR="00267BB5" w:rsidRPr="0027789B" w14:paraId="6CB67609" w14:textId="77777777" w:rsidTr="00267BB5">
        <w:trPr>
          <w:jc w:val="center"/>
        </w:trPr>
        <w:tc>
          <w:tcPr>
            <w:tcW w:w="1067" w:type="dxa"/>
          </w:tcPr>
          <w:p w14:paraId="7E9C01BE" w14:textId="77777777" w:rsidR="00267BB5" w:rsidRPr="0027789B" w:rsidRDefault="00267BB5" w:rsidP="00267BB5">
            <w:pPr>
              <w:tabs>
                <w:tab w:val="left" w:pos="6480"/>
              </w:tabs>
              <w:jc w:val="both"/>
              <w:rPr>
                <w:sz w:val="16"/>
                <w:szCs w:val="16"/>
              </w:rPr>
            </w:pPr>
            <w:r w:rsidRPr="0027789B">
              <w:rPr>
                <w:sz w:val="16"/>
                <w:szCs w:val="16"/>
              </w:rPr>
              <w:t>19:00</w:t>
            </w:r>
          </w:p>
        </w:tc>
        <w:tc>
          <w:tcPr>
            <w:tcW w:w="1067" w:type="dxa"/>
          </w:tcPr>
          <w:p w14:paraId="41FBC5AB" w14:textId="77777777" w:rsidR="00267BB5" w:rsidRPr="0027789B" w:rsidRDefault="00267BB5" w:rsidP="00267BB5">
            <w:pPr>
              <w:tabs>
                <w:tab w:val="left" w:pos="6480"/>
              </w:tabs>
              <w:jc w:val="both"/>
              <w:rPr>
                <w:sz w:val="16"/>
                <w:szCs w:val="16"/>
              </w:rPr>
            </w:pPr>
          </w:p>
        </w:tc>
        <w:tc>
          <w:tcPr>
            <w:tcW w:w="1068" w:type="dxa"/>
          </w:tcPr>
          <w:p w14:paraId="72DAFD78" w14:textId="77777777" w:rsidR="00267BB5" w:rsidRPr="0027789B" w:rsidRDefault="00267BB5" w:rsidP="00267BB5">
            <w:pPr>
              <w:tabs>
                <w:tab w:val="left" w:pos="6480"/>
              </w:tabs>
              <w:jc w:val="both"/>
              <w:rPr>
                <w:sz w:val="16"/>
                <w:szCs w:val="16"/>
              </w:rPr>
            </w:pPr>
          </w:p>
        </w:tc>
        <w:tc>
          <w:tcPr>
            <w:tcW w:w="1067" w:type="dxa"/>
          </w:tcPr>
          <w:p w14:paraId="563AE851" w14:textId="77777777" w:rsidR="00267BB5" w:rsidRPr="0027789B" w:rsidRDefault="00267BB5" w:rsidP="00267BB5">
            <w:pPr>
              <w:tabs>
                <w:tab w:val="left" w:pos="6480"/>
              </w:tabs>
              <w:jc w:val="both"/>
              <w:rPr>
                <w:sz w:val="16"/>
                <w:szCs w:val="16"/>
              </w:rPr>
            </w:pPr>
          </w:p>
        </w:tc>
        <w:tc>
          <w:tcPr>
            <w:tcW w:w="1068" w:type="dxa"/>
          </w:tcPr>
          <w:p w14:paraId="2CEF51DB" w14:textId="77777777" w:rsidR="00267BB5" w:rsidRPr="0027789B" w:rsidRDefault="00267BB5" w:rsidP="00267BB5">
            <w:pPr>
              <w:tabs>
                <w:tab w:val="left" w:pos="6480"/>
              </w:tabs>
              <w:jc w:val="both"/>
              <w:rPr>
                <w:sz w:val="16"/>
                <w:szCs w:val="16"/>
              </w:rPr>
            </w:pPr>
          </w:p>
        </w:tc>
        <w:tc>
          <w:tcPr>
            <w:tcW w:w="1067" w:type="dxa"/>
          </w:tcPr>
          <w:p w14:paraId="7423FDA5" w14:textId="77777777" w:rsidR="00267BB5" w:rsidRPr="0027789B" w:rsidRDefault="00267BB5" w:rsidP="00267BB5">
            <w:pPr>
              <w:tabs>
                <w:tab w:val="left" w:pos="6480"/>
              </w:tabs>
              <w:jc w:val="both"/>
              <w:rPr>
                <w:sz w:val="16"/>
                <w:szCs w:val="16"/>
              </w:rPr>
            </w:pPr>
          </w:p>
        </w:tc>
        <w:tc>
          <w:tcPr>
            <w:tcW w:w="1067" w:type="dxa"/>
          </w:tcPr>
          <w:p w14:paraId="23C6A0E6" w14:textId="77777777" w:rsidR="00267BB5" w:rsidRPr="0027789B" w:rsidRDefault="00267BB5" w:rsidP="00267BB5">
            <w:pPr>
              <w:tabs>
                <w:tab w:val="left" w:pos="6480"/>
              </w:tabs>
              <w:jc w:val="both"/>
              <w:rPr>
                <w:sz w:val="16"/>
                <w:szCs w:val="16"/>
              </w:rPr>
            </w:pPr>
          </w:p>
        </w:tc>
        <w:tc>
          <w:tcPr>
            <w:tcW w:w="1068" w:type="dxa"/>
          </w:tcPr>
          <w:p w14:paraId="16175812" w14:textId="77777777" w:rsidR="00267BB5" w:rsidRPr="0027789B" w:rsidRDefault="00267BB5" w:rsidP="00267BB5">
            <w:pPr>
              <w:tabs>
                <w:tab w:val="left" w:pos="6480"/>
              </w:tabs>
              <w:jc w:val="both"/>
              <w:rPr>
                <w:sz w:val="16"/>
                <w:szCs w:val="16"/>
              </w:rPr>
            </w:pPr>
          </w:p>
        </w:tc>
        <w:tc>
          <w:tcPr>
            <w:tcW w:w="1067" w:type="dxa"/>
          </w:tcPr>
          <w:p w14:paraId="189A6D14" w14:textId="77777777" w:rsidR="00267BB5" w:rsidRPr="0027789B" w:rsidRDefault="00267BB5" w:rsidP="00267BB5">
            <w:pPr>
              <w:tabs>
                <w:tab w:val="left" w:pos="6480"/>
              </w:tabs>
              <w:jc w:val="both"/>
              <w:rPr>
                <w:sz w:val="16"/>
                <w:szCs w:val="16"/>
              </w:rPr>
            </w:pPr>
          </w:p>
        </w:tc>
        <w:tc>
          <w:tcPr>
            <w:tcW w:w="1068" w:type="dxa"/>
          </w:tcPr>
          <w:p w14:paraId="77575721" w14:textId="77777777" w:rsidR="00267BB5" w:rsidRPr="0027789B" w:rsidRDefault="00267BB5" w:rsidP="00267BB5">
            <w:pPr>
              <w:tabs>
                <w:tab w:val="left" w:pos="6480"/>
              </w:tabs>
              <w:jc w:val="both"/>
              <w:rPr>
                <w:sz w:val="16"/>
                <w:szCs w:val="16"/>
              </w:rPr>
            </w:pPr>
          </w:p>
        </w:tc>
      </w:tr>
      <w:tr w:rsidR="00267BB5" w:rsidRPr="0027789B" w14:paraId="6668FCE3" w14:textId="77777777" w:rsidTr="00267BB5">
        <w:trPr>
          <w:jc w:val="center"/>
        </w:trPr>
        <w:tc>
          <w:tcPr>
            <w:tcW w:w="1067" w:type="dxa"/>
          </w:tcPr>
          <w:p w14:paraId="2EDB2A96" w14:textId="77777777" w:rsidR="00267BB5" w:rsidRPr="0027789B" w:rsidRDefault="00267BB5" w:rsidP="00267BB5">
            <w:pPr>
              <w:tabs>
                <w:tab w:val="left" w:pos="6480"/>
              </w:tabs>
              <w:jc w:val="both"/>
              <w:rPr>
                <w:sz w:val="16"/>
                <w:szCs w:val="16"/>
              </w:rPr>
            </w:pPr>
            <w:r w:rsidRPr="0027789B">
              <w:rPr>
                <w:sz w:val="16"/>
                <w:szCs w:val="16"/>
              </w:rPr>
              <w:t>20:00</w:t>
            </w:r>
          </w:p>
        </w:tc>
        <w:tc>
          <w:tcPr>
            <w:tcW w:w="1067" w:type="dxa"/>
          </w:tcPr>
          <w:p w14:paraId="28FD84F3" w14:textId="77777777" w:rsidR="00267BB5" w:rsidRPr="0027789B" w:rsidRDefault="00267BB5" w:rsidP="00267BB5">
            <w:pPr>
              <w:tabs>
                <w:tab w:val="left" w:pos="6480"/>
              </w:tabs>
              <w:jc w:val="both"/>
              <w:rPr>
                <w:sz w:val="16"/>
                <w:szCs w:val="16"/>
              </w:rPr>
            </w:pPr>
          </w:p>
        </w:tc>
        <w:tc>
          <w:tcPr>
            <w:tcW w:w="1068" w:type="dxa"/>
          </w:tcPr>
          <w:p w14:paraId="20E22A8E" w14:textId="77777777" w:rsidR="00267BB5" w:rsidRPr="0027789B" w:rsidRDefault="00267BB5" w:rsidP="00267BB5">
            <w:pPr>
              <w:tabs>
                <w:tab w:val="left" w:pos="6480"/>
              </w:tabs>
              <w:jc w:val="both"/>
              <w:rPr>
                <w:sz w:val="16"/>
                <w:szCs w:val="16"/>
              </w:rPr>
            </w:pPr>
          </w:p>
        </w:tc>
        <w:tc>
          <w:tcPr>
            <w:tcW w:w="1067" w:type="dxa"/>
          </w:tcPr>
          <w:p w14:paraId="1F875FFB" w14:textId="77777777" w:rsidR="00267BB5" w:rsidRPr="0027789B" w:rsidRDefault="00267BB5" w:rsidP="00267BB5">
            <w:pPr>
              <w:tabs>
                <w:tab w:val="left" w:pos="6480"/>
              </w:tabs>
              <w:jc w:val="both"/>
              <w:rPr>
                <w:sz w:val="16"/>
                <w:szCs w:val="16"/>
              </w:rPr>
            </w:pPr>
          </w:p>
        </w:tc>
        <w:tc>
          <w:tcPr>
            <w:tcW w:w="1068" w:type="dxa"/>
          </w:tcPr>
          <w:p w14:paraId="2779E438" w14:textId="77777777" w:rsidR="00267BB5" w:rsidRPr="0027789B" w:rsidRDefault="00267BB5" w:rsidP="00267BB5">
            <w:pPr>
              <w:tabs>
                <w:tab w:val="left" w:pos="6480"/>
              </w:tabs>
              <w:jc w:val="both"/>
              <w:rPr>
                <w:sz w:val="16"/>
                <w:szCs w:val="16"/>
              </w:rPr>
            </w:pPr>
          </w:p>
        </w:tc>
        <w:tc>
          <w:tcPr>
            <w:tcW w:w="1067" w:type="dxa"/>
          </w:tcPr>
          <w:p w14:paraId="0A350F7D" w14:textId="77777777" w:rsidR="00267BB5" w:rsidRPr="0027789B" w:rsidRDefault="00267BB5" w:rsidP="00267BB5">
            <w:pPr>
              <w:tabs>
                <w:tab w:val="left" w:pos="6480"/>
              </w:tabs>
              <w:jc w:val="both"/>
              <w:rPr>
                <w:sz w:val="16"/>
                <w:szCs w:val="16"/>
              </w:rPr>
            </w:pPr>
          </w:p>
        </w:tc>
        <w:tc>
          <w:tcPr>
            <w:tcW w:w="1067" w:type="dxa"/>
          </w:tcPr>
          <w:p w14:paraId="309FEB67" w14:textId="77777777" w:rsidR="00267BB5" w:rsidRPr="0027789B" w:rsidRDefault="00267BB5" w:rsidP="00267BB5">
            <w:pPr>
              <w:tabs>
                <w:tab w:val="left" w:pos="6480"/>
              </w:tabs>
              <w:jc w:val="both"/>
              <w:rPr>
                <w:sz w:val="16"/>
                <w:szCs w:val="16"/>
              </w:rPr>
            </w:pPr>
          </w:p>
        </w:tc>
        <w:tc>
          <w:tcPr>
            <w:tcW w:w="1068" w:type="dxa"/>
          </w:tcPr>
          <w:p w14:paraId="0216A2B7" w14:textId="77777777" w:rsidR="00267BB5" w:rsidRPr="0027789B" w:rsidRDefault="00267BB5" w:rsidP="00267BB5">
            <w:pPr>
              <w:tabs>
                <w:tab w:val="left" w:pos="6480"/>
              </w:tabs>
              <w:jc w:val="both"/>
              <w:rPr>
                <w:sz w:val="16"/>
                <w:szCs w:val="16"/>
              </w:rPr>
            </w:pPr>
          </w:p>
        </w:tc>
        <w:tc>
          <w:tcPr>
            <w:tcW w:w="1067" w:type="dxa"/>
          </w:tcPr>
          <w:p w14:paraId="396D0738" w14:textId="77777777" w:rsidR="00267BB5" w:rsidRPr="0027789B" w:rsidRDefault="00267BB5" w:rsidP="00267BB5">
            <w:pPr>
              <w:tabs>
                <w:tab w:val="left" w:pos="6480"/>
              </w:tabs>
              <w:jc w:val="both"/>
              <w:rPr>
                <w:sz w:val="16"/>
                <w:szCs w:val="16"/>
              </w:rPr>
            </w:pPr>
          </w:p>
        </w:tc>
        <w:tc>
          <w:tcPr>
            <w:tcW w:w="1068" w:type="dxa"/>
          </w:tcPr>
          <w:p w14:paraId="26BAC6CA" w14:textId="77777777" w:rsidR="00267BB5" w:rsidRPr="0027789B" w:rsidRDefault="00267BB5" w:rsidP="00267BB5">
            <w:pPr>
              <w:tabs>
                <w:tab w:val="left" w:pos="6480"/>
              </w:tabs>
              <w:jc w:val="both"/>
              <w:rPr>
                <w:sz w:val="16"/>
                <w:szCs w:val="16"/>
              </w:rPr>
            </w:pPr>
          </w:p>
        </w:tc>
      </w:tr>
      <w:tr w:rsidR="00267BB5" w:rsidRPr="0027789B" w14:paraId="1936A4DC" w14:textId="77777777" w:rsidTr="00267BB5">
        <w:trPr>
          <w:jc w:val="center"/>
        </w:trPr>
        <w:tc>
          <w:tcPr>
            <w:tcW w:w="1067" w:type="dxa"/>
          </w:tcPr>
          <w:p w14:paraId="64BA7192" w14:textId="77777777" w:rsidR="00267BB5" w:rsidRPr="0027789B" w:rsidRDefault="00267BB5" w:rsidP="00267BB5">
            <w:pPr>
              <w:tabs>
                <w:tab w:val="left" w:pos="6480"/>
              </w:tabs>
              <w:jc w:val="both"/>
              <w:rPr>
                <w:sz w:val="16"/>
                <w:szCs w:val="16"/>
              </w:rPr>
            </w:pPr>
            <w:r w:rsidRPr="0027789B">
              <w:rPr>
                <w:sz w:val="16"/>
                <w:szCs w:val="16"/>
              </w:rPr>
              <w:t>21:00</w:t>
            </w:r>
          </w:p>
        </w:tc>
        <w:tc>
          <w:tcPr>
            <w:tcW w:w="1067" w:type="dxa"/>
          </w:tcPr>
          <w:p w14:paraId="5FA3D776" w14:textId="77777777" w:rsidR="00267BB5" w:rsidRPr="0027789B" w:rsidRDefault="00267BB5" w:rsidP="00267BB5">
            <w:pPr>
              <w:tabs>
                <w:tab w:val="left" w:pos="6480"/>
              </w:tabs>
              <w:jc w:val="both"/>
              <w:rPr>
                <w:sz w:val="16"/>
                <w:szCs w:val="16"/>
              </w:rPr>
            </w:pPr>
          </w:p>
        </w:tc>
        <w:tc>
          <w:tcPr>
            <w:tcW w:w="1068" w:type="dxa"/>
          </w:tcPr>
          <w:p w14:paraId="2B8DB983" w14:textId="77777777" w:rsidR="00267BB5" w:rsidRPr="0027789B" w:rsidRDefault="00267BB5" w:rsidP="00267BB5">
            <w:pPr>
              <w:tabs>
                <w:tab w:val="left" w:pos="6480"/>
              </w:tabs>
              <w:jc w:val="both"/>
              <w:rPr>
                <w:sz w:val="16"/>
                <w:szCs w:val="16"/>
              </w:rPr>
            </w:pPr>
          </w:p>
        </w:tc>
        <w:tc>
          <w:tcPr>
            <w:tcW w:w="1067" w:type="dxa"/>
          </w:tcPr>
          <w:p w14:paraId="7712A2CA" w14:textId="77777777" w:rsidR="00267BB5" w:rsidRPr="0027789B" w:rsidRDefault="00267BB5" w:rsidP="00267BB5">
            <w:pPr>
              <w:tabs>
                <w:tab w:val="left" w:pos="6480"/>
              </w:tabs>
              <w:jc w:val="both"/>
              <w:rPr>
                <w:sz w:val="16"/>
                <w:szCs w:val="16"/>
              </w:rPr>
            </w:pPr>
          </w:p>
        </w:tc>
        <w:tc>
          <w:tcPr>
            <w:tcW w:w="1068" w:type="dxa"/>
          </w:tcPr>
          <w:p w14:paraId="20FC152C" w14:textId="77777777" w:rsidR="00267BB5" w:rsidRPr="0027789B" w:rsidRDefault="00267BB5" w:rsidP="00267BB5">
            <w:pPr>
              <w:tabs>
                <w:tab w:val="left" w:pos="6480"/>
              </w:tabs>
              <w:jc w:val="both"/>
              <w:rPr>
                <w:sz w:val="16"/>
                <w:szCs w:val="16"/>
              </w:rPr>
            </w:pPr>
          </w:p>
        </w:tc>
        <w:tc>
          <w:tcPr>
            <w:tcW w:w="1067" w:type="dxa"/>
          </w:tcPr>
          <w:p w14:paraId="01C50125" w14:textId="77777777" w:rsidR="00267BB5" w:rsidRPr="0027789B" w:rsidRDefault="00267BB5" w:rsidP="00267BB5">
            <w:pPr>
              <w:tabs>
                <w:tab w:val="left" w:pos="6480"/>
              </w:tabs>
              <w:jc w:val="both"/>
              <w:rPr>
                <w:sz w:val="16"/>
                <w:szCs w:val="16"/>
              </w:rPr>
            </w:pPr>
          </w:p>
        </w:tc>
        <w:tc>
          <w:tcPr>
            <w:tcW w:w="1067" w:type="dxa"/>
          </w:tcPr>
          <w:p w14:paraId="7DC998D7" w14:textId="77777777" w:rsidR="00267BB5" w:rsidRPr="0027789B" w:rsidRDefault="00267BB5" w:rsidP="00267BB5">
            <w:pPr>
              <w:tabs>
                <w:tab w:val="left" w:pos="6480"/>
              </w:tabs>
              <w:jc w:val="both"/>
              <w:rPr>
                <w:sz w:val="16"/>
                <w:szCs w:val="16"/>
              </w:rPr>
            </w:pPr>
          </w:p>
        </w:tc>
        <w:tc>
          <w:tcPr>
            <w:tcW w:w="1068" w:type="dxa"/>
          </w:tcPr>
          <w:p w14:paraId="39F97D59" w14:textId="77777777" w:rsidR="00267BB5" w:rsidRPr="0027789B" w:rsidRDefault="00267BB5" w:rsidP="00267BB5">
            <w:pPr>
              <w:tabs>
                <w:tab w:val="left" w:pos="6480"/>
              </w:tabs>
              <w:jc w:val="both"/>
              <w:rPr>
                <w:sz w:val="16"/>
                <w:szCs w:val="16"/>
              </w:rPr>
            </w:pPr>
          </w:p>
        </w:tc>
        <w:tc>
          <w:tcPr>
            <w:tcW w:w="1067" w:type="dxa"/>
          </w:tcPr>
          <w:p w14:paraId="334A98DF" w14:textId="77777777" w:rsidR="00267BB5" w:rsidRPr="0027789B" w:rsidRDefault="00267BB5" w:rsidP="00267BB5">
            <w:pPr>
              <w:tabs>
                <w:tab w:val="left" w:pos="6480"/>
              </w:tabs>
              <w:jc w:val="both"/>
              <w:rPr>
                <w:sz w:val="16"/>
                <w:szCs w:val="16"/>
              </w:rPr>
            </w:pPr>
          </w:p>
        </w:tc>
        <w:tc>
          <w:tcPr>
            <w:tcW w:w="1068" w:type="dxa"/>
          </w:tcPr>
          <w:p w14:paraId="4FD77F2C" w14:textId="77777777" w:rsidR="00267BB5" w:rsidRPr="0027789B" w:rsidRDefault="00267BB5" w:rsidP="00267BB5">
            <w:pPr>
              <w:tabs>
                <w:tab w:val="left" w:pos="6480"/>
              </w:tabs>
              <w:jc w:val="both"/>
              <w:rPr>
                <w:sz w:val="16"/>
                <w:szCs w:val="16"/>
              </w:rPr>
            </w:pPr>
          </w:p>
        </w:tc>
      </w:tr>
      <w:tr w:rsidR="00267BB5" w:rsidRPr="0027789B" w14:paraId="16DBED08" w14:textId="77777777" w:rsidTr="00267BB5">
        <w:trPr>
          <w:jc w:val="center"/>
        </w:trPr>
        <w:tc>
          <w:tcPr>
            <w:tcW w:w="1067" w:type="dxa"/>
          </w:tcPr>
          <w:p w14:paraId="605F58A6" w14:textId="77777777" w:rsidR="00267BB5" w:rsidRPr="0027789B" w:rsidRDefault="00267BB5" w:rsidP="00267BB5">
            <w:pPr>
              <w:tabs>
                <w:tab w:val="left" w:pos="6480"/>
              </w:tabs>
              <w:jc w:val="both"/>
              <w:rPr>
                <w:sz w:val="16"/>
                <w:szCs w:val="16"/>
              </w:rPr>
            </w:pPr>
            <w:r w:rsidRPr="0027789B">
              <w:rPr>
                <w:sz w:val="16"/>
                <w:szCs w:val="16"/>
              </w:rPr>
              <w:t>22:00</w:t>
            </w:r>
          </w:p>
        </w:tc>
        <w:tc>
          <w:tcPr>
            <w:tcW w:w="1067" w:type="dxa"/>
          </w:tcPr>
          <w:p w14:paraId="44D8B225" w14:textId="77777777" w:rsidR="00267BB5" w:rsidRPr="0027789B" w:rsidRDefault="00267BB5" w:rsidP="00267BB5">
            <w:pPr>
              <w:tabs>
                <w:tab w:val="left" w:pos="6480"/>
              </w:tabs>
              <w:jc w:val="both"/>
              <w:rPr>
                <w:sz w:val="16"/>
                <w:szCs w:val="16"/>
              </w:rPr>
            </w:pPr>
          </w:p>
        </w:tc>
        <w:tc>
          <w:tcPr>
            <w:tcW w:w="1068" w:type="dxa"/>
          </w:tcPr>
          <w:p w14:paraId="4837071D" w14:textId="77777777" w:rsidR="00267BB5" w:rsidRPr="0027789B" w:rsidRDefault="00267BB5" w:rsidP="00267BB5">
            <w:pPr>
              <w:tabs>
                <w:tab w:val="left" w:pos="6480"/>
              </w:tabs>
              <w:jc w:val="both"/>
              <w:rPr>
                <w:sz w:val="16"/>
                <w:szCs w:val="16"/>
              </w:rPr>
            </w:pPr>
          </w:p>
        </w:tc>
        <w:tc>
          <w:tcPr>
            <w:tcW w:w="1067" w:type="dxa"/>
          </w:tcPr>
          <w:p w14:paraId="0218BCEE" w14:textId="77777777" w:rsidR="00267BB5" w:rsidRPr="0027789B" w:rsidRDefault="00267BB5" w:rsidP="00267BB5">
            <w:pPr>
              <w:tabs>
                <w:tab w:val="left" w:pos="6480"/>
              </w:tabs>
              <w:jc w:val="both"/>
              <w:rPr>
                <w:sz w:val="16"/>
                <w:szCs w:val="16"/>
              </w:rPr>
            </w:pPr>
          </w:p>
        </w:tc>
        <w:tc>
          <w:tcPr>
            <w:tcW w:w="1068" w:type="dxa"/>
          </w:tcPr>
          <w:p w14:paraId="0A149E54" w14:textId="77777777" w:rsidR="00267BB5" w:rsidRPr="0027789B" w:rsidRDefault="00267BB5" w:rsidP="00267BB5">
            <w:pPr>
              <w:tabs>
                <w:tab w:val="left" w:pos="6480"/>
              </w:tabs>
              <w:jc w:val="both"/>
              <w:rPr>
                <w:sz w:val="16"/>
                <w:szCs w:val="16"/>
              </w:rPr>
            </w:pPr>
          </w:p>
        </w:tc>
        <w:tc>
          <w:tcPr>
            <w:tcW w:w="1067" w:type="dxa"/>
          </w:tcPr>
          <w:p w14:paraId="540AA1E8" w14:textId="77777777" w:rsidR="00267BB5" w:rsidRPr="0027789B" w:rsidRDefault="00267BB5" w:rsidP="00267BB5">
            <w:pPr>
              <w:tabs>
                <w:tab w:val="left" w:pos="6480"/>
              </w:tabs>
              <w:jc w:val="both"/>
              <w:rPr>
                <w:sz w:val="16"/>
                <w:szCs w:val="16"/>
              </w:rPr>
            </w:pPr>
          </w:p>
        </w:tc>
        <w:tc>
          <w:tcPr>
            <w:tcW w:w="1067" w:type="dxa"/>
          </w:tcPr>
          <w:p w14:paraId="36F22441" w14:textId="77777777" w:rsidR="00267BB5" w:rsidRPr="0027789B" w:rsidRDefault="00267BB5" w:rsidP="00267BB5">
            <w:pPr>
              <w:tabs>
                <w:tab w:val="left" w:pos="6480"/>
              </w:tabs>
              <w:jc w:val="both"/>
              <w:rPr>
                <w:sz w:val="16"/>
                <w:szCs w:val="16"/>
              </w:rPr>
            </w:pPr>
          </w:p>
        </w:tc>
        <w:tc>
          <w:tcPr>
            <w:tcW w:w="1068" w:type="dxa"/>
          </w:tcPr>
          <w:p w14:paraId="02659A26" w14:textId="77777777" w:rsidR="00267BB5" w:rsidRPr="0027789B" w:rsidRDefault="00267BB5" w:rsidP="00267BB5">
            <w:pPr>
              <w:tabs>
                <w:tab w:val="left" w:pos="6480"/>
              </w:tabs>
              <w:jc w:val="both"/>
              <w:rPr>
                <w:sz w:val="16"/>
                <w:szCs w:val="16"/>
              </w:rPr>
            </w:pPr>
          </w:p>
        </w:tc>
        <w:tc>
          <w:tcPr>
            <w:tcW w:w="1067" w:type="dxa"/>
          </w:tcPr>
          <w:p w14:paraId="0ED750B1" w14:textId="77777777" w:rsidR="00267BB5" w:rsidRPr="0027789B" w:rsidRDefault="00267BB5" w:rsidP="00267BB5">
            <w:pPr>
              <w:tabs>
                <w:tab w:val="left" w:pos="6480"/>
              </w:tabs>
              <w:jc w:val="both"/>
              <w:rPr>
                <w:sz w:val="16"/>
                <w:szCs w:val="16"/>
              </w:rPr>
            </w:pPr>
          </w:p>
        </w:tc>
        <w:tc>
          <w:tcPr>
            <w:tcW w:w="1068" w:type="dxa"/>
          </w:tcPr>
          <w:p w14:paraId="753F4235" w14:textId="77777777" w:rsidR="00267BB5" w:rsidRPr="0027789B" w:rsidRDefault="00267BB5" w:rsidP="00267BB5">
            <w:pPr>
              <w:tabs>
                <w:tab w:val="left" w:pos="6480"/>
              </w:tabs>
              <w:jc w:val="both"/>
              <w:rPr>
                <w:sz w:val="16"/>
                <w:szCs w:val="16"/>
              </w:rPr>
            </w:pPr>
          </w:p>
        </w:tc>
      </w:tr>
      <w:tr w:rsidR="00267BB5" w:rsidRPr="0027789B" w14:paraId="1CF368D5" w14:textId="77777777" w:rsidTr="00267BB5">
        <w:trPr>
          <w:jc w:val="center"/>
        </w:trPr>
        <w:tc>
          <w:tcPr>
            <w:tcW w:w="1067" w:type="dxa"/>
          </w:tcPr>
          <w:p w14:paraId="0E211677" w14:textId="77777777" w:rsidR="00267BB5" w:rsidRPr="0027789B" w:rsidRDefault="00267BB5" w:rsidP="00267BB5">
            <w:pPr>
              <w:tabs>
                <w:tab w:val="left" w:pos="6480"/>
              </w:tabs>
              <w:jc w:val="both"/>
              <w:rPr>
                <w:sz w:val="16"/>
                <w:szCs w:val="16"/>
              </w:rPr>
            </w:pPr>
            <w:r w:rsidRPr="0027789B">
              <w:rPr>
                <w:sz w:val="16"/>
                <w:szCs w:val="16"/>
              </w:rPr>
              <w:t>23:00</w:t>
            </w:r>
          </w:p>
        </w:tc>
        <w:tc>
          <w:tcPr>
            <w:tcW w:w="1067" w:type="dxa"/>
          </w:tcPr>
          <w:p w14:paraId="26677C71" w14:textId="77777777" w:rsidR="00267BB5" w:rsidRPr="0027789B" w:rsidRDefault="00267BB5" w:rsidP="00267BB5">
            <w:pPr>
              <w:tabs>
                <w:tab w:val="left" w:pos="6480"/>
              </w:tabs>
              <w:jc w:val="both"/>
              <w:rPr>
                <w:sz w:val="16"/>
                <w:szCs w:val="16"/>
              </w:rPr>
            </w:pPr>
          </w:p>
        </w:tc>
        <w:tc>
          <w:tcPr>
            <w:tcW w:w="1068" w:type="dxa"/>
          </w:tcPr>
          <w:p w14:paraId="6B1DD124" w14:textId="77777777" w:rsidR="00267BB5" w:rsidRPr="0027789B" w:rsidRDefault="00267BB5" w:rsidP="00267BB5">
            <w:pPr>
              <w:tabs>
                <w:tab w:val="left" w:pos="6480"/>
              </w:tabs>
              <w:jc w:val="both"/>
              <w:rPr>
                <w:sz w:val="16"/>
                <w:szCs w:val="16"/>
              </w:rPr>
            </w:pPr>
          </w:p>
        </w:tc>
        <w:tc>
          <w:tcPr>
            <w:tcW w:w="1067" w:type="dxa"/>
          </w:tcPr>
          <w:p w14:paraId="71ED46F7" w14:textId="77777777" w:rsidR="00267BB5" w:rsidRPr="0027789B" w:rsidRDefault="00267BB5" w:rsidP="00267BB5">
            <w:pPr>
              <w:tabs>
                <w:tab w:val="left" w:pos="6480"/>
              </w:tabs>
              <w:jc w:val="both"/>
              <w:rPr>
                <w:sz w:val="16"/>
                <w:szCs w:val="16"/>
              </w:rPr>
            </w:pPr>
          </w:p>
        </w:tc>
        <w:tc>
          <w:tcPr>
            <w:tcW w:w="1068" w:type="dxa"/>
          </w:tcPr>
          <w:p w14:paraId="36C8595B" w14:textId="77777777" w:rsidR="00267BB5" w:rsidRPr="0027789B" w:rsidRDefault="00267BB5" w:rsidP="00267BB5">
            <w:pPr>
              <w:tabs>
                <w:tab w:val="left" w:pos="6480"/>
              </w:tabs>
              <w:jc w:val="both"/>
              <w:rPr>
                <w:sz w:val="16"/>
                <w:szCs w:val="16"/>
              </w:rPr>
            </w:pPr>
          </w:p>
        </w:tc>
        <w:tc>
          <w:tcPr>
            <w:tcW w:w="1067" w:type="dxa"/>
          </w:tcPr>
          <w:p w14:paraId="3F18D9FE" w14:textId="77777777" w:rsidR="00267BB5" w:rsidRPr="0027789B" w:rsidRDefault="00267BB5" w:rsidP="00267BB5">
            <w:pPr>
              <w:tabs>
                <w:tab w:val="left" w:pos="6480"/>
              </w:tabs>
              <w:jc w:val="both"/>
              <w:rPr>
                <w:sz w:val="16"/>
                <w:szCs w:val="16"/>
              </w:rPr>
            </w:pPr>
          </w:p>
        </w:tc>
        <w:tc>
          <w:tcPr>
            <w:tcW w:w="1067" w:type="dxa"/>
          </w:tcPr>
          <w:p w14:paraId="376FA843" w14:textId="77777777" w:rsidR="00267BB5" w:rsidRPr="0027789B" w:rsidRDefault="00267BB5" w:rsidP="00267BB5">
            <w:pPr>
              <w:tabs>
                <w:tab w:val="left" w:pos="6480"/>
              </w:tabs>
              <w:jc w:val="both"/>
              <w:rPr>
                <w:sz w:val="16"/>
                <w:szCs w:val="16"/>
              </w:rPr>
            </w:pPr>
          </w:p>
        </w:tc>
        <w:tc>
          <w:tcPr>
            <w:tcW w:w="1068" w:type="dxa"/>
          </w:tcPr>
          <w:p w14:paraId="5196D4A7" w14:textId="77777777" w:rsidR="00267BB5" w:rsidRPr="0027789B" w:rsidRDefault="00267BB5" w:rsidP="00267BB5">
            <w:pPr>
              <w:tabs>
                <w:tab w:val="left" w:pos="6480"/>
              </w:tabs>
              <w:jc w:val="both"/>
              <w:rPr>
                <w:sz w:val="16"/>
                <w:szCs w:val="16"/>
              </w:rPr>
            </w:pPr>
          </w:p>
        </w:tc>
        <w:tc>
          <w:tcPr>
            <w:tcW w:w="1067" w:type="dxa"/>
          </w:tcPr>
          <w:p w14:paraId="2268DAFE" w14:textId="77777777" w:rsidR="00267BB5" w:rsidRPr="0027789B" w:rsidRDefault="00267BB5" w:rsidP="00267BB5">
            <w:pPr>
              <w:tabs>
                <w:tab w:val="left" w:pos="6480"/>
              </w:tabs>
              <w:jc w:val="both"/>
              <w:rPr>
                <w:sz w:val="16"/>
                <w:szCs w:val="16"/>
              </w:rPr>
            </w:pPr>
          </w:p>
        </w:tc>
        <w:tc>
          <w:tcPr>
            <w:tcW w:w="1068" w:type="dxa"/>
          </w:tcPr>
          <w:p w14:paraId="2BA61153" w14:textId="77777777" w:rsidR="00267BB5" w:rsidRPr="0027789B" w:rsidRDefault="00267BB5" w:rsidP="00267BB5">
            <w:pPr>
              <w:tabs>
                <w:tab w:val="left" w:pos="6480"/>
              </w:tabs>
              <w:jc w:val="both"/>
              <w:rPr>
                <w:sz w:val="16"/>
                <w:szCs w:val="16"/>
              </w:rPr>
            </w:pPr>
          </w:p>
        </w:tc>
      </w:tr>
      <w:tr w:rsidR="00267BB5" w:rsidRPr="0027789B" w14:paraId="5CF9FD61" w14:textId="77777777" w:rsidTr="00267BB5">
        <w:trPr>
          <w:jc w:val="center"/>
        </w:trPr>
        <w:tc>
          <w:tcPr>
            <w:tcW w:w="1067" w:type="dxa"/>
          </w:tcPr>
          <w:p w14:paraId="41097863" w14:textId="77777777" w:rsidR="00267BB5" w:rsidRPr="0027789B" w:rsidRDefault="00267BB5" w:rsidP="00267BB5">
            <w:pPr>
              <w:tabs>
                <w:tab w:val="left" w:pos="6480"/>
              </w:tabs>
              <w:jc w:val="both"/>
              <w:rPr>
                <w:sz w:val="16"/>
                <w:szCs w:val="16"/>
              </w:rPr>
            </w:pPr>
            <w:r w:rsidRPr="0027789B">
              <w:rPr>
                <w:sz w:val="16"/>
                <w:szCs w:val="16"/>
              </w:rPr>
              <w:t>0:00</w:t>
            </w:r>
          </w:p>
        </w:tc>
        <w:tc>
          <w:tcPr>
            <w:tcW w:w="1067" w:type="dxa"/>
          </w:tcPr>
          <w:p w14:paraId="235C52F8" w14:textId="77777777" w:rsidR="00267BB5" w:rsidRPr="0027789B" w:rsidRDefault="00267BB5" w:rsidP="00267BB5">
            <w:pPr>
              <w:tabs>
                <w:tab w:val="left" w:pos="6480"/>
              </w:tabs>
              <w:jc w:val="both"/>
              <w:rPr>
                <w:sz w:val="16"/>
                <w:szCs w:val="16"/>
              </w:rPr>
            </w:pPr>
          </w:p>
        </w:tc>
        <w:tc>
          <w:tcPr>
            <w:tcW w:w="1068" w:type="dxa"/>
          </w:tcPr>
          <w:p w14:paraId="27E7C83D" w14:textId="77777777" w:rsidR="00267BB5" w:rsidRPr="0027789B" w:rsidRDefault="00267BB5" w:rsidP="00267BB5">
            <w:pPr>
              <w:tabs>
                <w:tab w:val="left" w:pos="6480"/>
              </w:tabs>
              <w:jc w:val="both"/>
              <w:rPr>
                <w:sz w:val="16"/>
                <w:szCs w:val="16"/>
              </w:rPr>
            </w:pPr>
          </w:p>
        </w:tc>
        <w:tc>
          <w:tcPr>
            <w:tcW w:w="1067" w:type="dxa"/>
          </w:tcPr>
          <w:p w14:paraId="01F9A554" w14:textId="77777777" w:rsidR="00267BB5" w:rsidRPr="0027789B" w:rsidRDefault="00267BB5" w:rsidP="00267BB5">
            <w:pPr>
              <w:tabs>
                <w:tab w:val="left" w:pos="6480"/>
              </w:tabs>
              <w:jc w:val="both"/>
              <w:rPr>
                <w:sz w:val="16"/>
                <w:szCs w:val="16"/>
              </w:rPr>
            </w:pPr>
          </w:p>
        </w:tc>
        <w:tc>
          <w:tcPr>
            <w:tcW w:w="1068" w:type="dxa"/>
          </w:tcPr>
          <w:p w14:paraId="614840D6" w14:textId="77777777" w:rsidR="00267BB5" w:rsidRPr="0027789B" w:rsidRDefault="00267BB5" w:rsidP="00267BB5">
            <w:pPr>
              <w:tabs>
                <w:tab w:val="left" w:pos="6480"/>
              </w:tabs>
              <w:jc w:val="both"/>
              <w:rPr>
                <w:sz w:val="16"/>
                <w:szCs w:val="16"/>
              </w:rPr>
            </w:pPr>
          </w:p>
        </w:tc>
        <w:tc>
          <w:tcPr>
            <w:tcW w:w="1067" w:type="dxa"/>
          </w:tcPr>
          <w:p w14:paraId="2BEC29DD" w14:textId="77777777" w:rsidR="00267BB5" w:rsidRPr="0027789B" w:rsidRDefault="00267BB5" w:rsidP="00267BB5">
            <w:pPr>
              <w:tabs>
                <w:tab w:val="left" w:pos="6480"/>
              </w:tabs>
              <w:jc w:val="both"/>
              <w:rPr>
                <w:sz w:val="16"/>
                <w:szCs w:val="16"/>
              </w:rPr>
            </w:pPr>
          </w:p>
        </w:tc>
        <w:tc>
          <w:tcPr>
            <w:tcW w:w="1067" w:type="dxa"/>
          </w:tcPr>
          <w:p w14:paraId="1E0EBEC8" w14:textId="77777777" w:rsidR="00267BB5" w:rsidRPr="0027789B" w:rsidRDefault="00267BB5" w:rsidP="00267BB5">
            <w:pPr>
              <w:tabs>
                <w:tab w:val="left" w:pos="6480"/>
              </w:tabs>
              <w:jc w:val="both"/>
              <w:rPr>
                <w:sz w:val="16"/>
                <w:szCs w:val="16"/>
              </w:rPr>
            </w:pPr>
          </w:p>
        </w:tc>
        <w:tc>
          <w:tcPr>
            <w:tcW w:w="1068" w:type="dxa"/>
          </w:tcPr>
          <w:p w14:paraId="36B9BAAD" w14:textId="77777777" w:rsidR="00267BB5" w:rsidRPr="0027789B" w:rsidRDefault="00267BB5" w:rsidP="00267BB5">
            <w:pPr>
              <w:tabs>
                <w:tab w:val="left" w:pos="6480"/>
              </w:tabs>
              <w:jc w:val="both"/>
              <w:rPr>
                <w:sz w:val="16"/>
                <w:szCs w:val="16"/>
              </w:rPr>
            </w:pPr>
          </w:p>
        </w:tc>
        <w:tc>
          <w:tcPr>
            <w:tcW w:w="1067" w:type="dxa"/>
          </w:tcPr>
          <w:p w14:paraId="0E3B4549" w14:textId="77777777" w:rsidR="00267BB5" w:rsidRPr="0027789B" w:rsidRDefault="00267BB5" w:rsidP="00267BB5">
            <w:pPr>
              <w:tabs>
                <w:tab w:val="left" w:pos="6480"/>
              </w:tabs>
              <w:jc w:val="both"/>
              <w:rPr>
                <w:sz w:val="16"/>
                <w:szCs w:val="16"/>
              </w:rPr>
            </w:pPr>
          </w:p>
        </w:tc>
        <w:tc>
          <w:tcPr>
            <w:tcW w:w="1068" w:type="dxa"/>
          </w:tcPr>
          <w:p w14:paraId="12DDAB1C" w14:textId="77777777" w:rsidR="00267BB5" w:rsidRPr="0027789B" w:rsidRDefault="00267BB5" w:rsidP="00267BB5">
            <w:pPr>
              <w:tabs>
                <w:tab w:val="left" w:pos="6480"/>
              </w:tabs>
              <w:jc w:val="both"/>
              <w:rPr>
                <w:sz w:val="16"/>
                <w:szCs w:val="16"/>
              </w:rPr>
            </w:pPr>
          </w:p>
        </w:tc>
      </w:tr>
    </w:tbl>
    <w:p w14:paraId="7D7A5285" w14:textId="77777777" w:rsidR="00267BB5" w:rsidRPr="0027789B" w:rsidRDefault="00267BB5" w:rsidP="00267BB5">
      <w:pPr>
        <w:tabs>
          <w:tab w:val="left" w:pos="9360"/>
        </w:tabs>
        <w:jc w:val="both"/>
      </w:pPr>
    </w:p>
    <w:p w14:paraId="58BCA1D0" w14:textId="77777777" w:rsidR="00267BB5" w:rsidRPr="0027789B" w:rsidRDefault="00267BB5" w:rsidP="00267BB5">
      <w:pPr>
        <w:tabs>
          <w:tab w:val="left" w:pos="9360"/>
        </w:tabs>
        <w:jc w:val="both"/>
        <w:rPr>
          <w:u w:val="single"/>
        </w:rPr>
      </w:pPr>
      <w:r w:rsidRPr="0027789B">
        <w:t xml:space="preserve">Comments: </w:t>
      </w:r>
      <w:r w:rsidRPr="0027789B">
        <w:rPr>
          <w:u w:val="single"/>
        </w:rPr>
        <w:tab/>
      </w:r>
    </w:p>
    <w:p w14:paraId="57989F2C" w14:textId="77777777" w:rsidR="00267BB5" w:rsidRPr="0027789B" w:rsidRDefault="00267BB5" w:rsidP="00267BB5">
      <w:pPr>
        <w:tabs>
          <w:tab w:val="left" w:pos="9360"/>
        </w:tabs>
        <w:jc w:val="both"/>
        <w:rPr>
          <w:u w:val="single"/>
        </w:rPr>
        <w:sectPr w:rsidR="00267BB5" w:rsidRPr="0027789B">
          <w:headerReference w:type="default" r:id="rId49"/>
          <w:footerReference w:type="default" r:id="rId50"/>
          <w:pgSz w:w="12240" w:h="15840"/>
          <w:pgMar w:top="1440" w:right="1440" w:bottom="1440" w:left="1440" w:header="720" w:footer="720" w:gutter="0"/>
          <w:pgNumType w:start="1"/>
          <w:cols w:space="720"/>
          <w:docGrid w:linePitch="360"/>
        </w:sectPr>
      </w:pPr>
      <w:r w:rsidRPr="0027789B">
        <w:rPr>
          <w:u w:val="single"/>
        </w:rPr>
        <w:tab/>
      </w:r>
    </w:p>
    <w:p w14:paraId="151F496E" w14:textId="3A5B263D" w:rsidR="00267BB5" w:rsidRPr="0027789B" w:rsidRDefault="00267BB5" w:rsidP="00267BB5">
      <w:pPr>
        <w:spacing w:after="0"/>
        <w:jc w:val="center"/>
        <w:rPr>
          <w:b/>
        </w:rPr>
      </w:pPr>
      <w:r w:rsidRPr="0027789B">
        <w:rPr>
          <w:b/>
        </w:rPr>
        <w:lastRenderedPageBreak/>
        <w:t xml:space="preserve">EXHIBIT </w:t>
      </w:r>
      <w:r>
        <w:rPr>
          <w:b/>
        </w:rPr>
        <w:t>O</w:t>
      </w:r>
    </w:p>
    <w:p w14:paraId="6C50D0C2" w14:textId="77777777" w:rsidR="00267BB5" w:rsidRPr="0027789B" w:rsidRDefault="00267BB5" w:rsidP="00267BB5">
      <w:pPr>
        <w:spacing w:after="0"/>
        <w:jc w:val="center"/>
      </w:pPr>
      <w:r w:rsidRPr="0027789B">
        <w:rPr>
          <w:b/>
        </w:rPr>
        <w:t>DISPATCH NOTICES</w:t>
      </w:r>
    </w:p>
    <w:p w14:paraId="73658D79" w14:textId="77777777" w:rsidR="00267BB5" w:rsidRPr="0027789B" w:rsidRDefault="00267BB5" w:rsidP="00267BB5">
      <w:pPr>
        <w:spacing w:after="0"/>
        <w:jc w:val="center"/>
      </w:pPr>
    </w:p>
    <w:p w14:paraId="19F1437C" w14:textId="77777777" w:rsidR="00267BB5" w:rsidRPr="0027789B" w:rsidRDefault="00267BB5" w:rsidP="00267BB5">
      <w:pPr>
        <w:jc w:val="center"/>
        <w:rPr>
          <w:b/>
          <w:u w:val="single"/>
        </w:rPr>
      </w:pPr>
      <w:r w:rsidRPr="0027789B">
        <w:rPr>
          <w:b/>
          <w:u w:val="single"/>
        </w:rPr>
        <w:t>Dispatch Notice</w:t>
      </w:r>
    </w:p>
    <w:p w14:paraId="57B6AE82" w14:textId="77777777" w:rsidR="00267BB5" w:rsidRPr="0027789B" w:rsidRDefault="00267BB5" w:rsidP="00267BB5">
      <w:pPr>
        <w:tabs>
          <w:tab w:val="left" w:pos="4248"/>
        </w:tabs>
        <w:spacing w:after="0"/>
        <w:jc w:val="both"/>
      </w:pPr>
    </w:p>
    <w:p w14:paraId="16518F7D" w14:textId="77777777" w:rsidR="00267BB5" w:rsidRPr="0027789B" w:rsidRDefault="00267BB5" w:rsidP="00267BB5">
      <w:pPr>
        <w:tabs>
          <w:tab w:val="left" w:pos="4248"/>
        </w:tabs>
        <w:spacing w:after="0"/>
        <w:jc w:val="both"/>
      </w:pPr>
      <w:r w:rsidRPr="0027789B">
        <w:t xml:space="preserve">Operating Day: </w:t>
      </w:r>
      <w:r w:rsidRPr="0027789B">
        <w:rPr>
          <w:u w:val="single"/>
        </w:rPr>
        <w:tab/>
      </w:r>
    </w:p>
    <w:p w14:paraId="51FA7537" w14:textId="77777777" w:rsidR="00267BB5" w:rsidRPr="0027789B" w:rsidRDefault="00267BB5" w:rsidP="00267BB5">
      <w:pPr>
        <w:tabs>
          <w:tab w:val="left" w:pos="3600"/>
          <w:tab w:val="left" w:pos="4320"/>
          <w:tab w:val="left" w:pos="9360"/>
        </w:tabs>
        <w:spacing w:after="0"/>
        <w:jc w:val="both"/>
      </w:pPr>
    </w:p>
    <w:p w14:paraId="106FB1C6" w14:textId="77777777" w:rsidR="00267BB5" w:rsidRPr="0027789B" w:rsidRDefault="00267BB5" w:rsidP="00267BB5">
      <w:pPr>
        <w:tabs>
          <w:tab w:val="left" w:pos="3600"/>
          <w:tab w:val="left" w:pos="4320"/>
          <w:tab w:val="left" w:pos="9360"/>
        </w:tabs>
        <w:spacing w:after="0"/>
        <w:jc w:val="both"/>
      </w:pPr>
      <w:r w:rsidRPr="0027789B">
        <w:t>Station:</w:t>
      </w:r>
      <w:r w:rsidRPr="0027789B">
        <w:rPr>
          <w:u w:val="single"/>
        </w:rPr>
        <w:tab/>
      </w:r>
      <w:r w:rsidRPr="0027789B">
        <w:rPr>
          <w:u w:val="single"/>
        </w:rPr>
        <w:tab/>
      </w:r>
      <w:r w:rsidRPr="0027789B">
        <w:t xml:space="preserve">  Issued By: </w:t>
      </w:r>
      <w:r w:rsidRPr="0027789B">
        <w:rPr>
          <w:u w:val="single"/>
        </w:rPr>
        <w:tab/>
      </w:r>
    </w:p>
    <w:p w14:paraId="2803B6E6" w14:textId="77777777" w:rsidR="00267BB5" w:rsidRPr="0027789B" w:rsidRDefault="00267BB5" w:rsidP="00267BB5">
      <w:pPr>
        <w:tabs>
          <w:tab w:val="left" w:pos="3600"/>
          <w:tab w:val="left" w:pos="4320"/>
          <w:tab w:val="left" w:pos="9360"/>
        </w:tabs>
        <w:spacing w:after="0"/>
        <w:jc w:val="both"/>
      </w:pPr>
    </w:p>
    <w:p w14:paraId="318C5159" w14:textId="77777777" w:rsidR="00267BB5" w:rsidRPr="0027789B" w:rsidRDefault="00267BB5" w:rsidP="00267BB5">
      <w:pPr>
        <w:tabs>
          <w:tab w:val="left" w:pos="3600"/>
          <w:tab w:val="left" w:pos="4320"/>
          <w:tab w:val="left" w:pos="9360"/>
        </w:tabs>
        <w:spacing w:after="0"/>
        <w:jc w:val="both"/>
        <w:rPr>
          <w:u w:val="single"/>
        </w:rPr>
      </w:pPr>
      <w:r w:rsidRPr="0027789B">
        <w:t>Unit:</w:t>
      </w:r>
      <w:r w:rsidRPr="0027789B">
        <w:rPr>
          <w:u w:val="single"/>
        </w:rPr>
        <w:tab/>
      </w:r>
      <w:r w:rsidRPr="0027789B">
        <w:rPr>
          <w:u w:val="single"/>
        </w:rPr>
        <w:tab/>
      </w:r>
      <w:r w:rsidRPr="0027789B">
        <w:t xml:space="preserve">  Issued At: </w:t>
      </w:r>
      <w:r w:rsidRPr="0027789B">
        <w:rPr>
          <w:u w:val="single"/>
        </w:rPr>
        <w:tab/>
      </w:r>
    </w:p>
    <w:p w14:paraId="6F199B38" w14:textId="77777777" w:rsidR="00267BB5" w:rsidRPr="0027789B" w:rsidRDefault="00267BB5" w:rsidP="00267BB5">
      <w:pPr>
        <w:tabs>
          <w:tab w:val="left" w:pos="3600"/>
          <w:tab w:val="left" w:pos="4320"/>
          <w:tab w:val="left" w:pos="9360"/>
        </w:tabs>
        <w:jc w:val="both"/>
      </w:pPr>
    </w:p>
    <w:tbl>
      <w:tblPr>
        <w:tblStyle w:val="TableGrid"/>
        <w:tblW w:w="0" w:type="auto"/>
        <w:tblLook w:val="04A0" w:firstRow="1" w:lastRow="0" w:firstColumn="1" w:lastColumn="0" w:noHBand="0" w:noVBand="1"/>
      </w:tblPr>
      <w:tblGrid>
        <w:gridCol w:w="1067"/>
        <w:gridCol w:w="1263"/>
        <w:gridCol w:w="1171"/>
        <w:gridCol w:w="1089"/>
        <w:gridCol w:w="1257"/>
        <w:gridCol w:w="1031"/>
        <w:gridCol w:w="1300"/>
        <w:gridCol w:w="1172"/>
      </w:tblGrid>
      <w:tr w:rsidR="00267BB5" w:rsidRPr="0027789B" w14:paraId="6C836ECC" w14:textId="77777777" w:rsidTr="00267BB5">
        <w:tc>
          <w:tcPr>
            <w:tcW w:w="1098" w:type="dxa"/>
          </w:tcPr>
          <w:p w14:paraId="4464B605" w14:textId="77777777" w:rsidR="00267BB5" w:rsidRPr="0027789B" w:rsidRDefault="00267BB5" w:rsidP="00267BB5">
            <w:pPr>
              <w:tabs>
                <w:tab w:val="left" w:pos="3600"/>
                <w:tab w:val="left" w:pos="4320"/>
                <w:tab w:val="left" w:pos="9360"/>
              </w:tabs>
              <w:rPr>
                <w:sz w:val="14"/>
                <w:szCs w:val="14"/>
              </w:rPr>
            </w:pPr>
            <w:r w:rsidRPr="0027789B">
              <w:rPr>
                <w:sz w:val="14"/>
                <w:szCs w:val="14"/>
              </w:rPr>
              <w:t>Hour Ending</w:t>
            </w:r>
          </w:p>
        </w:tc>
        <w:tc>
          <w:tcPr>
            <w:tcW w:w="1296" w:type="dxa"/>
          </w:tcPr>
          <w:p w14:paraId="66A7AF43" w14:textId="77777777" w:rsidR="00267BB5" w:rsidRPr="0027789B" w:rsidRDefault="00267BB5" w:rsidP="00267BB5">
            <w:pPr>
              <w:tabs>
                <w:tab w:val="left" w:pos="3600"/>
                <w:tab w:val="left" w:pos="4320"/>
                <w:tab w:val="left" w:pos="9360"/>
              </w:tabs>
              <w:rPr>
                <w:sz w:val="14"/>
                <w:szCs w:val="14"/>
              </w:rPr>
            </w:pPr>
            <w:r w:rsidRPr="0027789B">
              <w:rPr>
                <w:sz w:val="14"/>
                <w:szCs w:val="14"/>
              </w:rPr>
              <w:t>Scheduled Energy</w:t>
            </w:r>
          </w:p>
        </w:tc>
        <w:tc>
          <w:tcPr>
            <w:tcW w:w="1197" w:type="dxa"/>
          </w:tcPr>
          <w:p w14:paraId="49FB8830" w14:textId="77777777" w:rsidR="00267BB5" w:rsidRPr="0027789B" w:rsidRDefault="00267BB5" w:rsidP="00267BB5">
            <w:pPr>
              <w:tabs>
                <w:tab w:val="left" w:pos="3600"/>
                <w:tab w:val="left" w:pos="4320"/>
                <w:tab w:val="left" w:pos="9360"/>
              </w:tabs>
              <w:rPr>
                <w:sz w:val="14"/>
                <w:szCs w:val="14"/>
              </w:rPr>
            </w:pPr>
            <w:r w:rsidRPr="0027789B">
              <w:rPr>
                <w:sz w:val="14"/>
                <w:szCs w:val="14"/>
              </w:rPr>
              <w:t>AGC Scheduled</w:t>
            </w:r>
          </w:p>
        </w:tc>
        <w:tc>
          <w:tcPr>
            <w:tcW w:w="1107" w:type="dxa"/>
          </w:tcPr>
          <w:p w14:paraId="51A47406" w14:textId="77777777" w:rsidR="00267BB5" w:rsidRPr="0027789B" w:rsidRDefault="00267BB5" w:rsidP="00267BB5">
            <w:pPr>
              <w:tabs>
                <w:tab w:val="left" w:pos="3600"/>
                <w:tab w:val="left" w:pos="4320"/>
                <w:tab w:val="left" w:pos="9360"/>
              </w:tabs>
              <w:rPr>
                <w:sz w:val="14"/>
                <w:szCs w:val="14"/>
              </w:rPr>
            </w:pPr>
            <w:r w:rsidRPr="0027789B">
              <w:rPr>
                <w:sz w:val="14"/>
                <w:szCs w:val="14"/>
              </w:rPr>
              <w:t>Regulation Up</w:t>
            </w:r>
          </w:p>
        </w:tc>
        <w:tc>
          <w:tcPr>
            <w:tcW w:w="1287" w:type="dxa"/>
          </w:tcPr>
          <w:p w14:paraId="2D03FB2C" w14:textId="77777777" w:rsidR="00267BB5" w:rsidRPr="0027789B" w:rsidRDefault="00267BB5" w:rsidP="00267BB5">
            <w:pPr>
              <w:tabs>
                <w:tab w:val="left" w:pos="3600"/>
                <w:tab w:val="left" w:pos="4320"/>
                <w:tab w:val="left" w:pos="9360"/>
              </w:tabs>
              <w:rPr>
                <w:sz w:val="14"/>
                <w:szCs w:val="14"/>
              </w:rPr>
            </w:pPr>
            <w:r w:rsidRPr="0027789B">
              <w:rPr>
                <w:sz w:val="14"/>
                <w:szCs w:val="14"/>
              </w:rPr>
              <w:t>Regulation Down</w:t>
            </w:r>
          </w:p>
        </w:tc>
        <w:tc>
          <w:tcPr>
            <w:tcW w:w="1053" w:type="dxa"/>
          </w:tcPr>
          <w:p w14:paraId="0CC79D88" w14:textId="77777777" w:rsidR="00267BB5" w:rsidRPr="0027789B" w:rsidRDefault="00267BB5" w:rsidP="00267BB5">
            <w:pPr>
              <w:tabs>
                <w:tab w:val="left" w:pos="3600"/>
                <w:tab w:val="left" w:pos="4320"/>
                <w:tab w:val="left" w:pos="9360"/>
              </w:tabs>
              <w:rPr>
                <w:sz w:val="14"/>
                <w:szCs w:val="14"/>
              </w:rPr>
            </w:pPr>
            <w:r w:rsidRPr="0027789B">
              <w:rPr>
                <w:sz w:val="14"/>
                <w:szCs w:val="14"/>
              </w:rPr>
              <w:t>Spinning Reserve</w:t>
            </w:r>
          </w:p>
        </w:tc>
        <w:tc>
          <w:tcPr>
            <w:tcW w:w="1341" w:type="dxa"/>
          </w:tcPr>
          <w:p w14:paraId="60F31603" w14:textId="77777777" w:rsidR="00267BB5" w:rsidRPr="0027789B" w:rsidRDefault="00267BB5" w:rsidP="00267BB5">
            <w:pPr>
              <w:tabs>
                <w:tab w:val="left" w:pos="3600"/>
                <w:tab w:val="left" w:pos="4320"/>
                <w:tab w:val="left" w:pos="9360"/>
              </w:tabs>
              <w:rPr>
                <w:sz w:val="14"/>
                <w:szCs w:val="14"/>
              </w:rPr>
            </w:pPr>
            <w:r w:rsidRPr="0027789B">
              <w:rPr>
                <w:sz w:val="14"/>
                <w:szCs w:val="14"/>
              </w:rPr>
              <w:t>Non-Spinning Reserves</w:t>
            </w:r>
          </w:p>
        </w:tc>
        <w:tc>
          <w:tcPr>
            <w:tcW w:w="1197" w:type="dxa"/>
          </w:tcPr>
          <w:p w14:paraId="68A0665A" w14:textId="77777777" w:rsidR="00267BB5" w:rsidRPr="0027789B" w:rsidRDefault="00267BB5" w:rsidP="00267BB5">
            <w:pPr>
              <w:tabs>
                <w:tab w:val="left" w:pos="3600"/>
                <w:tab w:val="left" w:pos="4320"/>
                <w:tab w:val="left" w:pos="9360"/>
              </w:tabs>
              <w:rPr>
                <w:sz w:val="14"/>
                <w:szCs w:val="14"/>
              </w:rPr>
            </w:pPr>
            <w:r w:rsidRPr="0027789B">
              <w:rPr>
                <w:sz w:val="14"/>
                <w:szCs w:val="14"/>
              </w:rPr>
              <w:t>Comments</w:t>
            </w:r>
          </w:p>
        </w:tc>
      </w:tr>
      <w:tr w:rsidR="00267BB5" w:rsidRPr="0027789B" w14:paraId="634ADDB3" w14:textId="77777777" w:rsidTr="00267BB5">
        <w:tc>
          <w:tcPr>
            <w:tcW w:w="1098" w:type="dxa"/>
          </w:tcPr>
          <w:p w14:paraId="093E7BBA" w14:textId="77777777" w:rsidR="00267BB5" w:rsidRPr="0027789B" w:rsidRDefault="00267BB5" w:rsidP="00267BB5">
            <w:pPr>
              <w:tabs>
                <w:tab w:val="left" w:pos="3600"/>
                <w:tab w:val="left" w:pos="4320"/>
                <w:tab w:val="left" w:pos="9360"/>
              </w:tabs>
              <w:jc w:val="both"/>
              <w:rPr>
                <w:sz w:val="14"/>
                <w:szCs w:val="14"/>
              </w:rPr>
            </w:pPr>
          </w:p>
        </w:tc>
        <w:tc>
          <w:tcPr>
            <w:tcW w:w="1296" w:type="dxa"/>
          </w:tcPr>
          <w:p w14:paraId="3D1D4C89"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(MW)</w:t>
            </w:r>
          </w:p>
        </w:tc>
        <w:tc>
          <w:tcPr>
            <w:tcW w:w="1197" w:type="dxa"/>
          </w:tcPr>
          <w:p w14:paraId="280E05ED"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YES/NO</w:t>
            </w:r>
          </w:p>
        </w:tc>
        <w:tc>
          <w:tcPr>
            <w:tcW w:w="1107" w:type="dxa"/>
          </w:tcPr>
          <w:p w14:paraId="3D062CFD"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(MW)</w:t>
            </w:r>
          </w:p>
        </w:tc>
        <w:tc>
          <w:tcPr>
            <w:tcW w:w="1287" w:type="dxa"/>
          </w:tcPr>
          <w:p w14:paraId="30F8C239"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(MW)</w:t>
            </w:r>
          </w:p>
        </w:tc>
        <w:tc>
          <w:tcPr>
            <w:tcW w:w="1053" w:type="dxa"/>
          </w:tcPr>
          <w:p w14:paraId="523FD627"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(MW)</w:t>
            </w:r>
          </w:p>
        </w:tc>
        <w:tc>
          <w:tcPr>
            <w:tcW w:w="1341" w:type="dxa"/>
          </w:tcPr>
          <w:p w14:paraId="76078103"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(MW)</w:t>
            </w:r>
          </w:p>
        </w:tc>
        <w:tc>
          <w:tcPr>
            <w:tcW w:w="1197" w:type="dxa"/>
          </w:tcPr>
          <w:p w14:paraId="18ED510B"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428FE219" w14:textId="77777777" w:rsidTr="00267BB5">
        <w:tc>
          <w:tcPr>
            <w:tcW w:w="1098" w:type="dxa"/>
          </w:tcPr>
          <w:p w14:paraId="4A27F98A"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1:00</w:t>
            </w:r>
          </w:p>
        </w:tc>
        <w:tc>
          <w:tcPr>
            <w:tcW w:w="1296" w:type="dxa"/>
          </w:tcPr>
          <w:p w14:paraId="7A9CF0FB"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71D5C2D1"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309FD306"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7E6F53D5"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0FF01D99"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09AC3CF1"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2FAAB288"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0292B6F5" w14:textId="77777777" w:rsidTr="00267BB5">
        <w:tc>
          <w:tcPr>
            <w:tcW w:w="1098" w:type="dxa"/>
          </w:tcPr>
          <w:p w14:paraId="24E1B8FE"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2:00</w:t>
            </w:r>
          </w:p>
        </w:tc>
        <w:tc>
          <w:tcPr>
            <w:tcW w:w="1296" w:type="dxa"/>
          </w:tcPr>
          <w:p w14:paraId="0282AEEF"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A7DC550"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76077AA2"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17F89144"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35E98D49"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5BDDEA1B"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B6AFDAD"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38C98726" w14:textId="77777777" w:rsidTr="00267BB5">
        <w:tc>
          <w:tcPr>
            <w:tcW w:w="1098" w:type="dxa"/>
          </w:tcPr>
          <w:p w14:paraId="51819810"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3:00</w:t>
            </w:r>
          </w:p>
        </w:tc>
        <w:tc>
          <w:tcPr>
            <w:tcW w:w="1296" w:type="dxa"/>
          </w:tcPr>
          <w:p w14:paraId="73B38D75"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4A46A4B5"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1329A07A"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3EFE314D"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38B62DAA"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4002B2AB"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428D10C7"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22608B2A" w14:textId="77777777" w:rsidTr="00267BB5">
        <w:tc>
          <w:tcPr>
            <w:tcW w:w="1098" w:type="dxa"/>
          </w:tcPr>
          <w:p w14:paraId="26528304"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4:00</w:t>
            </w:r>
          </w:p>
        </w:tc>
        <w:tc>
          <w:tcPr>
            <w:tcW w:w="1296" w:type="dxa"/>
          </w:tcPr>
          <w:p w14:paraId="4678EB7F"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27EF4613"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215FFFB3"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7AE143BA"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2EF01E46"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4CC625E4"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8A87A16"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39B084E2" w14:textId="77777777" w:rsidTr="00267BB5">
        <w:tc>
          <w:tcPr>
            <w:tcW w:w="1098" w:type="dxa"/>
          </w:tcPr>
          <w:p w14:paraId="6CC796AF"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5:00</w:t>
            </w:r>
          </w:p>
        </w:tc>
        <w:tc>
          <w:tcPr>
            <w:tcW w:w="1296" w:type="dxa"/>
          </w:tcPr>
          <w:p w14:paraId="3FEC9BE7"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7325CF25"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0C88C3AB"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75C72918"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748083D6"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014EAE58"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42831459"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4B425AB3" w14:textId="77777777" w:rsidTr="00267BB5">
        <w:tc>
          <w:tcPr>
            <w:tcW w:w="1098" w:type="dxa"/>
          </w:tcPr>
          <w:p w14:paraId="43E69C48"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6:00</w:t>
            </w:r>
          </w:p>
        </w:tc>
        <w:tc>
          <w:tcPr>
            <w:tcW w:w="1296" w:type="dxa"/>
          </w:tcPr>
          <w:p w14:paraId="01064942"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93506F2"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325864EE"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0424DCCD"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15374BE3"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05670BC6"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5D3B6945"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0E6F2563" w14:textId="77777777" w:rsidTr="00267BB5">
        <w:tc>
          <w:tcPr>
            <w:tcW w:w="1098" w:type="dxa"/>
          </w:tcPr>
          <w:p w14:paraId="4B9E6EAD"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7:00</w:t>
            </w:r>
          </w:p>
        </w:tc>
        <w:tc>
          <w:tcPr>
            <w:tcW w:w="1296" w:type="dxa"/>
          </w:tcPr>
          <w:p w14:paraId="1808C109"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22E2361C"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5B42A0B8"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261C96CD"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31D1F5CA"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5ECF0C84"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481FFE64"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5A192C59" w14:textId="77777777" w:rsidTr="00267BB5">
        <w:tc>
          <w:tcPr>
            <w:tcW w:w="1098" w:type="dxa"/>
          </w:tcPr>
          <w:p w14:paraId="58F9FF62"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8:00</w:t>
            </w:r>
          </w:p>
        </w:tc>
        <w:tc>
          <w:tcPr>
            <w:tcW w:w="1296" w:type="dxa"/>
          </w:tcPr>
          <w:p w14:paraId="09C74A31"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3D75E961"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6F871530"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2C44C24F"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64DF0B84"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5BC9B758"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48B967D"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7CE4A61F" w14:textId="77777777" w:rsidTr="00267BB5">
        <w:tc>
          <w:tcPr>
            <w:tcW w:w="1098" w:type="dxa"/>
          </w:tcPr>
          <w:p w14:paraId="12C7449A"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9:00</w:t>
            </w:r>
          </w:p>
        </w:tc>
        <w:tc>
          <w:tcPr>
            <w:tcW w:w="1296" w:type="dxa"/>
          </w:tcPr>
          <w:p w14:paraId="019F7B80"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5E518FC6"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7A059A8F"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44076060"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6A092999"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7C8DD3E8"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80758C0"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626D05FE" w14:textId="77777777" w:rsidTr="00267BB5">
        <w:tc>
          <w:tcPr>
            <w:tcW w:w="1098" w:type="dxa"/>
          </w:tcPr>
          <w:p w14:paraId="6AC5F470"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10:00</w:t>
            </w:r>
          </w:p>
        </w:tc>
        <w:tc>
          <w:tcPr>
            <w:tcW w:w="1296" w:type="dxa"/>
          </w:tcPr>
          <w:p w14:paraId="473F4C39"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25BF0F6"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7C37E76D"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07B64D8B"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77C9743B"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067CF81E"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034753F8"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46F2CC64" w14:textId="77777777" w:rsidTr="00267BB5">
        <w:tc>
          <w:tcPr>
            <w:tcW w:w="1098" w:type="dxa"/>
          </w:tcPr>
          <w:p w14:paraId="0B8BC442"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11:00</w:t>
            </w:r>
          </w:p>
        </w:tc>
        <w:tc>
          <w:tcPr>
            <w:tcW w:w="1296" w:type="dxa"/>
          </w:tcPr>
          <w:p w14:paraId="0BF4E070"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4C52CE9A"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1FCCC057"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0CFB8DA5"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2975A3B9"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2116AD33"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7DFF51D1"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1D6E2040" w14:textId="77777777" w:rsidTr="00267BB5">
        <w:tc>
          <w:tcPr>
            <w:tcW w:w="1098" w:type="dxa"/>
          </w:tcPr>
          <w:p w14:paraId="6B97EFC4"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12:00</w:t>
            </w:r>
          </w:p>
        </w:tc>
        <w:tc>
          <w:tcPr>
            <w:tcW w:w="1296" w:type="dxa"/>
          </w:tcPr>
          <w:p w14:paraId="3ED6316F"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3A333349"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594347B1"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052238C8"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0CE8FE37"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616D483D"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38793835"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4B235D54" w14:textId="77777777" w:rsidTr="00267BB5">
        <w:tc>
          <w:tcPr>
            <w:tcW w:w="1098" w:type="dxa"/>
          </w:tcPr>
          <w:p w14:paraId="24D7E64F"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13:00</w:t>
            </w:r>
          </w:p>
        </w:tc>
        <w:tc>
          <w:tcPr>
            <w:tcW w:w="1296" w:type="dxa"/>
          </w:tcPr>
          <w:p w14:paraId="09AB1AE0"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0432C35E"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2A7DA545"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313A23C8"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1E7B6FB9"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0079CB4D"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5B78FA33"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49ACE7F6" w14:textId="77777777" w:rsidTr="00267BB5">
        <w:tc>
          <w:tcPr>
            <w:tcW w:w="1098" w:type="dxa"/>
          </w:tcPr>
          <w:p w14:paraId="26C04CEA"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14:00</w:t>
            </w:r>
          </w:p>
        </w:tc>
        <w:tc>
          <w:tcPr>
            <w:tcW w:w="1296" w:type="dxa"/>
          </w:tcPr>
          <w:p w14:paraId="3A5367FA"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2CC8B9CA"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2B8C374D"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3D32524D"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4E8C18D5"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6FA17A71"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20E343CE"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1F0F6042" w14:textId="77777777" w:rsidTr="00267BB5">
        <w:tc>
          <w:tcPr>
            <w:tcW w:w="1098" w:type="dxa"/>
          </w:tcPr>
          <w:p w14:paraId="094BB611"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15:00</w:t>
            </w:r>
          </w:p>
        </w:tc>
        <w:tc>
          <w:tcPr>
            <w:tcW w:w="1296" w:type="dxa"/>
          </w:tcPr>
          <w:p w14:paraId="38945AA8"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2E66A684"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330ED45F"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5AF5FFC0"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2A614E48"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7204D85A"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3EECD760"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39AEDF3B" w14:textId="77777777" w:rsidTr="00267BB5">
        <w:tc>
          <w:tcPr>
            <w:tcW w:w="1098" w:type="dxa"/>
          </w:tcPr>
          <w:p w14:paraId="2BEC8A69"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16:00</w:t>
            </w:r>
          </w:p>
        </w:tc>
        <w:tc>
          <w:tcPr>
            <w:tcW w:w="1296" w:type="dxa"/>
          </w:tcPr>
          <w:p w14:paraId="2C86AE18"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45D1A14A"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1625742B"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35E658C2"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60E7DAB9"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39BED9A7"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9B0AB77"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691DCF3D" w14:textId="77777777" w:rsidTr="00267BB5">
        <w:tc>
          <w:tcPr>
            <w:tcW w:w="1098" w:type="dxa"/>
          </w:tcPr>
          <w:p w14:paraId="04B69C99"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lastRenderedPageBreak/>
              <w:t>17:00</w:t>
            </w:r>
          </w:p>
        </w:tc>
        <w:tc>
          <w:tcPr>
            <w:tcW w:w="1296" w:type="dxa"/>
          </w:tcPr>
          <w:p w14:paraId="6CA25BF7"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2BAF1063"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761470F7"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093EAD1E"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44841544"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1A30A27A"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56D5F4D1"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21C49FFF" w14:textId="77777777" w:rsidTr="00267BB5">
        <w:tc>
          <w:tcPr>
            <w:tcW w:w="1098" w:type="dxa"/>
          </w:tcPr>
          <w:p w14:paraId="37A444C8"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18:00</w:t>
            </w:r>
          </w:p>
        </w:tc>
        <w:tc>
          <w:tcPr>
            <w:tcW w:w="1296" w:type="dxa"/>
          </w:tcPr>
          <w:p w14:paraId="33EF7C88"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05893903"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7C5CE621"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12F5691E"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6BCE5161"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6514D9E4"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BF7F025"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0459DC49" w14:textId="77777777" w:rsidTr="00267BB5">
        <w:tc>
          <w:tcPr>
            <w:tcW w:w="1098" w:type="dxa"/>
          </w:tcPr>
          <w:p w14:paraId="0F3ACA7D"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19:00</w:t>
            </w:r>
          </w:p>
        </w:tc>
        <w:tc>
          <w:tcPr>
            <w:tcW w:w="1296" w:type="dxa"/>
          </w:tcPr>
          <w:p w14:paraId="5D76D083"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322A06C9"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115314A7"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3B4C1705"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711BF82D"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590CBCA0"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58AD1DB7"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06583A41" w14:textId="77777777" w:rsidTr="00267BB5">
        <w:tc>
          <w:tcPr>
            <w:tcW w:w="1098" w:type="dxa"/>
          </w:tcPr>
          <w:p w14:paraId="06649817"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20:00</w:t>
            </w:r>
          </w:p>
        </w:tc>
        <w:tc>
          <w:tcPr>
            <w:tcW w:w="1296" w:type="dxa"/>
          </w:tcPr>
          <w:p w14:paraId="5C2B6D57"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090E8B49"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0E02197C"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019852BD"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4BAAC1F9"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70E058D4"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9BCAD7B"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124AF425" w14:textId="77777777" w:rsidTr="00267BB5">
        <w:tc>
          <w:tcPr>
            <w:tcW w:w="1098" w:type="dxa"/>
          </w:tcPr>
          <w:p w14:paraId="01BF78AE"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21:00</w:t>
            </w:r>
          </w:p>
        </w:tc>
        <w:tc>
          <w:tcPr>
            <w:tcW w:w="1296" w:type="dxa"/>
          </w:tcPr>
          <w:p w14:paraId="29854D01"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79E7F621"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52DA4DDE"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1BEA1D7C"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7F79DDBB"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013C5E47"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03F96957"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6E21D5F4" w14:textId="77777777" w:rsidTr="00267BB5">
        <w:tc>
          <w:tcPr>
            <w:tcW w:w="1098" w:type="dxa"/>
          </w:tcPr>
          <w:p w14:paraId="6084DDA1"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22:00</w:t>
            </w:r>
          </w:p>
        </w:tc>
        <w:tc>
          <w:tcPr>
            <w:tcW w:w="1296" w:type="dxa"/>
          </w:tcPr>
          <w:p w14:paraId="64374E2C"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38BED47D"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0BEA8579"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3F0F2010"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424DECFD"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42898452"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30A61289"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7934D760" w14:textId="77777777" w:rsidTr="00267BB5">
        <w:tc>
          <w:tcPr>
            <w:tcW w:w="1098" w:type="dxa"/>
          </w:tcPr>
          <w:p w14:paraId="2319D6B9"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23:00</w:t>
            </w:r>
          </w:p>
        </w:tc>
        <w:tc>
          <w:tcPr>
            <w:tcW w:w="1296" w:type="dxa"/>
          </w:tcPr>
          <w:p w14:paraId="314F2C08"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45590AEB"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0404B550"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43AC6CAB"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48D1B536"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3021B155"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179CE61E" w14:textId="77777777" w:rsidR="00267BB5" w:rsidRPr="0027789B" w:rsidRDefault="00267BB5" w:rsidP="00267BB5">
            <w:pPr>
              <w:tabs>
                <w:tab w:val="left" w:pos="3600"/>
                <w:tab w:val="left" w:pos="4320"/>
                <w:tab w:val="left" w:pos="9360"/>
              </w:tabs>
              <w:jc w:val="both"/>
              <w:rPr>
                <w:sz w:val="14"/>
                <w:szCs w:val="14"/>
              </w:rPr>
            </w:pPr>
          </w:p>
        </w:tc>
      </w:tr>
      <w:tr w:rsidR="00267BB5" w:rsidRPr="0027789B" w14:paraId="6545F699" w14:textId="77777777" w:rsidTr="00267BB5">
        <w:tc>
          <w:tcPr>
            <w:tcW w:w="1098" w:type="dxa"/>
          </w:tcPr>
          <w:p w14:paraId="7B376CD7" w14:textId="77777777" w:rsidR="00267BB5" w:rsidRPr="0027789B" w:rsidRDefault="00267BB5" w:rsidP="00267BB5">
            <w:pPr>
              <w:tabs>
                <w:tab w:val="left" w:pos="3600"/>
                <w:tab w:val="left" w:pos="4320"/>
                <w:tab w:val="left" w:pos="9360"/>
              </w:tabs>
              <w:jc w:val="both"/>
              <w:rPr>
                <w:sz w:val="14"/>
                <w:szCs w:val="14"/>
              </w:rPr>
            </w:pPr>
            <w:r w:rsidRPr="0027789B">
              <w:rPr>
                <w:sz w:val="14"/>
                <w:szCs w:val="14"/>
              </w:rPr>
              <w:t>0:00</w:t>
            </w:r>
          </w:p>
        </w:tc>
        <w:tc>
          <w:tcPr>
            <w:tcW w:w="1296" w:type="dxa"/>
          </w:tcPr>
          <w:p w14:paraId="185774C3"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6E270BAB" w14:textId="77777777" w:rsidR="00267BB5" w:rsidRPr="0027789B" w:rsidRDefault="00267BB5" w:rsidP="00267BB5">
            <w:pPr>
              <w:tabs>
                <w:tab w:val="left" w:pos="3600"/>
                <w:tab w:val="left" w:pos="4320"/>
                <w:tab w:val="left" w:pos="9360"/>
              </w:tabs>
              <w:jc w:val="both"/>
              <w:rPr>
                <w:sz w:val="14"/>
                <w:szCs w:val="14"/>
              </w:rPr>
            </w:pPr>
          </w:p>
        </w:tc>
        <w:tc>
          <w:tcPr>
            <w:tcW w:w="1107" w:type="dxa"/>
          </w:tcPr>
          <w:p w14:paraId="6AF78D1D" w14:textId="77777777" w:rsidR="00267BB5" w:rsidRPr="0027789B" w:rsidRDefault="00267BB5" w:rsidP="00267BB5">
            <w:pPr>
              <w:tabs>
                <w:tab w:val="left" w:pos="3600"/>
                <w:tab w:val="left" w:pos="4320"/>
                <w:tab w:val="left" w:pos="9360"/>
              </w:tabs>
              <w:jc w:val="both"/>
              <w:rPr>
                <w:sz w:val="14"/>
                <w:szCs w:val="14"/>
              </w:rPr>
            </w:pPr>
          </w:p>
        </w:tc>
        <w:tc>
          <w:tcPr>
            <w:tcW w:w="1287" w:type="dxa"/>
          </w:tcPr>
          <w:p w14:paraId="35ED8440" w14:textId="77777777" w:rsidR="00267BB5" w:rsidRPr="0027789B" w:rsidRDefault="00267BB5" w:rsidP="00267BB5">
            <w:pPr>
              <w:tabs>
                <w:tab w:val="left" w:pos="3600"/>
                <w:tab w:val="left" w:pos="4320"/>
                <w:tab w:val="left" w:pos="9360"/>
              </w:tabs>
              <w:jc w:val="both"/>
              <w:rPr>
                <w:sz w:val="14"/>
                <w:szCs w:val="14"/>
              </w:rPr>
            </w:pPr>
          </w:p>
        </w:tc>
        <w:tc>
          <w:tcPr>
            <w:tcW w:w="1053" w:type="dxa"/>
          </w:tcPr>
          <w:p w14:paraId="73F768AF" w14:textId="77777777" w:rsidR="00267BB5" w:rsidRPr="0027789B" w:rsidRDefault="00267BB5" w:rsidP="00267BB5">
            <w:pPr>
              <w:tabs>
                <w:tab w:val="left" w:pos="3600"/>
                <w:tab w:val="left" w:pos="4320"/>
                <w:tab w:val="left" w:pos="9360"/>
              </w:tabs>
              <w:jc w:val="both"/>
              <w:rPr>
                <w:sz w:val="14"/>
                <w:szCs w:val="14"/>
              </w:rPr>
            </w:pPr>
          </w:p>
        </w:tc>
        <w:tc>
          <w:tcPr>
            <w:tcW w:w="1341" w:type="dxa"/>
          </w:tcPr>
          <w:p w14:paraId="7577EED1" w14:textId="77777777" w:rsidR="00267BB5" w:rsidRPr="0027789B" w:rsidRDefault="00267BB5" w:rsidP="00267BB5">
            <w:pPr>
              <w:tabs>
                <w:tab w:val="left" w:pos="3600"/>
                <w:tab w:val="left" w:pos="4320"/>
                <w:tab w:val="left" w:pos="9360"/>
              </w:tabs>
              <w:jc w:val="both"/>
              <w:rPr>
                <w:sz w:val="14"/>
                <w:szCs w:val="14"/>
              </w:rPr>
            </w:pPr>
          </w:p>
        </w:tc>
        <w:tc>
          <w:tcPr>
            <w:tcW w:w="1197" w:type="dxa"/>
          </w:tcPr>
          <w:p w14:paraId="1511C1D6" w14:textId="77777777" w:rsidR="00267BB5" w:rsidRPr="0027789B" w:rsidRDefault="00267BB5" w:rsidP="00267BB5">
            <w:pPr>
              <w:tabs>
                <w:tab w:val="left" w:pos="3600"/>
                <w:tab w:val="left" w:pos="4320"/>
                <w:tab w:val="left" w:pos="9360"/>
              </w:tabs>
              <w:jc w:val="both"/>
              <w:rPr>
                <w:sz w:val="14"/>
                <w:szCs w:val="14"/>
              </w:rPr>
            </w:pPr>
          </w:p>
        </w:tc>
      </w:tr>
    </w:tbl>
    <w:p w14:paraId="48122CD7" w14:textId="77777777" w:rsidR="00267BB5" w:rsidRPr="0027789B" w:rsidRDefault="00267BB5" w:rsidP="00267BB5">
      <w:pPr>
        <w:tabs>
          <w:tab w:val="left" w:pos="3600"/>
          <w:tab w:val="left" w:pos="4320"/>
          <w:tab w:val="left" w:pos="9360"/>
        </w:tabs>
        <w:jc w:val="both"/>
      </w:pPr>
    </w:p>
    <w:p w14:paraId="7C4F0519" w14:textId="77777777" w:rsidR="00267BB5" w:rsidRPr="0027789B" w:rsidRDefault="00267BB5" w:rsidP="00267BB5">
      <w:pPr>
        <w:tabs>
          <w:tab w:val="left" w:pos="9360"/>
        </w:tabs>
        <w:rPr>
          <w:u w:val="single"/>
        </w:rPr>
      </w:pPr>
      <w:r w:rsidRPr="0027789B">
        <w:t xml:space="preserve">Comments: </w:t>
      </w:r>
      <w:r w:rsidRPr="0027789B">
        <w:rPr>
          <w:u w:val="single"/>
        </w:rPr>
        <w:tab/>
      </w:r>
    </w:p>
    <w:p w14:paraId="7E839DD8" w14:textId="77777777" w:rsidR="00267BB5" w:rsidRPr="0027789B" w:rsidRDefault="00267BB5" w:rsidP="00267BB5">
      <w:pPr>
        <w:tabs>
          <w:tab w:val="left" w:pos="9360"/>
        </w:tabs>
        <w:rPr>
          <w:u w:val="single"/>
        </w:rPr>
      </w:pPr>
      <w:r w:rsidRPr="0027789B">
        <w:rPr>
          <w:u w:val="single"/>
        </w:rPr>
        <w:tab/>
      </w:r>
    </w:p>
    <w:p w14:paraId="1A4B5AC9" w14:textId="77777777" w:rsidR="00267BB5" w:rsidRPr="0027789B" w:rsidRDefault="00267BB5" w:rsidP="00267BB5">
      <w:pPr>
        <w:tabs>
          <w:tab w:val="left" w:pos="9360"/>
        </w:tabs>
        <w:rPr>
          <w:u w:val="single"/>
        </w:rPr>
      </w:pPr>
      <w:r w:rsidRPr="0027789B">
        <w:rPr>
          <w:u w:val="single"/>
        </w:rPr>
        <w:tab/>
      </w:r>
    </w:p>
    <w:p w14:paraId="57E69979" w14:textId="77777777" w:rsidR="00267BB5" w:rsidRPr="0027789B" w:rsidRDefault="00267BB5" w:rsidP="00267BB5">
      <w:pPr>
        <w:tabs>
          <w:tab w:val="left" w:pos="9360"/>
        </w:tabs>
        <w:rPr>
          <w:u w:val="single"/>
        </w:rPr>
      </w:pPr>
    </w:p>
    <w:p w14:paraId="449AA999" w14:textId="55D6C5A1" w:rsidR="00267BB5" w:rsidRDefault="00267BB5" w:rsidP="00267BB5">
      <w:pPr>
        <w:spacing w:before="100" w:after="100"/>
        <w:jc w:val="center"/>
        <w:rPr>
          <w:u w:val="single"/>
        </w:rPr>
      </w:pPr>
      <w:r>
        <w:rPr>
          <w:i/>
          <w:iCs/>
        </w:rPr>
        <w:t>*** End of EXHIBIT O ***</w:t>
      </w:r>
    </w:p>
    <w:p w14:paraId="7C6928F9" w14:textId="77777777" w:rsidR="00267BB5" w:rsidRDefault="00267BB5" w:rsidP="00267BB5"/>
    <w:p w14:paraId="6955C2DA" w14:textId="77777777" w:rsidR="00267BB5" w:rsidRPr="0027789B" w:rsidRDefault="00267BB5" w:rsidP="00267BB5">
      <w:pPr>
        <w:pStyle w:val="Heading3"/>
        <w:sectPr w:rsidR="00267BB5" w:rsidRPr="0027789B">
          <w:footerReference w:type="default" r:id="rId51"/>
          <w:pgSz w:w="12240" w:h="15840"/>
          <w:pgMar w:top="1440" w:right="1440" w:bottom="1440" w:left="1440" w:header="720" w:footer="720" w:gutter="0"/>
          <w:pgNumType w:start="1"/>
          <w:cols w:space="720"/>
          <w:docGrid w:linePitch="360"/>
        </w:sectPr>
      </w:pPr>
    </w:p>
    <w:p w14:paraId="1A2122B4" w14:textId="2B6898AB" w:rsidR="00267BB5" w:rsidRPr="0027789B" w:rsidRDefault="00267BB5" w:rsidP="00267BB5">
      <w:pPr>
        <w:spacing w:after="0"/>
        <w:jc w:val="center"/>
        <w:rPr>
          <w:b/>
        </w:rPr>
      </w:pPr>
      <w:r w:rsidRPr="0027789B">
        <w:rPr>
          <w:b/>
        </w:rPr>
        <w:lastRenderedPageBreak/>
        <w:t xml:space="preserve">EXHIBIT </w:t>
      </w:r>
      <w:r>
        <w:rPr>
          <w:b/>
        </w:rPr>
        <w:t>P</w:t>
      </w:r>
    </w:p>
    <w:p w14:paraId="043D1063" w14:textId="77777777" w:rsidR="00267BB5" w:rsidRPr="0027789B" w:rsidRDefault="00267BB5" w:rsidP="00267BB5">
      <w:pPr>
        <w:spacing w:after="0"/>
        <w:jc w:val="center"/>
        <w:rPr>
          <w:b/>
        </w:rPr>
      </w:pPr>
      <w:r w:rsidRPr="0027789B">
        <w:rPr>
          <w:b/>
        </w:rPr>
        <w:t>START-UP NOTICE</w:t>
      </w:r>
    </w:p>
    <w:p w14:paraId="35AA53E6" w14:textId="77777777" w:rsidR="00267BB5" w:rsidRPr="0027789B" w:rsidRDefault="00267BB5" w:rsidP="00267BB5">
      <w:pPr>
        <w:jc w:val="center"/>
      </w:pPr>
    </w:p>
    <w:p w14:paraId="62615F4A" w14:textId="77777777" w:rsidR="00267BB5" w:rsidRPr="0027789B" w:rsidRDefault="00267BB5" w:rsidP="00267BB5">
      <w:pPr>
        <w:tabs>
          <w:tab w:val="left" w:pos="1440"/>
          <w:tab w:val="left" w:pos="3600"/>
          <w:tab w:val="left" w:pos="9360"/>
        </w:tabs>
      </w:pPr>
      <w:r w:rsidRPr="0027789B">
        <w:t>Date</w:t>
      </w:r>
      <w:r w:rsidRPr="0027789B">
        <w:tab/>
      </w:r>
      <w:r w:rsidRPr="0027789B">
        <w:rPr>
          <w:u w:val="single"/>
        </w:rPr>
        <w:tab/>
      </w:r>
    </w:p>
    <w:p w14:paraId="4C9197B0" w14:textId="77777777" w:rsidR="00267BB5" w:rsidRPr="0027789B" w:rsidRDefault="00267BB5" w:rsidP="00267BB5">
      <w:pPr>
        <w:tabs>
          <w:tab w:val="left" w:pos="1440"/>
          <w:tab w:val="left" w:pos="3600"/>
          <w:tab w:val="left" w:pos="4320"/>
          <w:tab w:val="left" w:pos="9360"/>
        </w:tabs>
        <w:rPr>
          <w:u w:val="single"/>
        </w:rPr>
      </w:pPr>
      <w:r w:rsidRPr="0027789B">
        <w:t>Station</w:t>
      </w:r>
      <w:r w:rsidRPr="0027789B">
        <w:tab/>
      </w:r>
      <w:r w:rsidRPr="0027789B">
        <w:rPr>
          <w:u w:val="single"/>
        </w:rPr>
        <w:tab/>
      </w:r>
      <w:r w:rsidRPr="0027789B">
        <w:tab/>
        <w:t xml:space="preserve">Issued By: </w:t>
      </w:r>
      <w:r w:rsidRPr="0027789B">
        <w:rPr>
          <w:u w:val="single"/>
        </w:rPr>
        <w:tab/>
      </w:r>
    </w:p>
    <w:p w14:paraId="087513CE" w14:textId="77777777" w:rsidR="00267BB5" w:rsidRPr="0027789B" w:rsidRDefault="00267BB5" w:rsidP="00267BB5">
      <w:pPr>
        <w:tabs>
          <w:tab w:val="left" w:pos="1440"/>
          <w:tab w:val="left" w:pos="3600"/>
          <w:tab w:val="left" w:pos="4320"/>
          <w:tab w:val="left" w:pos="9360"/>
        </w:tabs>
      </w:pPr>
      <w:r w:rsidRPr="0027789B">
        <w:t>Unit</w:t>
      </w:r>
      <w:r w:rsidRPr="0027789B">
        <w:tab/>
      </w:r>
      <w:r w:rsidRPr="0027789B">
        <w:rPr>
          <w:u w:val="single"/>
        </w:rPr>
        <w:t xml:space="preserve">              </w:t>
      </w:r>
      <w:r w:rsidRPr="0027789B">
        <w:rPr>
          <w:u w:val="single"/>
        </w:rPr>
        <w:tab/>
      </w:r>
      <w:r w:rsidRPr="0027789B">
        <w:tab/>
        <w:t xml:space="preserve">Issued At: </w:t>
      </w:r>
      <w:r w:rsidRPr="0027789B">
        <w:rPr>
          <w:u w:val="single"/>
        </w:rPr>
        <w:tab/>
      </w:r>
    </w:p>
    <w:p w14:paraId="0E8589A6" w14:textId="77777777" w:rsidR="00267BB5" w:rsidRPr="0027789B" w:rsidRDefault="00267BB5" w:rsidP="00267BB5">
      <w:pPr>
        <w:tabs>
          <w:tab w:val="left" w:pos="4320"/>
          <w:tab w:val="left" w:pos="7200"/>
          <w:tab w:val="left" w:pos="9360"/>
        </w:tabs>
      </w:pPr>
    </w:p>
    <w:p w14:paraId="33FE678B" w14:textId="77777777" w:rsidR="00267BB5" w:rsidRPr="0027789B" w:rsidRDefault="00267BB5" w:rsidP="00267BB5">
      <w:pPr>
        <w:tabs>
          <w:tab w:val="left" w:pos="4320"/>
          <w:tab w:val="left" w:pos="7200"/>
          <w:tab w:val="left" w:pos="9360"/>
        </w:tabs>
        <w:spacing w:after="0"/>
      </w:pPr>
      <w:r w:rsidRPr="0027789B">
        <w:t xml:space="preserve">Date and Time Start-Up Initiated for </w:t>
      </w:r>
    </w:p>
    <w:p w14:paraId="41D708DA" w14:textId="77777777" w:rsidR="00267BB5" w:rsidRPr="0027789B" w:rsidRDefault="00267BB5" w:rsidP="00267BB5">
      <w:pPr>
        <w:tabs>
          <w:tab w:val="left" w:pos="4320"/>
          <w:tab w:val="left" w:pos="7200"/>
          <w:tab w:val="left" w:pos="9360"/>
        </w:tabs>
        <w:spacing w:after="0"/>
        <w:rPr>
          <w:u w:val="single"/>
        </w:rPr>
      </w:pPr>
      <w:r w:rsidRPr="0027789B">
        <w:t>Applicable Storage Unit</w:t>
      </w:r>
      <w:r w:rsidRPr="0027789B">
        <w:tab/>
      </w:r>
      <w:r w:rsidRPr="0027789B">
        <w:rPr>
          <w:u w:val="single"/>
        </w:rPr>
        <w:tab/>
      </w:r>
    </w:p>
    <w:p w14:paraId="717B665D" w14:textId="77777777" w:rsidR="00267BB5" w:rsidRPr="0027789B" w:rsidRDefault="00267BB5" w:rsidP="00267BB5">
      <w:pPr>
        <w:tabs>
          <w:tab w:val="left" w:pos="4320"/>
          <w:tab w:val="left" w:pos="7200"/>
          <w:tab w:val="left" w:pos="9360"/>
        </w:tabs>
        <w:spacing w:after="0"/>
        <w:rPr>
          <w:u w:val="single"/>
        </w:rPr>
      </w:pPr>
    </w:p>
    <w:p w14:paraId="2612EF74" w14:textId="77777777" w:rsidR="00267BB5" w:rsidRPr="0027789B" w:rsidRDefault="00267BB5" w:rsidP="00267BB5">
      <w:pPr>
        <w:tabs>
          <w:tab w:val="left" w:pos="4320"/>
          <w:tab w:val="left" w:pos="7200"/>
          <w:tab w:val="left" w:pos="9360"/>
        </w:tabs>
        <w:spacing w:after="0"/>
        <w:rPr>
          <w:u w:val="single"/>
        </w:rPr>
      </w:pPr>
      <w:r w:rsidRPr="0027789B">
        <w:t>Date and Time Applicable Generating</w:t>
      </w:r>
      <w:r w:rsidRPr="0027789B">
        <w:br/>
        <w:t>Unit Synchronized</w:t>
      </w:r>
      <w:r w:rsidRPr="0027789B">
        <w:tab/>
      </w:r>
      <w:r w:rsidRPr="0027789B">
        <w:rPr>
          <w:u w:val="single"/>
        </w:rPr>
        <w:tab/>
      </w:r>
    </w:p>
    <w:p w14:paraId="3F78FDBF" w14:textId="77777777" w:rsidR="00267BB5" w:rsidRPr="0027789B" w:rsidRDefault="00267BB5" w:rsidP="00267BB5">
      <w:pPr>
        <w:tabs>
          <w:tab w:val="left" w:pos="4320"/>
          <w:tab w:val="left" w:pos="7200"/>
          <w:tab w:val="left" w:pos="9360"/>
        </w:tabs>
        <w:spacing w:after="0"/>
        <w:rPr>
          <w:u w:val="single"/>
        </w:rPr>
      </w:pPr>
    </w:p>
    <w:p w14:paraId="1FAB629A" w14:textId="77777777" w:rsidR="00267BB5" w:rsidRPr="0027789B" w:rsidRDefault="00267BB5" w:rsidP="00267BB5">
      <w:pPr>
        <w:tabs>
          <w:tab w:val="left" w:pos="4320"/>
          <w:tab w:val="left" w:pos="7200"/>
          <w:tab w:val="left" w:pos="9360"/>
        </w:tabs>
        <w:spacing w:after="0"/>
        <w:rPr>
          <w:u w:val="single"/>
        </w:rPr>
      </w:pPr>
      <w:r w:rsidRPr="0027789B">
        <w:t>Date and Time Applicable</w:t>
      </w:r>
      <w:r w:rsidRPr="0027789B">
        <w:br/>
        <w:t>Storage Unit Released for Dispatch</w:t>
      </w:r>
      <w:r w:rsidRPr="0027789B">
        <w:tab/>
      </w:r>
      <w:r w:rsidRPr="0027789B">
        <w:rPr>
          <w:u w:val="single"/>
        </w:rPr>
        <w:tab/>
      </w:r>
    </w:p>
    <w:p w14:paraId="0CF27C19" w14:textId="77777777" w:rsidR="00267BB5" w:rsidRPr="0027789B" w:rsidRDefault="00267BB5" w:rsidP="00267BB5">
      <w:pPr>
        <w:tabs>
          <w:tab w:val="left" w:pos="4320"/>
          <w:tab w:val="left" w:pos="7200"/>
          <w:tab w:val="left" w:pos="9360"/>
        </w:tabs>
        <w:spacing w:after="0"/>
      </w:pPr>
    </w:p>
    <w:p w14:paraId="4D8F8FDE" w14:textId="77777777" w:rsidR="00267BB5" w:rsidRDefault="00267BB5" w:rsidP="00267BB5">
      <w:pPr>
        <w:tabs>
          <w:tab w:val="left" w:pos="4320"/>
          <w:tab w:val="left" w:pos="7200"/>
          <w:tab w:val="left" w:pos="9360"/>
        </w:tabs>
      </w:pPr>
    </w:p>
    <w:p w14:paraId="178F07C0" w14:textId="77777777" w:rsidR="00267BB5" w:rsidRDefault="00267BB5" w:rsidP="00267BB5">
      <w:pPr>
        <w:tabs>
          <w:tab w:val="left" w:pos="4320"/>
          <w:tab w:val="left" w:pos="7200"/>
          <w:tab w:val="left" w:pos="9360"/>
        </w:tabs>
      </w:pPr>
    </w:p>
    <w:p w14:paraId="65290AE4" w14:textId="77777777" w:rsidR="00267BB5" w:rsidRPr="0027789B" w:rsidRDefault="00267BB5" w:rsidP="00267BB5">
      <w:pPr>
        <w:tabs>
          <w:tab w:val="left" w:pos="4320"/>
          <w:tab w:val="left" w:pos="7200"/>
          <w:tab w:val="left" w:pos="9360"/>
        </w:tabs>
      </w:pPr>
    </w:p>
    <w:p w14:paraId="72EB149A" w14:textId="66B5902A" w:rsidR="00267BB5" w:rsidRDefault="00267BB5" w:rsidP="00267BB5">
      <w:pPr>
        <w:spacing w:before="100" w:after="100"/>
        <w:jc w:val="center"/>
        <w:rPr>
          <w:i/>
          <w:iCs/>
        </w:rPr>
        <w:sectPr w:rsidR="00267BB5">
          <w:footerReference w:type="default" r:id="rId52"/>
          <w:pgSz w:w="12240" w:h="15840"/>
          <w:pgMar w:top="1440" w:right="1440" w:bottom="1440" w:left="1440" w:header="720" w:footer="720" w:gutter="0"/>
          <w:pgNumType w:start="1"/>
          <w:cols w:space="720"/>
          <w:docGrid w:linePitch="360"/>
        </w:sectPr>
      </w:pPr>
      <w:r>
        <w:rPr>
          <w:i/>
          <w:iCs/>
        </w:rPr>
        <w:t>*** End of EXHIBIT P ***</w:t>
      </w:r>
    </w:p>
    <w:p w14:paraId="073DA043" w14:textId="41515ED0" w:rsidR="006B1090" w:rsidRPr="00CF77B9" w:rsidRDefault="006B1090" w:rsidP="006B1090">
      <w:pPr>
        <w:jc w:val="center"/>
        <w:rPr>
          <w:b/>
        </w:rPr>
      </w:pPr>
      <w:r w:rsidRPr="00CF77B9">
        <w:rPr>
          <w:b/>
        </w:rPr>
        <w:lastRenderedPageBreak/>
        <w:t xml:space="preserve">EXHIBIT </w:t>
      </w:r>
      <w:r w:rsidR="0026318A">
        <w:rPr>
          <w:b/>
        </w:rPr>
        <w:t>Q</w:t>
      </w:r>
    </w:p>
    <w:p w14:paraId="6239E408" w14:textId="77777777" w:rsidR="006B1090" w:rsidRPr="00CF77B9" w:rsidRDefault="006B1090" w:rsidP="006B1090">
      <w:pPr>
        <w:spacing w:before="100" w:after="100"/>
        <w:jc w:val="center"/>
        <w:rPr>
          <w:i/>
          <w:u w:val="single"/>
        </w:rPr>
      </w:pPr>
      <w:r w:rsidRPr="00CF77B9">
        <w:rPr>
          <w:i/>
          <w:u w:val="single"/>
        </w:rPr>
        <w:t>Notice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4721"/>
      </w:tblGrid>
      <w:tr w:rsidR="00C8421F" w:rsidRPr="00A10CC6" w14:paraId="1DF570CB" w14:textId="77777777" w:rsidTr="008910F8">
        <w:trPr>
          <w:cantSplit/>
          <w:trHeight w:val="692"/>
          <w:tblHeader/>
        </w:trPr>
        <w:tc>
          <w:tcPr>
            <w:tcW w:w="4855" w:type="dxa"/>
            <w:tcBorders>
              <w:bottom w:val="double" w:sz="4" w:space="0" w:color="auto"/>
            </w:tcBorders>
          </w:tcPr>
          <w:p w14:paraId="0895C7DF" w14:textId="77777777" w:rsidR="00C8421F" w:rsidRPr="00A10CC6" w:rsidRDefault="00C8421F" w:rsidP="007F0C43">
            <w:pPr>
              <w:spacing w:before="60" w:after="60"/>
            </w:pPr>
            <w:r w:rsidRPr="00A10CC6">
              <w:rPr>
                <w:b/>
                <w:bCs/>
                <w:i/>
                <w:iCs/>
                <w:color w:val="0000FF"/>
              </w:rPr>
              <w:t>[SELLER’S NAME]</w:t>
            </w:r>
            <w:r w:rsidRPr="00A10CC6">
              <w:rPr>
                <w:b/>
                <w:bCs/>
                <w:i/>
                <w:iCs/>
                <w:color w:val="0000FF"/>
              </w:rPr>
              <w:br/>
            </w:r>
            <w:r w:rsidRPr="00A10CC6">
              <w:t>(“Seller”)</w:t>
            </w:r>
          </w:p>
        </w:tc>
        <w:tc>
          <w:tcPr>
            <w:tcW w:w="4721" w:type="dxa"/>
            <w:tcBorders>
              <w:bottom w:val="double" w:sz="4" w:space="0" w:color="auto"/>
            </w:tcBorders>
          </w:tcPr>
          <w:p w14:paraId="75216A3C" w14:textId="77777777" w:rsidR="00C8421F" w:rsidRPr="00A10CC6" w:rsidRDefault="00C8421F" w:rsidP="007F0C43">
            <w:pPr>
              <w:spacing w:before="60" w:after="60"/>
              <w:rPr>
                <w:b/>
                <w:bCs/>
                <w:i/>
                <w:iCs/>
                <w:color w:val="0000FF"/>
              </w:rPr>
            </w:pPr>
            <w:r w:rsidRPr="00A10CC6">
              <w:rPr>
                <w:b/>
                <w:bCs/>
              </w:rPr>
              <w:t xml:space="preserve">SOUTHERN CALIFORNIA EDISON COMPANY </w:t>
            </w:r>
            <w:r w:rsidRPr="00A10CC6">
              <w:t>(“SCE”)</w:t>
            </w:r>
          </w:p>
        </w:tc>
      </w:tr>
      <w:tr w:rsidR="00C8421F" w:rsidRPr="00A10CC6" w14:paraId="1A752297" w14:textId="77777777" w:rsidTr="008910F8">
        <w:trPr>
          <w:cantSplit/>
        </w:trPr>
        <w:tc>
          <w:tcPr>
            <w:tcW w:w="4855" w:type="dxa"/>
            <w:tcBorders>
              <w:top w:val="double" w:sz="4" w:space="0" w:color="auto"/>
            </w:tcBorders>
          </w:tcPr>
          <w:p w14:paraId="6BF4CBEC" w14:textId="52BA3C05" w:rsidR="00C8421F" w:rsidRPr="00E335BC" w:rsidRDefault="00C8421F" w:rsidP="007F0C43">
            <w:pPr>
              <w:spacing w:before="120" w:after="120"/>
              <w:ind w:left="67"/>
            </w:pPr>
            <w:r w:rsidRPr="00E335BC">
              <w:t>All Notices are deemed provided in accordance with Section </w:t>
            </w:r>
            <w:r>
              <w:t>14</w:t>
            </w:r>
            <w:r w:rsidRPr="00E335BC">
              <w:t>.02 if made to the address and facsimile numbers provided below:</w:t>
            </w:r>
          </w:p>
        </w:tc>
        <w:tc>
          <w:tcPr>
            <w:tcW w:w="4721" w:type="dxa"/>
            <w:tcBorders>
              <w:top w:val="double" w:sz="4" w:space="0" w:color="auto"/>
            </w:tcBorders>
          </w:tcPr>
          <w:p w14:paraId="29401512" w14:textId="28F5DF5A" w:rsidR="00C8421F" w:rsidRPr="00E335BC" w:rsidRDefault="00C8421F" w:rsidP="007F0C43">
            <w:pPr>
              <w:spacing w:before="120" w:after="120"/>
              <w:ind w:left="49"/>
            </w:pPr>
            <w:r w:rsidRPr="00E335BC">
              <w:t>Unless otherwise specified, all Notices are deemed provided in accordance with Section </w:t>
            </w:r>
            <w:r>
              <w:t>14</w:t>
            </w:r>
            <w:r w:rsidRPr="00E335BC">
              <w:t>.02 if made to the Contract Sponsor at the address or facsimile number provided below:</w:t>
            </w:r>
          </w:p>
        </w:tc>
      </w:tr>
      <w:tr w:rsidR="00C8421F" w:rsidRPr="00A10CC6" w14:paraId="643C7EE7" w14:textId="77777777" w:rsidTr="008910F8">
        <w:trPr>
          <w:cantSplit/>
          <w:trHeight w:val="297"/>
        </w:trPr>
        <w:tc>
          <w:tcPr>
            <w:tcW w:w="4855" w:type="dxa"/>
          </w:tcPr>
          <w:p w14:paraId="1ABCC689" w14:textId="77777777" w:rsidR="00C8421F" w:rsidRPr="00A10CC6" w:rsidRDefault="00C8421F" w:rsidP="007F0C43">
            <w:pPr>
              <w:spacing w:before="120" w:after="0"/>
              <w:ind w:left="67"/>
              <w:rPr>
                <w:b/>
                <w:bCs/>
              </w:rPr>
            </w:pPr>
            <w:r w:rsidRPr="00A10CC6">
              <w:rPr>
                <w:b/>
                <w:bCs/>
              </w:rPr>
              <w:t>Contract Sponsor:</w:t>
            </w:r>
          </w:p>
          <w:p w14:paraId="57193AC7" w14:textId="77777777" w:rsidR="00C8421F" w:rsidRPr="00A10CC6" w:rsidRDefault="00C8421F" w:rsidP="007F0C43">
            <w:pPr>
              <w:spacing w:after="0"/>
              <w:ind w:left="589" w:hanging="589"/>
            </w:pPr>
            <w:r w:rsidRPr="00A10CC6">
              <w:t>Attn:</w:t>
            </w:r>
            <w:r w:rsidRPr="00A10CC6">
              <w:tab/>
            </w:r>
          </w:p>
          <w:p w14:paraId="7DF0C94B" w14:textId="77777777" w:rsidR="00C8421F" w:rsidRPr="00A10CC6" w:rsidRDefault="00C8421F" w:rsidP="007F0C43">
            <w:pPr>
              <w:spacing w:after="0"/>
              <w:ind w:left="589" w:hanging="589"/>
            </w:pPr>
            <w:r w:rsidRPr="00A10CC6">
              <w:tab/>
            </w:r>
          </w:p>
          <w:p w14:paraId="19673CC2" w14:textId="77777777" w:rsidR="00C8421F" w:rsidRPr="00A10CC6" w:rsidRDefault="00C8421F" w:rsidP="007F0C43">
            <w:pPr>
              <w:spacing w:after="0"/>
              <w:ind w:left="589" w:hanging="589"/>
            </w:pPr>
            <w:r w:rsidRPr="00A10CC6">
              <w:t>Street:</w:t>
            </w:r>
            <w:r w:rsidRPr="00A10CC6">
              <w:tab/>
            </w:r>
          </w:p>
          <w:p w14:paraId="2892915B" w14:textId="77777777" w:rsidR="00C8421F" w:rsidRPr="00A10CC6" w:rsidRDefault="00C8421F" w:rsidP="007F0C43">
            <w:pPr>
              <w:spacing w:after="0"/>
              <w:ind w:left="589" w:hanging="589"/>
            </w:pPr>
            <w:r w:rsidRPr="00A10CC6">
              <w:t>City:</w:t>
            </w:r>
            <w:r w:rsidRPr="00A10CC6">
              <w:tab/>
            </w:r>
          </w:p>
          <w:p w14:paraId="19DF105A" w14:textId="77777777" w:rsidR="00C8421F" w:rsidRPr="00A10CC6" w:rsidRDefault="00C8421F" w:rsidP="007F0C43">
            <w:pPr>
              <w:spacing w:after="0"/>
              <w:ind w:left="589" w:hanging="589"/>
            </w:pPr>
            <w:r w:rsidRPr="00A10CC6">
              <w:t>Phone:</w:t>
            </w:r>
            <w:r w:rsidRPr="00A10CC6">
              <w:tab/>
            </w:r>
          </w:p>
          <w:p w14:paraId="1D82FA54" w14:textId="77777777" w:rsidR="00C8421F" w:rsidRPr="00A10CC6" w:rsidRDefault="00C8421F" w:rsidP="007F0C43">
            <w:pPr>
              <w:spacing w:after="0"/>
              <w:ind w:left="589" w:hanging="589"/>
            </w:pPr>
            <w:r w:rsidRPr="00A10CC6">
              <w:t>Facsimile:</w:t>
            </w:r>
            <w:r w:rsidRPr="00A10CC6">
              <w:tab/>
            </w:r>
          </w:p>
        </w:tc>
        <w:tc>
          <w:tcPr>
            <w:tcW w:w="4721" w:type="dxa"/>
          </w:tcPr>
          <w:p w14:paraId="44CA33BE" w14:textId="77777777" w:rsidR="00C8421F" w:rsidRPr="00A10CC6" w:rsidRDefault="00C8421F" w:rsidP="007F0C43">
            <w:pPr>
              <w:spacing w:after="0"/>
              <w:ind w:left="49"/>
              <w:rPr>
                <w:b/>
              </w:rPr>
            </w:pPr>
            <w:r w:rsidRPr="00A10CC6">
              <w:rPr>
                <w:b/>
              </w:rPr>
              <w:t>Contract Sponsor:</w:t>
            </w:r>
          </w:p>
          <w:p w14:paraId="1C2FE7F4" w14:textId="77777777" w:rsidR="00C8421F" w:rsidRPr="00C95B10" w:rsidRDefault="00C8421F" w:rsidP="007F0C43">
            <w:pPr>
              <w:spacing w:after="0"/>
              <w:ind w:left="589" w:hanging="589"/>
            </w:pPr>
            <w:r w:rsidRPr="00C95B10">
              <w:t>Attn:</w:t>
            </w:r>
            <w:r w:rsidRPr="00C95B10">
              <w:tab/>
              <w:t>Vice President of Energy Procurement &amp; Management</w:t>
            </w:r>
          </w:p>
          <w:p w14:paraId="74E22CA4" w14:textId="77777777" w:rsidR="00C8421F" w:rsidRPr="00C95B10" w:rsidRDefault="00C8421F" w:rsidP="007F0C43">
            <w:pPr>
              <w:spacing w:after="0"/>
            </w:pPr>
            <w:r w:rsidRPr="00C95B10">
              <w:t>Street:</w:t>
            </w:r>
            <w:r w:rsidRPr="00C95B10">
              <w:tab/>
              <w:t>2244 Walnut Grove Avenue</w:t>
            </w:r>
          </w:p>
          <w:p w14:paraId="23D787D7" w14:textId="77777777" w:rsidR="00C8421F" w:rsidRPr="00C95B10" w:rsidRDefault="00C8421F" w:rsidP="007F0C43">
            <w:pPr>
              <w:spacing w:after="0"/>
            </w:pPr>
            <w:r w:rsidRPr="00C95B10">
              <w:t>City:</w:t>
            </w:r>
            <w:r w:rsidRPr="00C95B10">
              <w:tab/>
              <w:t>Rosemead, California  91770</w:t>
            </w:r>
          </w:p>
          <w:p w14:paraId="1E830B1D" w14:textId="77777777" w:rsidR="00C8421F" w:rsidRPr="00C95B10" w:rsidRDefault="00C8421F" w:rsidP="007F0C43">
            <w:pPr>
              <w:spacing w:after="0"/>
            </w:pPr>
            <w:r w:rsidRPr="00C95B10">
              <w:t>Phone:</w:t>
            </w:r>
            <w:r w:rsidRPr="00C95B10">
              <w:tab/>
              <w:t>626-302-4023</w:t>
            </w:r>
          </w:p>
          <w:p w14:paraId="244E205E" w14:textId="77777777" w:rsidR="00C8421F" w:rsidRPr="00A10CC6" w:rsidRDefault="00C8421F" w:rsidP="007F0C43">
            <w:pPr>
              <w:spacing w:after="0"/>
            </w:pPr>
            <w:r w:rsidRPr="00C95B10">
              <w:t>Facsimile:</w:t>
            </w:r>
            <w:r w:rsidRPr="00C95B10">
              <w:tab/>
              <w:t>626-302-9622</w:t>
            </w:r>
          </w:p>
        </w:tc>
      </w:tr>
      <w:tr w:rsidR="00C8421F" w:rsidRPr="0045440E" w14:paraId="7381E50F" w14:textId="77777777" w:rsidTr="008910F8">
        <w:trPr>
          <w:cantSplit/>
        </w:trPr>
        <w:tc>
          <w:tcPr>
            <w:tcW w:w="4855" w:type="dxa"/>
          </w:tcPr>
          <w:p w14:paraId="7FDD4C11" w14:textId="77777777" w:rsidR="00C8421F" w:rsidRPr="00A10CC6" w:rsidRDefault="00C8421F" w:rsidP="007F0C43">
            <w:pPr>
              <w:spacing w:before="120" w:after="0"/>
              <w:ind w:left="67"/>
              <w:rPr>
                <w:b/>
                <w:bCs/>
              </w:rPr>
            </w:pPr>
            <w:r w:rsidRPr="00A10CC6">
              <w:rPr>
                <w:b/>
                <w:bCs/>
              </w:rPr>
              <w:t>Reference Numbers:</w:t>
            </w:r>
          </w:p>
          <w:p w14:paraId="67BC1472" w14:textId="77777777" w:rsidR="00C8421F" w:rsidRPr="00A10CC6" w:rsidRDefault="00C8421F" w:rsidP="007F0C43">
            <w:pPr>
              <w:spacing w:after="0"/>
              <w:ind w:left="589" w:hanging="589"/>
            </w:pPr>
            <w:r w:rsidRPr="00A10CC6">
              <w:t>Duns:</w:t>
            </w:r>
            <w:r w:rsidRPr="00A10CC6">
              <w:tab/>
            </w:r>
          </w:p>
          <w:p w14:paraId="35694563" w14:textId="77777777" w:rsidR="00C8421F" w:rsidRPr="00A10CC6" w:rsidRDefault="00C8421F" w:rsidP="007F0C43">
            <w:pPr>
              <w:spacing w:after="0"/>
              <w:ind w:left="589" w:hanging="589"/>
            </w:pPr>
            <w:r w:rsidRPr="00A10CC6">
              <w:t xml:space="preserve">Federal Tax ID Number: </w:t>
            </w:r>
          </w:p>
        </w:tc>
        <w:tc>
          <w:tcPr>
            <w:tcW w:w="4721" w:type="dxa"/>
          </w:tcPr>
          <w:p w14:paraId="2297B6FE" w14:textId="77777777" w:rsidR="00C8421F" w:rsidRPr="00A10CC6" w:rsidRDefault="00C8421F" w:rsidP="007F0C43">
            <w:pPr>
              <w:spacing w:after="0"/>
              <w:rPr>
                <w:b/>
              </w:rPr>
            </w:pPr>
            <w:r w:rsidRPr="00A10CC6">
              <w:rPr>
                <w:b/>
              </w:rPr>
              <w:t>Reference Numbers:</w:t>
            </w:r>
          </w:p>
          <w:p w14:paraId="3153E173" w14:textId="77777777" w:rsidR="00C8421F" w:rsidRPr="00A10CC6" w:rsidRDefault="00C8421F" w:rsidP="007F0C43">
            <w:pPr>
              <w:spacing w:after="0"/>
              <w:ind w:left="589" w:hanging="589"/>
            </w:pPr>
            <w:r w:rsidRPr="00A10CC6">
              <w:t>Duns:</w:t>
            </w:r>
            <w:r w:rsidRPr="00A10CC6">
              <w:tab/>
              <w:t>006908818</w:t>
            </w:r>
          </w:p>
          <w:p w14:paraId="79FCD4F0" w14:textId="77777777" w:rsidR="00C8421F" w:rsidRPr="00A10CC6" w:rsidRDefault="00C8421F" w:rsidP="007F0C43">
            <w:pPr>
              <w:spacing w:after="0"/>
              <w:ind w:left="589" w:hanging="589"/>
            </w:pPr>
            <w:r w:rsidRPr="00A10CC6">
              <w:t>Federal Tax ID Number:  95-1240335</w:t>
            </w:r>
          </w:p>
        </w:tc>
      </w:tr>
      <w:tr w:rsidR="00C8421F" w:rsidRPr="00A10CC6" w14:paraId="05A81809" w14:textId="77777777" w:rsidTr="008910F8">
        <w:trPr>
          <w:cantSplit/>
        </w:trPr>
        <w:tc>
          <w:tcPr>
            <w:tcW w:w="4855" w:type="dxa"/>
          </w:tcPr>
          <w:p w14:paraId="593D639D" w14:textId="77777777" w:rsidR="00C8421F" w:rsidRPr="00A10CC6" w:rsidRDefault="00C8421F" w:rsidP="007F0C43">
            <w:pPr>
              <w:spacing w:before="120" w:after="0"/>
              <w:ind w:left="-23"/>
              <w:rPr>
                <w:b/>
                <w:bCs/>
              </w:rPr>
            </w:pPr>
            <w:r w:rsidRPr="00A10CC6">
              <w:rPr>
                <w:b/>
                <w:bCs/>
              </w:rPr>
              <w:t>Contract Administration:</w:t>
            </w:r>
          </w:p>
          <w:p w14:paraId="23235EEB" w14:textId="77777777" w:rsidR="00C8421F" w:rsidRPr="00A10CC6" w:rsidRDefault="00C8421F" w:rsidP="007F0C43">
            <w:pPr>
              <w:spacing w:after="0"/>
              <w:ind w:left="589" w:hanging="589"/>
            </w:pPr>
            <w:r w:rsidRPr="00A10CC6">
              <w:t>Attn:</w:t>
            </w:r>
            <w:r w:rsidRPr="00A10CC6">
              <w:tab/>
            </w:r>
          </w:p>
          <w:p w14:paraId="1EFD31E4" w14:textId="77777777" w:rsidR="00C8421F" w:rsidRPr="00A10CC6" w:rsidRDefault="00C8421F" w:rsidP="007F0C43">
            <w:pPr>
              <w:spacing w:after="0"/>
              <w:ind w:left="589" w:hanging="589"/>
            </w:pPr>
            <w:r w:rsidRPr="00A10CC6">
              <w:t>Phone:</w:t>
            </w:r>
            <w:r w:rsidRPr="00A10CC6">
              <w:tab/>
            </w:r>
          </w:p>
          <w:p w14:paraId="726FCD78" w14:textId="77777777" w:rsidR="00C8421F" w:rsidRPr="00A10CC6" w:rsidRDefault="00C8421F" w:rsidP="007F0C43">
            <w:pPr>
              <w:spacing w:after="0"/>
              <w:ind w:left="589" w:hanging="589"/>
            </w:pPr>
            <w:r w:rsidRPr="00A10CC6">
              <w:t>Facsimile:</w:t>
            </w:r>
            <w:r w:rsidRPr="00A10CC6">
              <w:tab/>
            </w:r>
          </w:p>
        </w:tc>
        <w:tc>
          <w:tcPr>
            <w:tcW w:w="4721" w:type="dxa"/>
          </w:tcPr>
          <w:p w14:paraId="462A6609" w14:textId="77777777" w:rsidR="00C8421F" w:rsidRPr="00A10CC6" w:rsidRDefault="00C8421F" w:rsidP="007F0C43">
            <w:pPr>
              <w:spacing w:after="0"/>
              <w:rPr>
                <w:b/>
              </w:rPr>
            </w:pPr>
            <w:r w:rsidRPr="00A10CC6">
              <w:rPr>
                <w:b/>
              </w:rPr>
              <w:t>Contract Administration:</w:t>
            </w:r>
          </w:p>
          <w:p w14:paraId="63994168" w14:textId="77777777" w:rsidR="00C8421F" w:rsidRPr="00A10CC6" w:rsidRDefault="00C8421F" w:rsidP="007F0C43">
            <w:pPr>
              <w:spacing w:after="0"/>
              <w:ind w:left="589" w:hanging="589"/>
            </w:pPr>
            <w:r w:rsidRPr="00A10CC6">
              <w:t>Attn:</w:t>
            </w:r>
            <w:r w:rsidRPr="00A10CC6">
              <w:tab/>
              <w:t>Director, Contract Management and Administration</w:t>
            </w:r>
          </w:p>
          <w:p w14:paraId="096F2054" w14:textId="77777777" w:rsidR="00C8421F" w:rsidRPr="00A10CC6" w:rsidRDefault="00C8421F" w:rsidP="007F0C43">
            <w:pPr>
              <w:spacing w:after="0"/>
              <w:ind w:left="589" w:hanging="589"/>
            </w:pPr>
            <w:r w:rsidRPr="00A10CC6">
              <w:t>Phone:</w:t>
            </w:r>
            <w:r w:rsidRPr="00A10CC6">
              <w:tab/>
              <w:t>626-302-3126</w:t>
            </w:r>
          </w:p>
          <w:p w14:paraId="0737FF6D" w14:textId="77777777" w:rsidR="00C8421F" w:rsidRPr="00A10CC6" w:rsidRDefault="00C8421F" w:rsidP="007F0C43">
            <w:pPr>
              <w:spacing w:after="0"/>
              <w:ind w:left="589" w:hanging="589"/>
            </w:pPr>
            <w:r w:rsidRPr="00A10CC6">
              <w:t>Facsimile:</w:t>
            </w:r>
            <w:r w:rsidRPr="00A10CC6">
              <w:tab/>
              <w:t>626-302-8168</w:t>
            </w:r>
          </w:p>
          <w:p w14:paraId="0A4EA1F6" w14:textId="77777777" w:rsidR="00C8421F" w:rsidRPr="00A10CC6" w:rsidRDefault="00C8421F" w:rsidP="007F0C43">
            <w:pPr>
              <w:spacing w:after="0"/>
              <w:ind w:left="589" w:hanging="589"/>
            </w:pPr>
            <w:r w:rsidRPr="00A10CC6">
              <w:t>Email:         Energycontracts@sce.com</w:t>
            </w:r>
            <w:r w:rsidRPr="00A10CC6">
              <w:tab/>
            </w:r>
          </w:p>
        </w:tc>
      </w:tr>
      <w:tr w:rsidR="00C8421F" w:rsidRPr="00A10CC6" w14:paraId="4ED38EB8" w14:textId="77777777" w:rsidTr="008910F8">
        <w:trPr>
          <w:cantSplit/>
        </w:trPr>
        <w:tc>
          <w:tcPr>
            <w:tcW w:w="4855" w:type="dxa"/>
          </w:tcPr>
          <w:p w14:paraId="1CAED78E" w14:textId="77777777" w:rsidR="00C8421F" w:rsidRPr="00A10CC6" w:rsidRDefault="00C8421F" w:rsidP="007F0C43">
            <w:pPr>
              <w:spacing w:before="120" w:after="0"/>
              <w:rPr>
                <w:b/>
                <w:bCs/>
              </w:rPr>
            </w:pPr>
            <w:r w:rsidRPr="00A10CC6">
              <w:rPr>
                <w:b/>
                <w:bCs/>
              </w:rPr>
              <w:t>Payment Invoices:</w:t>
            </w:r>
          </w:p>
          <w:p w14:paraId="7A902498" w14:textId="77777777" w:rsidR="00C8421F" w:rsidRPr="00A10CC6" w:rsidRDefault="00C8421F" w:rsidP="007F0C43">
            <w:pPr>
              <w:spacing w:after="0"/>
              <w:ind w:left="589" w:hanging="589"/>
            </w:pPr>
            <w:r w:rsidRPr="00A10CC6">
              <w:t>Attn:</w:t>
            </w:r>
            <w:r w:rsidRPr="00A10CC6">
              <w:tab/>
            </w:r>
          </w:p>
          <w:p w14:paraId="06D8DC66" w14:textId="77777777" w:rsidR="00C8421F" w:rsidRPr="00A10CC6" w:rsidRDefault="00C8421F" w:rsidP="007F0C43">
            <w:pPr>
              <w:spacing w:after="0"/>
              <w:ind w:left="589" w:hanging="589"/>
            </w:pPr>
            <w:r w:rsidRPr="00A10CC6">
              <w:t>Phone:</w:t>
            </w:r>
            <w:r w:rsidRPr="00A10CC6">
              <w:tab/>
            </w:r>
          </w:p>
          <w:p w14:paraId="488BEE3A" w14:textId="77777777" w:rsidR="00C8421F" w:rsidRPr="00A10CC6" w:rsidRDefault="00C8421F" w:rsidP="007F0C43">
            <w:pPr>
              <w:spacing w:after="0"/>
              <w:ind w:left="589" w:hanging="589"/>
            </w:pPr>
            <w:r w:rsidRPr="00A10CC6">
              <w:t>Facsimile:</w:t>
            </w:r>
            <w:r w:rsidRPr="00A10CC6">
              <w:tab/>
            </w:r>
          </w:p>
          <w:p w14:paraId="3B3EF140" w14:textId="77777777" w:rsidR="00C8421F" w:rsidRPr="00A10CC6" w:rsidRDefault="00C8421F" w:rsidP="007F0C43">
            <w:pPr>
              <w:spacing w:after="0"/>
              <w:ind w:left="589" w:hanging="589"/>
            </w:pPr>
            <w:r w:rsidRPr="00A10CC6">
              <w:t>E-mail:</w:t>
            </w:r>
          </w:p>
        </w:tc>
        <w:tc>
          <w:tcPr>
            <w:tcW w:w="4721" w:type="dxa"/>
          </w:tcPr>
          <w:p w14:paraId="78B9F758" w14:textId="77777777" w:rsidR="00C8421F" w:rsidRPr="00A10CC6" w:rsidRDefault="00C8421F" w:rsidP="007F0C43">
            <w:pPr>
              <w:spacing w:after="0"/>
              <w:rPr>
                <w:b/>
              </w:rPr>
            </w:pPr>
            <w:r w:rsidRPr="00A10CC6">
              <w:rPr>
                <w:b/>
              </w:rPr>
              <w:t>Payment Invoices:</w:t>
            </w:r>
          </w:p>
          <w:p w14:paraId="1152D5AB" w14:textId="77777777" w:rsidR="00C8421F" w:rsidRPr="00A10CC6" w:rsidRDefault="00C8421F" w:rsidP="007F0C43">
            <w:pPr>
              <w:spacing w:after="0"/>
              <w:ind w:left="589" w:hanging="589"/>
            </w:pPr>
            <w:r w:rsidRPr="00A10CC6">
              <w:t xml:space="preserve">Attn:  </w:t>
            </w:r>
            <w:r>
              <w:t>EP&amp;M, Contract Settlements</w:t>
            </w:r>
          </w:p>
          <w:p w14:paraId="31DBCDC6" w14:textId="77777777" w:rsidR="00C8421F" w:rsidRPr="00A10CC6" w:rsidRDefault="00C8421F" w:rsidP="007F0C43">
            <w:pPr>
              <w:spacing w:after="0"/>
              <w:ind w:left="589" w:hanging="589"/>
            </w:pPr>
            <w:r w:rsidRPr="00A10CC6">
              <w:t>Phone:</w:t>
            </w:r>
            <w:r w:rsidRPr="00A10CC6">
              <w:tab/>
              <w:t>626-302-8908</w:t>
            </w:r>
          </w:p>
          <w:p w14:paraId="5871F7CD" w14:textId="77777777" w:rsidR="00C8421F" w:rsidRPr="00A10CC6" w:rsidRDefault="00C8421F" w:rsidP="007F0C43">
            <w:pPr>
              <w:spacing w:after="0"/>
              <w:ind w:left="589" w:hanging="589"/>
            </w:pPr>
            <w:r w:rsidRPr="00A10CC6">
              <w:t>Facsimile:</w:t>
            </w:r>
            <w:r w:rsidRPr="00A10CC6">
              <w:tab/>
              <w:t>626-302-3276</w:t>
            </w:r>
          </w:p>
          <w:p w14:paraId="273C4944" w14:textId="77777777" w:rsidR="00C8421F" w:rsidRPr="00A10CC6" w:rsidRDefault="00C8421F" w:rsidP="007F0C43">
            <w:pPr>
              <w:spacing w:after="0"/>
              <w:ind w:left="589" w:hanging="589"/>
            </w:pPr>
            <w:r w:rsidRPr="00A10CC6">
              <w:t>E-mail:</w:t>
            </w:r>
            <w:r w:rsidRPr="00A10CC6">
              <w:tab/>
              <w:t>PPFDPowerSettle@sce.com</w:t>
            </w:r>
          </w:p>
        </w:tc>
      </w:tr>
      <w:tr w:rsidR="00C8421F" w:rsidRPr="00A10CC6" w14:paraId="401B4D06" w14:textId="77777777" w:rsidTr="008910F8">
        <w:trPr>
          <w:cantSplit/>
        </w:trPr>
        <w:tc>
          <w:tcPr>
            <w:tcW w:w="4855" w:type="dxa"/>
          </w:tcPr>
          <w:p w14:paraId="2516FA98" w14:textId="77777777" w:rsidR="00C8421F" w:rsidRPr="00A10CC6" w:rsidRDefault="00C8421F" w:rsidP="007F0C43">
            <w:pPr>
              <w:spacing w:before="120" w:after="0"/>
              <w:rPr>
                <w:b/>
                <w:bCs/>
              </w:rPr>
            </w:pPr>
            <w:r w:rsidRPr="00A10CC6">
              <w:rPr>
                <w:b/>
                <w:bCs/>
              </w:rPr>
              <w:lastRenderedPageBreak/>
              <w:t xml:space="preserve">Payments:  </w:t>
            </w:r>
          </w:p>
          <w:p w14:paraId="7D985336" w14:textId="77777777" w:rsidR="00C8421F" w:rsidRPr="00A10CC6" w:rsidRDefault="00C8421F" w:rsidP="007F0C43">
            <w:pPr>
              <w:spacing w:after="0"/>
              <w:ind w:left="589" w:hanging="589"/>
            </w:pPr>
            <w:r w:rsidRPr="00A10CC6">
              <w:t>Attn:</w:t>
            </w:r>
            <w:r w:rsidRPr="00A10CC6">
              <w:tab/>
            </w:r>
          </w:p>
          <w:p w14:paraId="57BD2F15" w14:textId="77777777" w:rsidR="00C8421F" w:rsidRPr="00A10CC6" w:rsidRDefault="00C8421F" w:rsidP="007F0C43">
            <w:pPr>
              <w:spacing w:after="0"/>
              <w:ind w:left="589" w:hanging="589"/>
            </w:pPr>
            <w:r w:rsidRPr="00A10CC6">
              <w:t>Phone:</w:t>
            </w:r>
            <w:r w:rsidRPr="00A10CC6">
              <w:tab/>
            </w:r>
          </w:p>
          <w:p w14:paraId="0FC42B33" w14:textId="77777777" w:rsidR="00C8421F" w:rsidRPr="00A10CC6" w:rsidRDefault="00C8421F" w:rsidP="007F0C43">
            <w:pPr>
              <w:spacing w:after="0"/>
              <w:ind w:left="589" w:hanging="589"/>
            </w:pPr>
            <w:r w:rsidRPr="00A10CC6">
              <w:t>Facsimile:</w:t>
            </w:r>
            <w:r w:rsidRPr="00A10CC6">
              <w:tab/>
            </w:r>
          </w:p>
          <w:p w14:paraId="73B9EC96" w14:textId="77777777" w:rsidR="00C8421F" w:rsidRPr="00A10CC6" w:rsidRDefault="00C8421F" w:rsidP="007F0C43">
            <w:pPr>
              <w:spacing w:after="0"/>
              <w:ind w:left="589" w:hanging="589"/>
            </w:pPr>
            <w:r w:rsidRPr="00A10CC6">
              <w:t>E-mail:</w:t>
            </w:r>
            <w:r w:rsidRPr="00A10CC6">
              <w:tab/>
            </w:r>
          </w:p>
        </w:tc>
        <w:tc>
          <w:tcPr>
            <w:tcW w:w="4721" w:type="dxa"/>
          </w:tcPr>
          <w:p w14:paraId="3EB62503" w14:textId="77777777" w:rsidR="00C8421F" w:rsidRPr="00A10CC6" w:rsidRDefault="00C8421F" w:rsidP="007F0C43">
            <w:pPr>
              <w:spacing w:after="0"/>
              <w:rPr>
                <w:b/>
              </w:rPr>
            </w:pPr>
            <w:r w:rsidRPr="00A10CC6">
              <w:rPr>
                <w:b/>
              </w:rPr>
              <w:t>Payments:</w:t>
            </w:r>
          </w:p>
          <w:p w14:paraId="6CB6BAEE" w14:textId="77777777" w:rsidR="00C8421F" w:rsidRPr="00A10CC6" w:rsidRDefault="00C8421F" w:rsidP="007F0C43">
            <w:pPr>
              <w:spacing w:after="0"/>
              <w:ind w:left="589" w:hanging="589"/>
            </w:pPr>
            <w:r w:rsidRPr="00A10CC6">
              <w:t xml:space="preserve">Attn:  </w:t>
            </w:r>
            <w:r>
              <w:t>EP&amp;M, Contract Settlements</w:t>
            </w:r>
          </w:p>
          <w:p w14:paraId="392E2A4E" w14:textId="77777777" w:rsidR="00C8421F" w:rsidRPr="00A10CC6" w:rsidRDefault="00C8421F" w:rsidP="007F0C43">
            <w:pPr>
              <w:spacing w:after="0"/>
              <w:ind w:left="589" w:hanging="589"/>
            </w:pPr>
            <w:r w:rsidRPr="00A10CC6">
              <w:t>Phone:</w:t>
            </w:r>
            <w:r w:rsidRPr="00A10CC6">
              <w:tab/>
              <w:t>626-302-8908</w:t>
            </w:r>
          </w:p>
          <w:p w14:paraId="3B19D744" w14:textId="77777777" w:rsidR="00C8421F" w:rsidRPr="00A10CC6" w:rsidRDefault="00C8421F" w:rsidP="007F0C43">
            <w:pPr>
              <w:spacing w:after="0"/>
              <w:ind w:left="589" w:hanging="589"/>
            </w:pPr>
            <w:r w:rsidRPr="00A10CC6">
              <w:t>Facsimile:</w:t>
            </w:r>
            <w:r w:rsidRPr="00A10CC6">
              <w:tab/>
              <w:t>626-302-3276</w:t>
            </w:r>
          </w:p>
          <w:p w14:paraId="696418E1" w14:textId="77777777" w:rsidR="00C8421F" w:rsidRPr="00A10CC6" w:rsidRDefault="00C8421F" w:rsidP="007F0C43">
            <w:pPr>
              <w:spacing w:after="0"/>
              <w:ind w:left="589" w:hanging="589"/>
            </w:pPr>
            <w:r w:rsidRPr="00A10CC6">
              <w:t>E-mail:</w:t>
            </w:r>
            <w:r w:rsidRPr="00A10CC6">
              <w:tab/>
              <w:t>PPFDPowerSettle@sce.com</w:t>
            </w:r>
          </w:p>
        </w:tc>
      </w:tr>
      <w:tr w:rsidR="008910F8" w:rsidRPr="00A10CC6" w14:paraId="3FFB49D4" w14:textId="77777777" w:rsidTr="008910F8">
        <w:trPr>
          <w:cantSplit/>
        </w:trPr>
        <w:tc>
          <w:tcPr>
            <w:tcW w:w="4855" w:type="dxa"/>
          </w:tcPr>
          <w:p w14:paraId="4DB33F2B" w14:textId="6BEBF525" w:rsidR="008910F8" w:rsidRPr="00C14F94" w:rsidRDefault="008910F8" w:rsidP="008910F8">
            <w:pPr>
              <w:rPr>
                <w:b/>
                <w:color w:val="000000"/>
              </w:rPr>
            </w:pPr>
            <w:r w:rsidRPr="00C14F94">
              <w:rPr>
                <w:b/>
                <w:color w:val="000000"/>
              </w:rPr>
              <w:t>ACH Routing Information:</w:t>
            </w:r>
          </w:p>
          <w:p w14:paraId="708B22C5" w14:textId="77777777" w:rsidR="008910F8" w:rsidRDefault="008910F8" w:rsidP="008910F8">
            <w:pPr>
              <w:pStyle w:val="LetterBody"/>
              <w:ind w:left="0"/>
              <w:rPr>
                <w:rFonts w:ascii="Times New Roman" w:hAnsi="Times New Roman"/>
                <w:color w:val="353535"/>
                <w:sz w:val="24"/>
                <w:szCs w:val="24"/>
              </w:rPr>
            </w:pPr>
            <w:r>
              <w:rPr>
                <w:rFonts w:ascii="Times New Roman" w:hAnsi="Times New Roman"/>
                <w:color w:val="353535"/>
                <w:sz w:val="24"/>
                <w:szCs w:val="24"/>
              </w:rPr>
              <w:t xml:space="preserve">Financial Institution: </w:t>
            </w:r>
            <w:r>
              <w:rPr>
                <w:rFonts w:ascii="Times New Roman" w:hAnsi="Times New Roman"/>
                <w:color w:val="353535"/>
                <w:sz w:val="24"/>
                <w:szCs w:val="24"/>
              </w:rPr>
              <w:tab/>
              <w:t>[_____________]</w:t>
            </w:r>
          </w:p>
          <w:p w14:paraId="24C1CAB7" w14:textId="77777777" w:rsidR="008910F8" w:rsidRDefault="008910F8" w:rsidP="008910F8">
            <w:pPr>
              <w:pStyle w:val="LetterBody"/>
              <w:ind w:left="0" w:firstLine="360"/>
              <w:rPr>
                <w:rFonts w:ascii="Times New Roman" w:hAnsi="Times New Roman"/>
                <w:color w:val="353535"/>
                <w:sz w:val="24"/>
                <w:szCs w:val="24"/>
              </w:rPr>
            </w:pPr>
            <w:r>
              <w:rPr>
                <w:rFonts w:ascii="Times New Roman" w:hAnsi="Times New Roman"/>
                <w:color w:val="353535"/>
                <w:sz w:val="24"/>
                <w:szCs w:val="24"/>
              </w:rPr>
              <w:t xml:space="preserve">Branch: </w:t>
            </w:r>
            <w:r>
              <w:rPr>
                <w:rFonts w:ascii="Times New Roman" w:hAnsi="Times New Roman"/>
                <w:color w:val="353535"/>
                <w:sz w:val="24"/>
                <w:szCs w:val="24"/>
              </w:rPr>
              <w:tab/>
            </w:r>
            <w:r>
              <w:rPr>
                <w:rFonts w:ascii="Times New Roman" w:hAnsi="Times New Roman"/>
                <w:color w:val="353535"/>
                <w:sz w:val="24"/>
                <w:szCs w:val="24"/>
              </w:rPr>
              <w:tab/>
              <w:t>[_____________]</w:t>
            </w:r>
          </w:p>
          <w:p w14:paraId="398A9EBB" w14:textId="77777777" w:rsidR="008910F8" w:rsidRDefault="008910F8" w:rsidP="008910F8">
            <w:pPr>
              <w:pStyle w:val="LetterBody"/>
              <w:ind w:left="0" w:firstLine="324"/>
              <w:rPr>
                <w:rFonts w:ascii="Times New Roman" w:hAnsi="Times New Roman"/>
                <w:color w:val="353535"/>
                <w:sz w:val="24"/>
                <w:szCs w:val="24"/>
              </w:rPr>
            </w:pPr>
            <w:r>
              <w:rPr>
                <w:rFonts w:ascii="Times New Roman" w:hAnsi="Times New Roman"/>
                <w:color w:val="353535"/>
                <w:sz w:val="24"/>
                <w:szCs w:val="24"/>
              </w:rPr>
              <w:t xml:space="preserve">Address: </w:t>
            </w:r>
            <w:r>
              <w:rPr>
                <w:rFonts w:ascii="Times New Roman" w:hAnsi="Times New Roman"/>
                <w:color w:val="353535"/>
                <w:sz w:val="24"/>
                <w:szCs w:val="24"/>
              </w:rPr>
              <w:tab/>
            </w:r>
            <w:r>
              <w:rPr>
                <w:rFonts w:ascii="Times New Roman" w:hAnsi="Times New Roman"/>
                <w:color w:val="353535"/>
                <w:sz w:val="24"/>
                <w:szCs w:val="24"/>
              </w:rPr>
              <w:tab/>
              <w:t>[_____________]</w:t>
            </w:r>
          </w:p>
          <w:p w14:paraId="15F83404" w14:textId="77777777" w:rsidR="008910F8" w:rsidRDefault="008910F8" w:rsidP="008910F8">
            <w:pPr>
              <w:pStyle w:val="LetterBody"/>
              <w:ind w:left="0" w:firstLine="324"/>
              <w:rPr>
                <w:rFonts w:ascii="Times New Roman" w:hAnsi="Times New Roman"/>
                <w:color w:val="353535"/>
                <w:sz w:val="24"/>
                <w:szCs w:val="24"/>
              </w:rPr>
            </w:pPr>
            <w:r>
              <w:rPr>
                <w:rFonts w:ascii="Times New Roman" w:hAnsi="Times New Roman"/>
                <w:color w:val="353535"/>
                <w:sz w:val="24"/>
                <w:szCs w:val="24"/>
              </w:rPr>
              <w:t>City, State, &amp; Zip: [_____________]</w:t>
            </w:r>
          </w:p>
          <w:p w14:paraId="7F0159D5" w14:textId="6DF04D40" w:rsidR="008910F8" w:rsidRPr="00A10CC6" w:rsidRDefault="008910F8" w:rsidP="008910F8">
            <w:pPr>
              <w:spacing w:before="120" w:after="0"/>
              <w:rPr>
                <w:b/>
                <w:bCs/>
              </w:rPr>
            </w:pPr>
            <w:r>
              <w:rPr>
                <w:color w:val="353535"/>
              </w:rPr>
              <w:br/>
              <w:t xml:space="preserve">Routing Number: </w:t>
            </w:r>
            <w:r>
              <w:rPr>
                <w:color w:val="353535"/>
              </w:rPr>
              <w:tab/>
              <w:t>[_____________]</w:t>
            </w:r>
            <w:r>
              <w:rPr>
                <w:color w:val="353535"/>
              </w:rPr>
              <w:br/>
              <w:t>Account Number:</w:t>
            </w:r>
            <w:r>
              <w:t xml:space="preserve"> </w:t>
            </w:r>
            <w:r>
              <w:tab/>
            </w:r>
            <w:r>
              <w:rPr>
                <w:color w:val="353535"/>
              </w:rPr>
              <w:t>[_____________]</w:t>
            </w:r>
          </w:p>
        </w:tc>
        <w:tc>
          <w:tcPr>
            <w:tcW w:w="4721" w:type="dxa"/>
          </w:tcPr>
          <w:p w14:paraId="4E986E42" w14:textId="77777777" w:rsidR="008910F8" w:rsidRPr="00C14F94" w:rsidRDefault="008910F8" w:rsidP="008910F8">
            <w:pPr>
              <w:rPr>
                <w:b/>
                <w:color w:val="000000"/>
              </w:rPr>
            </w:pPr>
            <w:r w:rsidRPr="00C14F94">
              <w:rPr>
                <w:b/>
                <w:color w:val="000000"/>
              </w:rPr>
              <w:t>ACH Routing Information:</w:t>
            </w:r>
          </w:p>
          <w:p w14:paraId="48CAC3B3" w14:textId="77777777" w:rsidR="008910F8" w:rsidRDefault="008910F8" w:rsidP="008910F8">
            <w:pPr>
              <w:pStyle w:val="LetterBody"/>
              <w:ind w:left="0"/>
              <w:rPr>
                <w:rFonts w:ascii="Times New Roman" w:hAnsi="Times New Roman"/>
                <w:color w:val="353535"/>
                <w:sz w:val="24"/>
                <w:szCs w:val="24"/>
              </w:rPr>
            </w:pPr>
            <w:r>
              <w:rPr>
                <w:rFonts w:ascii="Times New Roman" w:hAnsi="Times New Roman"/>
                <w:color w:val="353535"/>
                <w:sz w:val="24"/>
                <w:szCs w:val="24"/>
              </w:rPr>
              <w:t xml:space="preserve">Financial Institution: </w:t>
            </w:r>
            <w:r>
              <w:rPr>
                <w:rFonts w:ascii="Times New Roman" w:hAnsi="Times New Roman"/>
                <w:color w:val="353535"/>
                <w:sz w:val="24"/>
                <w:szCs w:val="24"/>
              </w:rPr>
              <w:tab/>
              <w:t>JPMorgan Chase</w:t>
            </w:r>
          </w:p>
          <w:p w14:paraId="71E02BC0" w14:textId="0B2D824A" w:rsidR="008910F8" w:rsidRPr="00A10CC6" w:rsidRDefault="008910F8" w:rsidP="008910F8">
            <w:pPr>
              <w:spacing w:after="0"/>
              <w:rPr>
                <w:b/>
              </w:rPr>
            </w:pPr>
            <w:r>
              <w:rPr>
                <w:color w:val="353535"/>
              </w:rPr>
              <w:t xml:space="preserve">Routing Number: </w:t>
            </w:r>
            <w:r>
              <w:rPr>
                <w:color w:val="353535"/>
              </w:rPr>
              <w:tab/>
              <w:t>021000021</w:t>
            </w:r>
            <w:r>
              <w:rPr>
                <w:color w:val="353535"/>
              </w:rPr>
              <w:br/>
              <w:t>Account Number:</w:t>
            </w:r>
            <w:r>
              <w:t xml:space="preserve"> </w:t>
            </w:r>
            <w:r>
              <w:tab/>
            </w:r>
            <w:r>
              <w:rPr>
                <w:color w:val="353535"/>
              </w:rPr>
              <w:t>323-394434</w:t>
            </w:r>
          </w:p>
        </w:tc>
      </w:tr>
      <w:tr w:rsidR="008910F8" w:rsidRPr="00A10CC6" w14:paraId="6B5CF02A" w14:textId="77777777" w:rsidTr="008910F8">
        <w:trPr>
          <w:cantSplit/>
        </w:trPr>
        <w:tc>
          <w:tcPr>
            <w:tcW w:w="4855" w:type="dxa"/>
          </w:tcPr>
          <w:p w14:paraId="7266BE7C" w14:textId="77777777" w:rsidR="008910F8" w:rsidRPr="00A10CC6" w:rsidRDefault="008910F8" w:rsidP="008910F8">
            <w:pPr>
              <w:spacing w:before="120" w:after="0"/>
              <w:rPr>
                <w:b/>
                <w:bCs/>
              </w:rPr>
            </w:pPr>
            <w:r w:rsidRPr="00A10CC6">
              <w:rPr>
                <w:b/>
                <w:bCs/>
              </w:rPr>
              <w:t>Wire Transfer:</w:t>
            </w:r>
          </w:p>
          <w:p w14:paraId="6AA69D0C" w14:textId="77777777" w:rsidR="008910F8" w:rsidRPr="00A10CC6" w:rsidRDefault="008910F8" w:rsidP="008910F8">
            <w:pPr>
              <w:spacing w:after="0"/>
              <w:ind w:left="589" w:hanging="589"/>
            </w:pPr>
            <w:r w:rsidRPr="00A10CC6">
              <w:t>BNK:</w:t>
            </w:r>
            <w:r w:rsidRPr="00A10CC6">
              <w:tab/>
            </w:r>
          </w:p>
          <w:p w14:paraId="14E3B4E5" w14:textId="77777777" w:rsidR="008910F8" w:rsidRPr="00A10CC6" w:rsidRDefault="008910F8" w:rsidP="008910F8">
            <w:pPr>
              <w:spacing w:after="0"/>
              <w:ind w:left="589" w:hanging="589"/>
            </w:pPr>
            <w:r w:rsidRPr="00A10CC6">
              <w:t>ABA:</w:t>
            </w:r>
            <w:r w:rsidRPr="00A10CC6">
              <w:tab/>
            </w:r>
          </w:p>
          <w:p w14:paraId="7E9F7F5E" w14:textId="77777777" w:rsidR="008910F8" w:rsidRPr="00A10CC6" w:rsidRDefault="008910F8" w:rsidP="008910F8">
            <w:pPr>
              <w:spacing w:after="0"/>
              <w:ind w:left="589" w:hanging="589"/>
            </w:pPr>
            <w:r w:rsidRPr="00A10CC6">
              <w:t>ACCT:</w:t>
            </w:r>
            <w:r w:rsidRPr="00A10CC6">
              <w:tab/>
            </w:r>
          </w:p>
        </w:tc>
        <w:tc>
          <w:tcPr>
            <w:tcW w:w="4721" w:type="dxa"/>
          </w:tcPr>
          <w:p w14:paraId="47E6329B" w14:textId="77777777" w:rsidR="008910F8" w:rsidRPr="00A10CC6" w:rsidRDefault="008910F8" w:rsidP="008910F8">
            <w:pPr>
              <w:spacing w:after="0"/>
              <w:rPr>
                <w:b/>
              </w:rPr>
            </w:pPr>
            <w:r w:rsidRPr="00A10CC6">
              <w:rPr>
                <w:b/>
              </w:rPr>
              <w:t>Wire Transfer:</w:t>
            </w:r>
          </w:p>
          <w:p w14:paraId="65304F14" w14:textId="77777777" w:rsidR="008910F8" w:rsidRPr="00A10CC6" w:rsidRDefault="008910F8" w:rsidP="008910F8">
            <w:pPr>
              <w:spacing w:after="0"/>
              <w:ind w:left="589" w:hanging="589"/>
            </w:pPr>
            <w:smartTag w:uri="urn:schemas-microsoft-com:office:smarttags" w:element="stockticker">
              <w:r w:rsidRPr="00A10CC6">
                <w:t>BNK</w:t>
              </w:r>
            </w:smartTag>
            <w:r w:rsidRPr="00A10CC6">
              <w:t>:   JP Morgan Chase Bank</w:t>
            </w:r>
          </w:p>
          <w:p w14:paraId="0956AC41" w14:textId="77777777" w:rsidR="008910F8" w:rsidRPr="00A10CC6" w:rsidRDefault="008910F8" w:rsidP="008910F8">
            <w:pPr>
              <w:spacing w:after="0"/>
              <w:ind w:left="589" w:hanging="589"/>
            </w:pPr>
            <w:r w:rsidRPr="00A10CC6">
              <w:t>ABA:   021000021</w:t>
            </w:r>
          </w:p>
          <w:p w14:paraId="5D1AE200" w14:textId="77777777" w:rsidR="008910F8" w:rsidRPr="00A10CC6" w:rsidRDefault="008910F8" w:rsidP="008910F8">
            <w:pPr>
              <w:spacing w:after="0"/>
              <w:ind w:left="589" w:hanging="589"/>
            </w:pPr>
            <w:r w:rsidRPr="00A10CC6">
              <w:t>ACCT:   323-394434</w:t>
            </w:r>
          </w:p>
        </w:tc>
      </w:tr>
      <w:tr w:rsidR="008910F8" w:rsidRPr="00A10CC6" w14:paraId="417664CE" w14:textId="77777777" w:rsidTr="008910F8">
        <w:trPr>
          <w:cantSplit/>
        </w:trPr>
        <w:tc>
          <w:tcPr>
            <w:tcW w:w="4855" w:type="dxa"/>
          </w:tcPr>
          <w:p w14:paraId="6776771D" w14:textId="77777777" w:rsidR="008910F8" w:rsidRPr="00A10CC6" w:rsidRDefault="008910F8" w:rsidP="008910F8">
            <w:pPr>
              <w:spacing w:before="120" w:after="0"/>
              <w:rPr>
                <w:b/>
                <w:bCs/>
              </w:rPr>
            </w:pPr>
            <w:r w:rsidRPr="00A10CC6">
              <w:rPr>
                <w:b/>
                <w:bCs/>
              </w:rPr>
              <w:lastRenderedPageBreak/>
              <w:t>Credit and Collections:</w:t>
            </w:r>
          </w:p>
          <w:p w14:paraId="46C4771D" w14:textId="77777777" w:rsidR="008910F8" w:rsidRPr="00A10CC6" w:rsidRDefault="008910F8" w:rsidP="008910F8">
            <w:pPr>
              <w:spacing w:after="0"/>
              <w:ind w:left="589" w:hanging="589"/>
            </w:pPr>
            <w:r w:rsidRPr="00A10CC6">
              <w:t>Attn:</w:t>
            </w:r>
            <w:r w:rsidRPr="00A10CC6">
              <w:tab/>
            </w:r>
          </w:p>
          <w:p w14:paraId="7A1A7CBB" w14:textId="77777777" w:rsidR="008910F8" w:rsidRPr="00A10CC6" w:rsidRDefault="008910F8" w:rsidP="008910F8">
            <w:pPr>
              <w:spacing w:after="0"/>
              <w:ind w:left="589" w:hanging="589"/>
            </w:pPr>
            <w:r w:rsidRPr="00A10CC6">
              <w:t>Phone:</w:t>
            </w:r>
            <w:r w:rsidRPr="00A10CC6">
              <w:tab/>
            </w:r>
          </w:p>
          <w:p w14:paraId="65301308" w14:textId="77777777" w:rsidR="008910F8" w:rsidRPr="00A10CC6" w:rsidRDefault="008910F8" w:rsidP="008910F8">
            <w:pPr>
              <w:spacing w:after="0"/>
              <w:ind w:left="589" w:hanging="589"/>
            </w:pPr>
            <w:r w:rsidRPr="00A10CC6">
              <w:t>Facsimile:</w:t>
            </w:r>
            <w:r w:rsidRPr="00A10CC6">
              <w:tab/>
            </w:r>
          </w:p>
          <w:p w14:paraId="005718EA" w14:textId="77777777" w:rsidR="008910F8" w:rsidRPr="00A10CC6" w:rsidRDefault="008910F8" w:rsidP="008910F8">
            <w:pPr>
              <w:spacing w:after="0"/>
              <w:ind w:left="589" w:hanging="589"/>
            </w:pPr>
            <w:r w:rsidRPr="00A10CC6">
              <w:t>E-mail:</w:t>
            </w:r>
          </w:p>
        </w:tc>
        <w:tc>
          <w:tcPr>
            <w:tcW w:w="4721" w:type="dxa"/>
          </w:tcPr>
          <w:p w14:paraId="286377EA" w14:textId="77777777" w:rsidR="008910F8" w:rsidRPr="00A10CC6" w:rsidRDefault="008910F8" w:rsidP="008910F8">
            <w:pPr>
              <w:spacing w:after="0"/>
              <w:rPr>
                <w:b/>
              </w:rPr>
            </w:pPr>
            <w:r w:rsidRPr="00A10CC6">
              <w:rPr>
                <w:b/>
              </w:rPr>
              <w:t>Credit and Collateral:</w:t>
            </w:r>
          </w:p>
          <w:p w14:paraId="0AFC1A9D" w14:textId="77777777" w:rsidR="008910F8" w:rsidRDefault="008910F8" w:rsidP="008910F8">
            <w:pPr>
              <w:spacing w:after="0"/>
            </w:pPr>
          </w:p>
          <w:p w14:paraId="0495A94B" w14:textId="77777777" w:rsidR="008910F8" w:rsidRPr="00EF58EB" w:rsidRDefault="008910F8" w:rsidP="008910F8">
            <w:pPr>
              <w:spacing w:after="0"/>
              <w:rPr>
                <w:u w:val="single"/>
              </w:rPr>
            </w:pPr>
            <w:r w:rsidRPr="00EF58EB">
              <w:rPr>
                <w:u w:val="single"/>
              </w:rPr>
              <w:t>Credit</w:t>
            </w:r>
          </w:p>
          <w:p w14:paraId="7C8C54D2" w14:textId="77777777" w:rsidR="008910F8" w:rsidRDefault="008910F8" w:rsidP="008910F8">
            <w:pPr>
              <w:spacing w:after="0"/>
            </w:pPr>
            <w:r>
              <w:t>Attn: Manager of Credit Risk</w:t>
            </w:r>
          </w:p>
          <w:p w14:paraId="2E9EED6F" w14:textId="77777777" w:rsidR="008910F8" w:rsidRDefault="008910F8" w:rsidP="008910F8">
            <w:pPr>
              <w:spacing w:after="0"/>
            </w:pPr>
            <w:r>
              <w:t>Phone: (626) 302-3672</w:t>
            </w:r>
          </w:p>
          <w:p w14:paraId="22077997" w14:textId="77777777" w:rsidR="008910F8" w:rsidRDefault="008910F8" w:rsidP="008910F8">
            <w:pPr>
              <w:spacing w:after="0"/>
            </w:pPr>
            <w:r>
              <w:t xml:space="preserve">     </w:t>
            </w:r>
          </w:p>
          <w:p w14:paraId="13D06D86" w14:textId="77777777" w:rsidR="008910F8" w:rsidRPr="00F9365E" w:rsidRDefault="008910F8" w:rsidP="008910F8">
            <w:pPr>
              <w:spacing w:after="0"/>
              <w:rPr>
                <w:u w:val="single"/>
              </w:rPr>
            </w:pPr>
            <w:r w:rsidRPr="00F9365E">
              <w:rPr>
                <w:u w:val="single"/>
              </w:rPr>
              <w:t>Collateral</w:t>
            </w:r>
          </w:p>
          <w:p w14:paraId="3E067516" w14:textId="77777777" w:rsidR="008910F8" w:rsidRDefault="008910F8" w:rsidP="008910F8">
            <w:pPr>
              <w:spacing w:after="0"/>
            </w:pPr>
            <w:r>
              <w:t>Southern California Edison Company</w:t>
            </w:r>
          </w:p>
          <w:p w14:paraId="18C6AACE" w14:textId="77777777" w:rsidR="008910F8" w:rsidRDefault="008910F8" w:rsidP="008910F8">
            <w:pPr>
              <w:spacing w:after="0"/>
            </w:pPr>
            <w:r>
              <w:t>Attn: Manager of Risk Operations &amp; Collateral Management</w:t>
            </w:r>
          </w:p>
          <w:p w14:paraId="18936433" w14:textId="77777777" w:rsidR="008910F8" w:rsidRDefault="008910F8" w:rsidP="008910F8">
            <w:pPr>
              <w:spacing w:after="0"/>
            </w:pPr>
            <w:r>
              <w:t>2244 Walnut Grove Avenue, GO1 Quad 2A</w:t>
            </w:r>
          </w:p>
          <w:p w14:paraId="6977B751" w14:textId="77777777" w:rsidR="008910F8" w:rsidRDefault="008910F8" w:rsidP="008910F8">
            <w:pPr>
              <w:spacing w:after="0"/>
            </w:pPr>
            <w:r>
              <w:t>Rosemead, CA 91770</w:t>
            </w:r>
          </w:p>
          <w:p w14:paraId="30C08082" w14:textId="77777777" w:rsidR="008910F8" w:rsidRDefault="008910F8" w:rsidP="008910F8">
            <w:pPr>
              <w:spacing w:after="0"/>
            </w:pPr>
            <w:r>
              <w:t>Phone: (626) 302-3383</w:t>
            </w:r>
          </w:p>
          <w:p w14:paraId="640ECC26" w14:textId="77777777" w:rsidR="008910F8" w:rsidRDefault="008910F8" w:rsidP="008910F8">
            <w:pPr>
              <w:spacing w:after="0"/>
              <w:ind w:left="589" w:hanging="589"/>
            </w:pPr>
            <w:r>
              <w:t xml:space="preserve">Email: </w:t>
            </w:r>
            <w:hyperlink r:id="rId53" w:history="1">
              <w:r w:rsidRPr="004062EB">
                <w:rPr>
                  <w:rStyle w:val="Hyperlink"/>
                </w:rPr>
                <w:t>scecollateral@sce.com</w:t>
              </w:r>
            </w:hyperlink>
          </w:p>
          <w:p w14:paraId="26BAAE3D" w14:textId="77777777" w:rsidR="008910F8" w:rsidRDefault="008910F8" w:rsidP="008910F8">
            <w:pPr>
              <w:spacing w:after="0"/>
              <w:ind w:left="589" w:hanging="589"/>
            </w:pPr>
          </w:p>
          <w:p w14:paraId="62BB2B3B" w14:textId="38BEA858" w:rsidR="008910F8" w:rsidRDefault="008910F8" w:rsidP="008910F8">
            <w:pPr>
              <w:spacing w:after="0"/>
              <w:ind w:left="589" w:hanging="589"/>
            </w:pPr>
            <w:r w:rsidRPr="00A10CC6">
              <w:t xml:space="preserve"> </w:t>
            </w:r>
          </w:p>
          <w:p w14:paraId="67A17378" w14:textId="77777777" w:rsidR="008910F8" w:rsidRPr="00DD4E43" w:rsidRDefault="008910F8" w:rsidP="008910F8"/>
          <w:p w14:paraId="6AE5E2F4" w14:textId="77777777" w:rsidR="008910F8" w:rsidRPr="00DD4E43" w:rsidRDefault="008910F8" w:rsidP="008910F8"/>
          <w:p w14:paraId="17CAE18D" w14:textId="77777777" w:rsidR="008910F8" w:rsidRPr="00DD4E43" w:rsidRDefault="008910F8" w:rsidP="008910F8"/>
          <w:p w14:paraId="541D117F" w14:textId="77777777" w:rsidR="008910F8" w:rsidRPr="00DD4E43" w:rsidRDefault="008910F8" w:rsidP="008910F8"/>
          <w:p w14:paraId="054D08F9" w14:textId="5D3BA45B" w:rsidR="008910F8" w:rsidRPr="00DD4E43" w:rsidRDefault="008910F8" w:rsidP="008910F8"/>
        </w:tc>
      </w:tr>
      <w:tr w:rsidR="008910F8" w:rsidRPr="00A10CC6" w14:paraId="78734581" w14:textId="77777777" w:rsidTr="008910F8">
        <w:trPr>
          <w:cantSplit/>
        </w:trPr>
        <w:tc>
          <w:tcPr>
            <w:tcW w:w="4855" w:type="dxa"/>
          </w:tcPr>
          <w:p w14:paraId="7605FBAA" w14:textId="77777777" w:rsidR="008910F8" w:rsidRPr="00A10CC6" w:rsidRDefault="008910F8" w:rsidP="008910F8">
            <w:pPr>
              <w:spacing w:before="120" w:after="0"/>
              <w:ind w:left="67"/>
              <w:rPr>
                <w:b/>
                <w:bCs/>
              </w:rPr>
            </w:pPr>
            <w:r w:rsidRPr="00A10CC6">
              <w:rPr>
                <w:b/>
                <w:bCs/>
              </w:rPr>
              <w:t>With additional Notices of an Event of Default to:</w:t>
            </w:r>
          </w:p>
          <w:p w14:paraId="5E9497E0" w14:textId="77777777" w:rsidR="008910F8" w:rsidRPr="00A10CC6" w:rsidRDefault="008910F8" w:rsidP="008910F8">
            <w:pPr>
              <w:spacing w:after="0"/>
              <w:ind w:left="589" w:hanging="589"/>
            </w:pPr>
            <w:r w:rsidRPr="00A10CC6">
              <w:t>Attn:</w:t>
            </w:r>
            <w:r w:rsidRPr="00A10CC6">
              <w:tab/>
            </w:r>
          </w:p>
          <w:p w14:paraId="0593549B" w14:textId="77777777" w:rsidR="008910F8" w:rsidRPr="00A10CC6" w:rsidRDefault="008910F8" w:rsidP="008910F8">
            <w:pPr>
              <w:spacing w:after="0"/>
              <w:ind w:left="589" w:hanging="589"/>
            </w:pPr>
            <w:r w:rsidRPr="00A10CC6">
              <w:t>Phone:</w:t>
            </w:r>
            <w:r w:rsidRPr="00A10CC6">
              <w:tab/>
            </w:r>
          </w:p>
          <w:p w14:paraId="002164D3" w14:textId="77777777" w:rsidR="008910F8" w:rsidRPr="00A10CC6" w:rsidRDefault="008910F8" w:rsidP="008910F8">
            <w:pPr>
              <w:spacing w:after="0"/>
              <w:ind w:left="589" w:hanging="589"/>
            </w:pPr>
            <w:r w:rsidRPr="00A10CC6">
              <w:t>Facsimile:</w:t>
            </w:r>
            <w:r w:rsidRPr="00A10CC6">
              <w:tab/>
            </w:r>
          </w:p>
          <w:p w14:paraId="1C25B411" w14:textId="77777777" w:rsidR="008910F8" w:rsidRPr="00A10CC6" w:rsidRDefault="008910F8" w:rsidP="008910F8">
            <w:pPr>
              <w:spacing w:after="0"/>
              <w:ind w:left="589" w:hanging="589"/>
            </w:pPr>
            <w:r w:rsidRPr="00A10CC6">
              <w:t>E-mail:</w:t>
            </w:r>
            <w:r w:rsidRPr="00A10CC6">
              <w:tab/>
            </w:r>
          </w:p>
        </w:tc>
        <w:tc>
          <w:tcPr>
            <w:tcW w:w="4721" w:type="dxa"/>
          </w:tcPr>
          <w:p w14:paraId="6D79B99B" w14:textId="77777777" w:rsidR="008910F8" w:rsidRPr="00A10CC6" w:rsidRDefault="008910F8" w:rsidP="008910F8">
            <w:pPr>
              <w:spacing w:after="0"/>
              <w:ind w:left="-41"/>
              <w:rPr>
                <w:b/>
              </w:rPr>
            </w:pPr>
            <w:r w:rsidRPr="00A10CC6">
              <w:rPr>
                <w:b/>
              </w:rPr>
              <w:t>With additional Notices of an Event of Default to:</w:t>
            </w:r>
          </w:p>
          <w:p w14:paraId="71D257D5" w14:textId="77777777" w:rsidR="008910F8" w:rsidRDefault="008910F8" w:rsidP="008910F8">
            <w:pPr>
              <w:spacing w:after="0"/>
              <w:ind w:left="589" w:hanging="589"/>
            </w:pPr>
            <w:r w:rsidRPr="0045440E">
              <w:t>Southern California Edison Company</w:t>
            </w:r>
          </w:p>
          <w:p w14:paraId="2D806F34" w14:textId="77777777" w:rsidR="008910F8" w:rsidRDefault="008910F8" w:rsidP="008910F8">
            <w:pPr>
              <w:spacing w:after="0"/>
              <w:ind w:left="589" w:hanging="589"/>
            </w:pPr>
            <w:r>
              <w:t>Law Department, Power Procurement</w:t>
            </w:r>
          </w:p>
          <w:p w14:paraId="3336FC3A" w14:textId="77777777" w:rsidR="008910F8" w:rsidRDefault="008910F8" w:rsidP="008910F8">
            <w:pPr>
              <w:spacing w:after="0"/>
              <w:ind w:left="589" w:hanging="589"/>
            </w:pPr>
            <w:r w:rsidRPr="0045440E">
              <w:t>2244 Walnut Grove Ave.</w:t>
            </w:r>
          </w:p>
          <w:p w14:paraId="5F770AD8" w14:textId="77777777" w:rsidR="008910F8" w:rsidRDefault="008910F8" w:rsidP="008910F8">
            <w:pPr>
              <w:spacing w:after="0"/>
              <w:ind w:left="589" w:hanging="589"/>
            </w:pPr>
            <w:r w:rsidRPr="0045440E">
              <w:t>Rosemead, CA   91770</w:t>
            </w:r>
          </w:p>
          <w:p w14:paraId="74E7EF23" w14:textId="77777777" w:rsidR="008910F8" w:rsidRPr="0045440E" w:rsidRDefault="008910F8" w:rsidP="008910F8">
            <w:pPr>
              <w:spacing w:after="0"/>
              <w:ind w:left="589" w:hanging="589"/>
            </w:pPr>
            <w:r w:rsidRPr="0045440E">
              <w:t xml:space="preserve">Attn: </w:t>
            </w:r>
            <w:r>
              <w:t>Director and Managing Attorney</w:t>
            </w:r>
          </w:p>
          <w:p w14:paraId="00CDF66C" w14:textId="77777777" w:rsidR="008910F8" w:rsidRPr="00A10CC6" w:rsidRDefault="008910F8" w:rsidP="008910F8">
            <w:pPr>
              <w:spacing w:after="0"/>
              <w:ind w:left="589" w:hanging="589"/>
            </w:pPr>
            <w:r w:rsidRPr="00A10CC6">
              <w:t xml:space="preserve">Email:  </w:t>
            </w:r>
            <w:r>
              <w:t>PPLegalNotice</w:t>
            </w:r>
            <w:r w:rsidRPr="00A10CC6">
              <w:t xml:space="preserve">@sce.com </w:t>
            </w:r>
          </w:p>
        </w:tc>
      </w:tr>
      <w:tr w:rsidR="008910F8" w:rsidRPr="00A10CC6" w14:paraId="01F9CC29" w14:textId="77777777" w:rsidTr="008910F8">
        <w:trPr>
          <w:cantSplit/>
        </w:trPr>
        <w:tc>
          <w:tcPr>
            <w:tcW w:w="4855" w:type="dxa"/>
          </w:tcPr>
          <w:p w14:paraId="793E4F83" w14:textId="77777777" w:rsidR="008910F8" w:rsidRPr="00A10CC6" w:rsidRDefault="008910F8" w:rsidP="008910F8">
            <w:pPr>
              <w:spacing w:before="120" w:after="0"/>
              <w:rPr>
                <w:b/>
                <w:bCs/>
              </w:rPr>
            </w:pPr>
            <w:r w:rsidRPr="00A10CC6">
              <w:rPr>
                <w:b/>
                <w:bCs/>
              </w:rPr>
              <w:lastRenderedPageBreak/>
              <w:t>Lender:</w:t>
            </w:r>
          </w:p>
          <w:p w14:paraId="667D3E50" w14:textId="77777777" w:rsidR="008910F8" w:rsidRPr="00A10CC6" w:rsidRDefault="008910F8" w:rsidP="008910F8">
            <w:pPr>
              <w:spacing w:after="0"/>
              <w:ind w:left="589" w:hanging="589"/>
            </w:pPr>
            <w:r w:rsidRPr="00A10CC6">
              <w:t>Attn:</w:t>
            </w:r>
            <w:r w:rsidRPr="00A10CC6">
              <w:tab/>
            </w:r>
          </w:p>
          <w:p w14:paraId="6DCC684A" w14:textId="77777777" w:rsidR="008910F8" w:rsidRPr="00A10CC6" w:rsidRDefault="008910F8" w:rsidP="008910F8">
            <w:pPr>
              <w:spacing w:after="0"/>
              <w:ind w:left="589" w:hanging="589"/>
            </w:pPr>
            <w:r w:rsidRPr="00A10CC6">
              <w:t>Phone:</w:t>
            </w:r>
            <w:r w:rsidRPr="00A10CC6">
              <w:tab/>
            </w:r>
          </w:p>
          <w:p w14:paraId="55C9C7EE" w14:textId="77777777" w:rsidR="008910F8" w:rsidRPr="00A10CC6" w:rsidRDefault="008910F8" w:rsidP="008910F8">
            <w:pPr>
              <w:spacing w:after="0"/>
              <w:ind w:left="589" w:hanging="589"/>
            </w:pPr>
            <w:r w:rsidRPr="00A10CC6">
              <w:t>Facsimile:</w:t>
            </w:r>
            <w:r w:rsidRPr="00A10CC6">
              <w:tab/>
            </w:r>
          </w:p>
          <w:p w14:paraId="3907E8C7" w14:textId="77777777" w:rsidR="008910F8" w:rsidRPr="00A10CC6" w:rsidRDefault="008910F8" w:rsidP="008910F8">
            <w:pPr>
              <w:spacing w:after="0"/>
              <w:ind w:left="589" w:hanging="589"/>
            </w:pPr>
            <w:r w:rsidRPr="00A10CC6">
              <w:t>E-mail:</w:t>
            </w:r>
            <w:r w:rsidRPr="00A10CC6">
              <w:tab/>
            </w:r>
          </w:p>
        </w:tc>
        <w:tc>
          <w:tcPr>
            <w:tcW w:w="4721" w:type="dxa"/>
          </w:tcPr>
          <w:p w14:paraId="7F79E2AC" w14:textId="77777777" w:rsidR="008910F8" w:rsidRPr="00A10CC6" w:rsidRDefault="008910F8" w:rsidP="008910F8">
            <w:pPr>
              <w:spacing w:before="120" w:after="0"/>
              <w:rPr>
                <w:b/>
                <w:bCs/>
              </w:rPr>
            </w:pPr>
          </w:p>
        </w:tc>
      </w:tr>
      <w:tr w:rsidR="00A17835" w:rsidRPr="00A10CC6" w14:paraId="49C8B7A9" w14:textId="77777777" w:rsidTr="0055473A">
        <w:trPr>
          <w:cantSplit/>
        </w:trPr>
        <w:tc>
          <w:tcPr>
            <w:tcW w:w="4855" w:type="dxa"/>
          </w:tcPr>
          <w:p w14:paraId="73F24657" w14:textId="77777777" w:rsidR="00A17835" w:rsidRPr="00561154" w:rsidRDefault="00A17835" w:rsidP="0055473A">
            <w:pPr>
              <w:spacing w:before="120"/>
              <w:rPr>
                <w:b/>
                <w:bCs/>
                <w:color w:val="00B050"/>
              </w:rPr>
            </w:pPr>
            <w:r w:rsidRPr="00561154">
              <w:rPr>
                <w:b/>
                <w:bCs/>
                <w:color w:val="00B050"/>
              </w:rPr>
              <w:t>N-2 Event Notification:</w:t>
            </w:r>
          </w:p>
          <w:p w14:paraId="30816F58" w14:textId="77777777" w:rsidR="00A17835" w:rsidRPr="00561154" w:rsidRDefault="00A17835" w:rsidP="0055473A">
            <w:pPr>
              <w:rPr>
                <w:bCs/>
                <w:i/>
                <w:color w:val="00B050"/>
              </w:rPr>
            </w:pPr>
            <w:r w:rsidRPr="00561154">
              <w:rPr>
                <w:bCs/>
                <w:i/>
                <w:color w:val="00B050"/>
              </w:rPr>
              <w:t>[SCE Note: insert email, text number, server, or other electronic destination as mutually agreed by the Parties]</w:t>
            </w:r>
          </w:p>
          <w:p w14:paraId="709940A2" w14:textId="77777777" w:rsidR="00A17835" w:rsidRPr="00A10CC6" w:rsidRDefault="00A17835" w:rsidP="0055473A">
            <w:pPr>
              <w:spacing w:before="120" w:after="0"/>
              <w:rPr>
                <w:b/>
                <w:bCs/>
              </w:rPr>
            </w:pPr>
          </w:p>
        </w:tc>
        <w:tc>
          <w:tcPr>
            <w:tcW w:w="4721" w:type="dxa"/>
          </w:tcPr>
          <w:p w14:paraId="4251737F" w14:textId="77777777" w:rsidR="00A17835" w:rsidRPr="00A10CC6" w:rsidRDefault="00A17835" w:rsidP="0055473A">
            <w:pPr>
              <w:spacing w:before="120" w:after="0"/>
              <w:rPr>
                <w:b/>
                <w:bCs/>
              </w:rPr>
            </w:pPr>
          </w:p>
        </w:tc>
      </w:tr>
    </w:tbl>
    <w:p w14:paraId="2AE18866" w14:textId="51AD067A" w:rsidR="006B1090" w:rsidRPr="00CF77B9" w:rsidRDefault="006B1090" w:rsidP="006B1090">
      <w:pPr>
        <w:spacing w:before="100" w:after="100"/>
        <w:jc w:val="center"/>
        <w:rPr>
          <w:u w:val="single"/>
        </w:rPr>
      </w:pPr>
      <w:r w:rsidRPr="00CF77B9">
        <w:rPr>
          <w:i/>
          <w:iCs/>
        </w:rPr>
        <w:t xml:space="preserve">*** End of EXHIBIT </w:t>
      </w:r>
      <w:r w:rsidR="0026318A">
        <w:rPr>
          <w:i/>
          <w:iCs/>
        </w:rPr>
        <w:t>Q</w:t>
      </w:r>
      <w:r w:rsidRPr="00CF77B9">
        <w:rPr>
          <w:i/>
          <w:iCs/>
        </w:rPr>
        <w:t xml:space="preserve"> **</w:t>
      </w:r>
      <w:r w:rsidR="00D509A2" w:rsidRPr="00CF77B9">
        <w:rPr>
          <w:i/>
          <w:iCs/>
        </w:rPr>
        <w:t>*</w:t>
      </w:r>
    </w:p>
    <w:p w14:paraId="293A7F0F" w14:textId="77777777" w:rsidR="006B1090" w:rsidRPr="00CF77B9" w:rsidRDefault="006B1090" w:rsidP="006B1090"/>
    <w:p w14:paraId="56652EEC" w14:textId="025EA4FF" w:rsidR="006B1090" w:rsidRPr="00CF77B9" w:rsidRDefault="006B1090" w:rsidP="006B1090"/>
    <w:p w14:paraId="5150A252" w14:textId="77777777" w:rsidR="00DD4E43" w:rsidRDefault="00DD4E43" w:rsidP="00393E77">
      <w:pPr>
        <w:spacing w:after="0"/>
        <w:jc w:val="center"/>
        <w:rPr>
          <w:i/>
          <w:iCs/>
        </w:rPr>
        <w:sectPr w:rsidR="00DD4E43">
          <w:footerReference w:type="default" r:id="rId54"/>
          <w:pgSz w:w="12240" w:h="15840"/>
          <w:pgMar w:top="1440" w:right="1440" w:bottom="1440" w:left="1440" w:header="720" w:footer="720" w:gutter="0"/>
          <w:pgNumType w:start="1"/>
          <w:cols w:space="720"/>
          <w:docGrid w:linePitch="360"/>
        </w:sectPr>
      </w:pPr>
      <w:bookmarkStart w:id="731" w:name="_Toc366249627"/>
      <w:bookmarkEnd w:id="634"/>
      <w:bookmarkEnd w:id="635"/>
      <w:bookmarkEnd w:id="636"/>
      <w:bookmarkEnd w:id="728"/>
      <w:bookmarkEnd w:id="729"/>
      <w:bookmarkEnd w:id="730"/>
      <w:bookmarkEnd w:id="731"/>
    </w:p>
    <w:p w14:paraId="5CA07AFE" w14:textId="6D690ABD" w:rsidR="00DD4E43" w:rsidRPr="00425178" w:rsidRDefault="00DD4E43" w:rsidP="00DD4E43">
      <w:pPr>
        <w:widowControl w:val="0"/>
        <w:tabs>
          <w:tab w:val="left" w:pos="4680"/>
          <w:tab w:val="left" w:pos="9360"/>
        </w:tabs>
        <w:jc w:val="center"/>
        <w:rPr>
          <w:b/>
          <w:color w:val="000000"/>
        </w:rPr>
      </w:pPr>
      <w:r>
        <w:rPr>
          <w:b/>
          <w:color w:val="000000"/>
        </w:rPr>
        <w:lastRenderedPageBreak/>
        <w:t>EXHIBIT R</w:t>
      </w:r>
    </w:p>
    <w:p w14:paraId="139B4AF4" w14:textId="77777777" w:rsidR="00DD4E43" w:rsidRPr="00425178" w:rsidRDefault="00DD4E43" w:rsidP="00DD4E43">
      <w:pPr>
        <w:widowControl w:val="0"/>
        <w:autoSpaceDE w:val="0"/>
        <w:autoSpaceDN w:val="0"/>
        <w:adjustRightInd w:val="0"/>
        <w:jc w:val="center"/>
        <w:rPr>
          <w:u w:val="single"/>
        </w:rPr>
      </w:pPr>
      <w:r w:rsidRPr="00425178">
        <w:rPr>
          <w:u w:val="single"/>
        </w:rPr>
        <w:t>FORM OF CONSENT TO COLLATERAL ASSIGNMENT AGREEMENT</w:t>
      </w:r>
    </w:p>
    <w:p w14:paraId="47971C9A" w14:textId="77777777" w:rsidR="00DD4E43" w:rsidRPr="00425178" w:rsidRDefault="00DD4E43" w:rsidP="00DD4E43">
      <w:pPr>
        <w:widowControl w:val="0"/>
        <w:autoSpaceDE w:val="0"/>
        <w:autoSpaceDN w:val="0"/>
        <w:adjustRightInd w:val="0"/>
        <w:ind w:firstLine="720"/>
      </w:pPr>
      <w:r w:rsidRPr="00425178">
        <w:t>This Consent to Collateral Assignment Agreement (this “</w:t>
      </w:r>
      <w:r w:rsidRPr="00425178">
        <w:rPr>
          <w:u w:val="single"/>
        </w:rPr>
        <w:t>Consent</w:t>
      </w:r>
      <w:r w:rsidRPr="00425178">
        <w:t xml:space="preserve">”) </w:t>
      </w:r>
      <w:r w:rsidRPr="00425178">
        <w:rPr>
          <w:color w:val="000000"/>
          <w:spacing w:val="4"/>
        </w:rPr>
        <w:t>is entered into among</w:t>
      </w:r>
      <w:r w:rsidRPr="00425178">
        <w:t xml:space="preserve"> (i) Southern California Edison Company, a California corporation (“</w:t>
      </w:r>
      <w:r w:rsidRPr="00425178">
        <w:rPr>
          <w:u w:val="single"/>
        </w:rPr>
        <w:t>SCE</w:t>
      </w:r>
      <w:r w:rsidRPr="00425178">
        <w:t xml:space="preserve">”), (ii) </w:t>
      </w:r>
      <w:r w:rsidRPr="00425178">
        <w:rPr>
          <w:i/>
          <w:color w:val="0000FF"/>
          <w:spacing w:val="4"/>
        </w:rPr>
        <w:t>[Name of Seller]</w:t>
      </w:r>
      <w:r w:rsidRPr="00425178">
        <w:rPr>
          <w:spacing w:val="4"/>
        </w:rPr>
        <w:t xml:space="preserve">, a </w:t>
      </w:r>
      <w:r w:rsidRPr="00425178">
        <w:rPr>
          <w:i/>
          <w:color w:val="0000FF"/>
        </w:rPr>
        <w:t>[Legal Status of Seller]</w:t>
      </w:r>
      <w:r w:rsidRPr="00425178">
        <w:t xml:space="preserve"> (the “</w:t>
      </w:r>
      <w:r w:rsidRPr="00425178">
        <w:rPr>
          <w:u w:val="single"/>
        </w:rPr>
        <w:t>Project Company</w:t>
      </w:r>
      <w:r w:rsidRPr="00425178">
        <w:t xml:space="preserve">”), and (iii) </w:t>
      </w:r>
      <w:r w:rsidRPr="00425178">
        <w:rPr>
          <w:i/>
          <w:color w:val="0000FF"/>
          <w:spacing w:val="4"/>
        </w:rPr>
        <w:t>[Name of Collateral Agent]</w:t>
      </w:r>
      <w:r w:rsidRPr="00425178">
        <w:rPr>
          <w:spacing w:val="4"/>
        </w:rPr>
        <w:t xml:space="preserve">, a </w:t>
      </w:r>
      <w:r w:rsidRPr="00425178">
        <w:rPr>
          <w:i/>
          <w:color w:val="0000FF"/>
        </w:rPr>
        <w:t>[Legal Status of Collateral Agent]</w:t>
      </w:r>
      <w:r w:rsidRPr="00425178">
        <w:t>, as Collateral Agent for the secured parties under the Financing Documents referred to below (such secured parties together with their successors permitted under this Consent in such capacity, the “</w:t>
      </w:r>
      <w:r w:rsidRPr="00425178">
        <w:rPr>
          <w:u w:val="single"/>
        </w:rPr>
        <w:t>Secured Parties</w:t>
      </w:r>
      <w:r w:rsidRPr="00425178">
        <w:t>”, and, such agent, together with its successors in such capacity, the “</w:t>
      </w:r>
      <w:r w:rsidRPr="00425178">
        <w:rPr>
          <w:u w:val="single"/>
        </w:rPr>
        <w:t>Collateral Agent</w:t>
      </w:r>
      <w:r w:rsidRPr="00425178">
        <w:t xml:space="preserve">”). </w:t>
      </w:r>
      <w:r w:rsidRPr="00425178">
        <w:rPr>
          <w:color w:val="000000"/>
          <w:spacing w:val="2"/>
        </w:rPr>
        <w:t xml:space="preserve">SCE, </w:t>
      </w:r>
      <w:r w:rsidRPr="00425178">
        <w:rPr>
          <w:color w:val="000000"/>
          <w:spacing w:val="4"/>
        </w:rPr>
        <w:t>Project Company and Collateral Agent</w:t>
      </w:r>
      <w:r w:rsidRPr="00425178">
        <w:rPr>
          <w:color w:val="000000"/>
          <w:spacing w:val="2"/>
        </w:rPr>
        <w:t xml:space="preserve"> are hereinafter sometimes referred to</w:t>
      </w:r>
      <w:r w:rsidRPr="00425178">
        <w:rPr>
          <w:color w:val="000000"/>
          <w:spacing w:val="4"/>
        </w:rPr>
        <w:t xml:space="preserve"> individually as a “Party” and jointly as the “Parties”. Capitalized terms used but not otherwise defined in this Consent shall have the meanings ascribed to them in the Resource Adequacy Purchase Agreement (as defined below).</w:t>
      </w:r>
    </w:p>
    <w:p w14:paraId="0B310F00" w14:textId="77777777" w:rsidR="00DD4E43" w:rsidRPr="00425178" w:rsidRDefault="00DD4E43" w:rsidP="00DD4E43">
      <w:pPr>
        <w:widowControl w:val="0"/>
        <w:autoSpaceDE w:val="0"/>
        <w:autoSpaceDN w:val="0"/>
        <w:adjustRightInd w:val="0"/>
        <w:jc w:val="center"/>
        <w:rPr>
          <w:u w:val="single"/>
        </w:rPr>
      </w:pPr>
      <w:r w:rsidRPr="00425178">
        <w:rPr>
          <w:u w:val="single"/>
        </w:rPr>
        <w:t>RECITALS</w:t>
      </w:r>
    </w:p>
    <w:p w14:paraId="74191850" w14:textId="77777777" w:rsidR="00DD4E43" w:rsidRPr="00425178" w:rsidRDefault="00DD4E43" w:rsidP="00DD4E43">
      <w:pPr>
        <w:widowControl w:val="0"/>
        <w:spacing w:after="0"/>
        <w:jc w:val="both"/>
        <w:rPr>
          <w:color w:val="000000"/>
        </w:rPr>
      </w:pPr>
      <w:r w:rsidRPr="00425178">
        <w:rPr>
          <w:color w:val="000000"/>
        </w:rPr>
        <w:t>The Parties enter into this Consent</w:t>
      </w:r>
      <w:r w:rsidRPr="00425178">
        <w:rPr>
          <w:color w:val="000000"/>
          <w:spacing w:val="4"/>
        </w:rPr>
        <w:t xml:space="preserve"> </w:t>
      </w:r>
      <w:r w:rsidRPr="00425178">
        <w:rPr>
          <w:color w:val="000000"/>
        </w:rPr>
        <w:t>with reference to the following facts:</w:t>
      </w:r>
    </w:p>
    <w:p w14:paraId="01C6A070" w14:textId="77777777" w:rsidR="00DD4E43" w:rsidRPr="00425178" w:rsidRDefault="00DD4E43" w:rsidP="00DD4E43">
      <w:pPr>
        <w:widowControl w:val="0"/>
        <w:spacing w:after="0"/>
        <w:jc w:val="both"/>
        <w:rPr>
          <w:szCs w:val="20"/>
        </w:rPr>
      </w:pPr>
    </w:p>
    <w:p w14:paraId="3C05A767" w14:textId="77777777" w:rsidR="00DD4E43" w:rsidRPr="00425178" w:rsidRDefault="00DD4E43" w:rsidP="00DD4E43">
      <w:pPr>
        <w:widowControl w:val="0"/>
        <w:numPr>
          <w:ilvl w:val="0"/>
          <w:numId w:val="55"/>
        </w:numPr>
        <w:spacing w:after="0"/>
      </w:pPr>
      <w:r w:rsidRPr="00425178">
        <w:t xml:space="preserve">Project Company and SCE have entered into that certain Energy Storage Resource Adequacy Purchase </w:t>
      </w:r>
      <w:r>
        <w:t xml:space="preserve">and Sale </w:t>
      </w:r>
      <w:r w:rsidRPr="00425178">
        <w:t xml:space="preserve">Agreement, dated as of </w:t>
      </w:r>
      <w:r w:rsidRPr="00425178">
        <w:rPr>
          <w:i/>
          <w:color w:val="0000FF"/>
        </w:rPr>
        <w:t>[Date]</w:t>
      </w:r>
      <w:r w:rsidRPr="00425178">
        <w:t xml:space="preserve"> </w:t>
      </w:r>
      <w:r w:rsidRPr="00425178">
        <w:rPr>
          <w:i/>
          <w:color w:val="0000FF"/>
        </w:rPr>
        <w:t>[List all amendments as contemplated by Section 3.4]</w:t>
      </w:r>
      <w:r w:rsidRPr="00425178">
        <w:t xml:space="preserve"> (“</w:t>
      </w:r>
      <w:r w:rsidRPr="00425178">
        <w:rPr>
          <w:u w:val="single"/>
        </w:rPr>
        <w:t>Resource Adequacy Purchase Agreement</w:t>
      </w:r>
      <w:r w:rsidRPr="00425178">
        <w:t>”), pursuant to which Project Company will develop, construct, commission, test and operate the Storage Units (the “</w:t>
      </w:r>
      <w:r w:rsidRPr="00425178">
        <w:rPr>
          <w:u w:val="single"/>
        </w:rPr>
        <w:t>Project</w:t>
      </w:r>
      <w:r w:rsidRPr="00425178">
        <w:t>”) and sell the Product to SCE, and SCE will purchase the Product from Project Company;</w:t>
      </w:r>
    </w:p>
    <w:p w14:paraId="3FF3F589" w14:textId="77777777" w:rsidR="00DD4E43" w:rsidRPr="00425178" w:rsidRDefault="00DD4E43" w:rsidP="00DD4E43">
      <w:pPr>
        <w:widowControl w:val="0"/>
        <w:spacing w:after="0"/>
      </w:pPr>
    </w:p>
    <w:p w14:paraId="0D1F4E75" w14:textId="77777777" w:rsidR="00DD4E43" w:rsidRPr="00425178" w:rsidRDefault="00DD4E43" w:rsidP="00DD4E43">
      <w:pPr>
        <w:widowControl w:val="0"/>
        <w:numPr>
          <w:ilvl w:val="0"/>
          <w:numId w:val="55"/>
        </w:numPr>
        <w:spacing w:after="0"/>
      </w:pPr>
      <w:r w:rsidRPr="00425178">
        <w:t>As collateral for Project Company’s obligations under the Resource Adequacy Purchase Agreement, Project Company has agreed to provide to SCE certain collateral, which may include Performance Assurance and Security Interests and other collateral described in the Resource Adequacy Purchase Agreement (collectively, the “</w:t>
      </w:r>
      <w:r w:rsidRPr="00425178">
        <w:rPr>
          <w:u w:val="single"/>
        </w:rPr>
        <w:t>RA Agreement Collateral”)</w:t>
      </w:r>
      <w:r w:rsidRPr="00425178">
        <w:t>;</w:t>
      </w:r>
    </w:p>
    <w:p w14:paraId="05118F23" w14:textId="77777777" w:rsidR="00DD4E43" w:rsidRPr="00425178" w:rsidRDefault="00DD4E43" w:rsidP="00DD4E43">
      <w:pPr>
        <w:pStyle w:val="ListParagraph"/>
      </w:pPr>
    </w:p>
    <w:p w14:paraId="0DACE0C6" w14:textId="77777777" w:rsidR="00DD4E43" w:rsidRPr="00425178" w:rsidRDefault="00DD4E43" w:rsidP="00DD4E43">
      <w:pPr>
        <w:widowControl w:val="0"/>
        <w:numPr>
          <w:ilvl w:val="0"/>
          <w:numId w:val="55"/>
        </w:numPr>
        <w:spacing w:after="0"/>
      </w:pPr>
      <w:r w:rsidRPr="00425178">
        <w:t xml:space="preserve">Project Company has entered into that certain </w:t>
      </w:r>
      <w:r w:rsidRPr="00425178">
        <w:rPr>
          <w:i/>
          <w:color w:val="0000FF"/>
        </w:rPr>
        <w:t>[Insert description of financing arrangements with Lender]</w:t>
      </w:r>
      <w:r w:rsidRPr="00425178">
        <w:t xml:space="preserve">, dated as of </w:t>
      </w:r>
      <w:r w:rsidRPr="00425178">
        <w:rPr>
          <w:i/>
          <w:color w:val="0000FF"/>
        </w:rPr>
        <w:t>[Date]</w:t>
      </w:r>
      <w:r w:rsidRPr="00425178">
        <w:t>, among Project Company, the Lenders party thereto and the Collateral Agent (the “</w:t>
      </w:r>
      <w:r w:rsidRPr="00425178">
        <w:rPr>
          <w:u w:val="single"/>
        </w:rPr>
        <w:t>Financing Agreement</w:t>
      </w:r>
      <w:r w:rsidRPr="00425178">
        <w:t xml:space="preserve">”), pursuant to which, among other things, the Lenders have extended commitments to make loans to Project </w:t>
      </w:r>
      <w:r w:rsidRPr="00425178">
        <w:lastRenderedPageBreak/>
        <w:t>Company;</w:t>
      </w:r>
    </w:p>
    <w:p w14:paraId="3C37C21A" w14:textId="77777777" w:rsidR="00DD4E43" w:rsidRPr="00425178" w:rsidRDefault="00DD4E43" w:rsidP="00DD4E43">
      <w:pPr>
        <w:pStyle w:val="ListParagraph"/>
      </w:pPr>
    </w:p>
    <w:p w14:paraId="421E45CC" w14:textId="77777777" w:rsidR="00DD4E43" w:rsidRPr="00425178" w:rsidRDefault="00DD4E43" w:rsidP="00DD4E43">
      <w:pPr>
        <w:widowControl w:val="0"/>
        <w:numPr>
          <w:ilvl w:val="0"/>
          <w:numId w:val="55"/>
        </w:numPr>
        <w:spacing w:after="0"/>
      </w:pPr>
      <w:r w:rsidRPr="00425178">
        <w:t>As collateral security for Project Company’s obligations under the Financing Agreement and related agreements (collectively, the “</w:t>
      </w:r>
      <w:r w:rsidRPr="00425178">
        <w:rPr>
          <w:u w:val="single"/>
        </w:rPr>
        <w:t>Financing Documents</w:t>
      </w:r>
      <w:r w:rsidRPr="00425178">
        <w:t>”), Project Company has, among other things, assigned all of its right, title and interest in, to and under the Resource Adequacy Purchase Agreement and Project’s Company’s owners have pledged their ownership interest in Project Company (collectively, the “</w:t>
      </w:r>
      <w:r w:rsidRPr="00425178">
        <w:rPr>
          <w:u w:val="single"/>
        </w:rPr>
        <w:t>Assigned Interest</w:t>
      </w:r>
      <w:r w:rsidRPr="00425178">
        <w:t>”) to the Collateral Agent pursuant to the Financing Documents; and</w:t>
      </w:r>
    </w:p>
    <w:p w14:paraId="1E688199" w14:textId="77777777" w:rsidR="00DD4E43" w:rsidRPr="00425178" w:rsidRDefault="00DD4E43" w:rsidP="00DD4E43">
      <w:pPr>
        <w:widowControl w:val="0"/>
        <w:spacing w:after="0"/>
      </w:pPr>
    </w:p>
    <w:p w14:paraId="2A407FEF" w14:textId="77777777" w:rsidR="00DD4E43" w:rsidRPr="00425178" w:rsidRDefault="00DD4E43" w:rsidP="00DD4E43">
      <w:pPr>
        <w:widowControl w:val="0"/>
        <w:numPr>
          <w:ilvl w:val="0"/>
          <w:numId w:val="55"/>
        </w:numPr>
        <w:spacing w:after="0"/>
      </w:pPr>
      <w:r w:rsidRPr="00425178">
        <w:t>It is a requirement under the Financing Agreement and the Resource Adequacy Purchase Agreement that SCE and the other Parties hereto shall have executed and delivered this Consent.</w:t>
      </w:r>
    </w:p>
    <w:p w14:paraId="0778B3E4" w14:textId="77777777" w:rsidR="00DD4E43" w:rsidRPr="00425178" w:rsidRDefault="00DD4E43" w:rsidP="00DD4E43">
      <w:pPr>
        <w:widowControl w:val="0"/>
        <w:autoSpaceDE w:val="0"/>
        <w:autoSpaceDN w:val="0"/>
        <w:adjustRightInd w:val="0"/>
        <w:jc w:val="center"/>
        <w:rPr>
          <w:u w:val="single"/>
        </w:rPr>
      </w:pPr>
      <w:r w:rsidRPr="00425178">
        <w:rPr>
          <w:u w:val="single"/>
        </w:rPr>
        <w:t>AGREEMENT</w:t>
      </w:r>
    </w:p>
    <w:p w14:paraId="3C99F0EB" w14:textId="77777777" w:rsidR="00DD4E43" w:rsidRPr="00425178" w:rsidRDefault="00DD4E43" w:rsidP="00DD4E43">
      <w:pPr>
        <w:widowControl w:val="0"/>
        <w:autoSpaceDE w:val="0"/>
        <w:autoSpaceDN w:val="0"/>
        <w:adjustRightInd w:val="0"/>
      </w:pPr>
      <w:r w:rsidRPr="00425178">
        <w:t>In consideration of the foregoing, and for other good and valuable consideration, the receipt and adequacy of which are hereby acknowledged, and intending to be legally bound, the Parties hereto hereby agree as follows:</w:t>
      </w:r>
    </w:p>
    <w:p w14:paraId="78BC3EF6" w14:textId="77777777" w:rsidR="00DD4E43" w:rsidRPr="00425178" w:rsidRDefault="00DD4E43" w:rsidP="00DD4E43">
      <w:pPr>
        <w:widowControl w:val="0"/>
        <w:spacing w:after="0"/>
      </w:pPr>
    </w:p>
    <w:p w14:paraId="68C84A2B" w14:textId="77777777" w:rsidR="00DD4E43" w:rsidRPr="00425178" w:rsidRDefault="00DD4E43" w:rsidP="00DD4E43">
      <w:pPr>
        <w:widowControl w:val="0"/>
        <w:spacing w:after="0"/>
      </w:pPr>
      <w:r w:rsidRPr="00425178">
        <w:t>SECTION 1.</w:t>
      </w:r>
      <w:r w:rsidRPr="00425178">
        <w:tab/>
      </w:r>
      <w:r w:rsidRPr="00425178">
        <w:rPr>
          <w:u w:val="single"/>
        </w:rPr>
        <w:t>CONSENT TO ASSIGNMENT, ETC</w:t>
      </w:r>
      <w:r w:rsidRPr="00425178">
        <w:t>.</w:t>
      </w:r>
    </w:p>
    <w:p w14:paraId="66D2358D" w14:textId="77777777" w:rsidR="00DD4E43" w:rsidRPr="00425178" w:rsidRDefault="00DD4E43" w:rsidP="00DD4E43">
      <w:pPr>
        <w:widowControl w:val="0"/>
        <w:spacing w:after="0"/>
      </w:pPr>
    </w:p>
    <w:p w14:paraId="295D4B93" w14:textId="77777777" w:rsidR="00DD4E43" w:rsidRPr="00425178" w:rsidRDefault="00DD4E43" w:rsidP="00DD4E43">
      <w:pPr>
        <w:widowControl w:val="0"/>
        <w:spacing w:after="0"/>
      </w:pPr>
      <w:r w:rsidRPr="00425178">
        <w:t>1.1</w:t>
      </w:r>
      <w:r w:rsidRPr="00425178">
        <w:tab/>
      </w:r>
      <w:r w:rsidRPr="00425178">
        <w:rPr>
          <w:u w:val="single"/>
        </w:rPr>
        <w:t>Consent and Agreement</w:t>
      </w:r>
      <w:r w:rsidRPr="00425178">
        <w:t>.</w:t>
      </w:r>
    </w:p>
    <w:p w14:paraId="7B2908B6" w14:textId="77777777" w:rsidR="00DD4E43" w:rsidRPr="00425178" w:rsidRDefault="00DD4E43" w:rsidP="00DD4E43">
      <w:pPr>
        <w:widowControl w:val="0"/>
        <w:spacing w:after="0"/>
      </w:pPr>
      <w:r w:rsidRPr="00425178">
        <w:t xml:space="preserve">  </w:t>
      </w:r>
    </w:p>
    <w:p w14:paraId="704024CD" w14:textId="77777777" w:rsidR="00DD4E43" w:rsidRPr="00425178" w:rsidRDefault="00DD4E43" w:rsidP="00DD4E43">
      <w:pPr>
        <w:widowControl w:val="0"/>
        <w:spacing w:after="0"/>
      </w:pPr>
      <w:r w:rsidRPr="00425178">
        <w:tab/>
        <w:t>SCE hereby acknowledges:</w:t>
      </w:r>
    </w:p>
    <w:p w14:paraId="67D0C1E2" w14:textId="77777777" w:rsidR="00DD4E43" w:rsidRPr="00425178" w:rsidRDefault="00DD4E43" w:rsidP="00DD4E43">
      <w:pPr>
        <w:widowControl w:val="0"/>
        <w:spacing w:after="0"/>
      </w:pPr>
    </w:p>
    <w:p w14:paraId="4EAAED37" w14:textId="77777777" w:rsidR="00DD4E43" w:rsidRPr="00425178" w:rsidRDefault="00DD4E43" w:rsidP="00DD4E43">
      <w:pPr>
        <w:pStyle w:val="ListParagraph"/>
        <w:numPr>
          <w:ilvl w:val="4"/>
          <w:numId w:val="86"/>
        </w:numPr>
        <w:spacing w:after="200" w:line="240" w:lineRule="auto"/>
        <w:ind w:left="1440" w:firstLine="0"/>
        <w:rPr>
          <w:rFonts w:ascii="Times New Roman" w:hAnsi="Times New Roman"/>
          <w:sz w:val="24"/>
        </w:rPr>
      </w:pPr>
      <w:r w:rsidRPr="00425178">
        <w:rPr>
          <w:rFonts w:ascii="Times New Roman" w:hAnsi="Times New Roman"/>
          <w:sz w:val="24"/>
        </w:rPr>
        <w:t>notice of and consents to the assignment as collateral security to Collateral Agent, for the benefit of the Secured Parties, of the Assigned Interest; and</w:t>
      </w:r>
    </w:p>
    <w:p w14:paraId="0E5B4953" w14:textId="77777777" w:rsidR="00DD4E43" w:rsidRPr="00425178" w:rsidRDefault="00DD4E43" w:rsidP="00DD4E43">
      <w:pPr>
        <w:pStyle w:val="ListParagraph"/>
        <w:ind w:left="1800"/>
      </w:pPr>
    </w:p>
    <w:p w14:paraId="5F18AFAB" w14:textId="77777777" w:rsidR="00DD4E43" w:rsidRPr="00425178" w:rsidRDefault="00DD4E43" w:rsidP="00DD4E43">
      <w:pPr>
        <w:widowControl w:val="0"/>
        <w:spacing w:after="0"/>
        <w:ind w:left="1440"/>
      </w:pPr>
      <w:r w:rsidRPr="00425178">
        <w:t xml:space="preserve">(b) the right (but not the obligation) of Collateral Agent in the exercise of its rights and remedies under the Financing Documents, to make all demands, give all notices, take all actions and exercise all rights of Project Company permitted under the Resource Adequacy Purchase Agreement (subject to SCE’s rights and defenses under the Resource Adequacy Purchase Agreement and the terms of this Consent) and accepts any such exercise; provided, however, that, insofar as the Collateral Agent exercises any such rights under the Resource Adequacy Purchase Agreement or makes any claims with respect to payments or other obligations </w:t>
      </w:r>
      <w:r w:rsidRPr="00425178">
        <w:lastRenderedPageBreak/>
        <w:t>under the Resource Adequacy Purchase Agreement, the terms and conditions of the Resource Adequacy Purchase Agreement applicable to such exercise of rights or claims shall apply to Collateral Agent to the same extent as to Project Company.</w:t>
      </w:r>
    </w:p>
    <w:p w14:paraId="51182E01" w14:textId="77777777" w:rsidR="00DD4E43" w:rsidRPr="00425178" w:rsidRDefault="00DD4E43" w:rsidP="00DD4E43">
      <w:pPr>
        <w:widowControl w:val="0"/>
        <w:spacing w:after="0"/>
        <w:ind w:left="1440"/>
      </w:pPr>
    </w:p>
    <w:p w14:paraId="27A9B202" w14:textId="77777777" w:rsidR="00DD4E43" w:rsidRPr="00425178" w:rsidRDefault="00DD4E43" w:rsidP="00DD4E43">
      <w:pPr>
        <w:widowControl w:val="0"/>
        <w:spacing w:after="0"/>
      </w:pPr>
      <w:r w:rsidRPr="00425178">
        <w:t>1.2</w:t>
      </w:r>
      <w:r w:rsidRPr="00425178">
        <w:tab/>
      </w:r>
      <w:r w:rsidRPr="00425178">
        <w:rPr>
          <w:u w:val="single"/>
        </w:rPr>
        <w:t>Project Company’s Acknowledgement</w:t>
      </w:r>
      <w:r w:rsidRPr="00425178">
        <w:t xml:space="preserve">. </w:t>
      </w:r>
    </w:p>
    <w:p w14:paraId="341EC1CE" w14:textId="77777777" w:rsidR="00DD4E43" w:rsidRPr="00425178" w:rsidRDefault="00DD4E43" w:rsidP="00DD4E43">
      <w:pPr>
        <w:widowControl w:val="0"/>
        <w:spacing w:after="0"/>
      </w:pPr>
    </w:p>
    <w:p w14:paraId="1AFDD5D4" w14:textId="77777777" w:rsidR="00DD4E43" w:rsidRPr="00425178" w:rsidRDefault="00DD4E43" w:rsidP="00DD4E43">
      <w:pPr>
        <w:widowControl w:val="0"/>
        <w:spacing w:after="0"/>
      </w:pPr>
      <w:r w:rsidRPr="00425178">
        <w:t>Each of Project Company and Collateral Agent hereby acknowledges and agrees that SCE is authorized to act in accordance with Collateral Agent’s instructions, and that SCE shall bear no liability to Project Company or Collateral Agent in connection therewith, including any liability for failing to act in accordance with Project Company’s instructions.</w:t>
      </w:r>
    </w:p>
    <w:p w14:paraId="1700DF43" w14:textId="77777777" w:rsidR="00DD4E43" w:rsidRPr="00425178" w:rsidRDefault="00DD4E43" w:rsidP="00DD4E43">
      <w:pPr>
        <w:widowControl w:val="0"/>
        <w:spacing w:after="0"/>
      </w:pPr>
    </w:p>
    <w:p w14:paraId="1781DE7D" w14:textId="77777777" w:rsidR="00DD4E43" w:rsidRPr="00425178" w:rsidRDefault="00DD4E43" w:rsidP="00DD4E43">
      <w:pPr>
        <w:widowControl w:val="0"/>
        <w:spacing w:after="0"/>
      </w:pPr>
      <w:r w:rsidRPr="00425178">
        <w:t>1.3</w:t>
      </w:r>
      <w:r w:rsidRPr="00425178">
        <w:tab/>
      </w:r>
      <w:r w:rsidRPr="00425178">
        <w:rPr>
          <w:u w:val="single"/>
        </w:rPr>
        <w:t>Right to Cure</w:t>
      </w:r>
      <w:r w:rsidRPr="00425178">
        <w:t xml:space="preserve">. </w:t>
      </w:r>
    </w:p>
    <w:p w14:paraId="6C413062" w14:textId="77777777" w:rsidR="00DD4E43" w:rsidRPr="00425178" w:rsidRDefault="00DD4E43" w:rsidP="00DD4E43">
      <w:pPr>
        <w:widowControl w:val="0"/>
        <w:spacing w:after="0"/>
      </w:pPr>
      <w:r w:rsidRPr="00425178">
        <w:t xml:space="preserve"> </w:t>
      </w:r>
    </w:p>
    <w:p w14:paraId="1BEA0AAD" w14:textId="62650E73" w:rsidR="00DD4E43" w:rsidRPr="00425178" w:rsidRDefault="00DD4E43" w:rsidP="00DD4E43">
      <w:pPr>
        <w:widowControl w:val="0"/>
        <w:spacing w:after="0"/>
      </w:pPr>
      <w:r w:rsidRPr="00425178">
        <w:t xml:space="preserve">If Project Company defaults in the performance of any of its obligations under the Resource Adequacy Purchase Agreement, or upon the occurrence or non-occurrence of any event or condition under the Resource Adequacy Purchase Agreement which would immediately or with the passage of any applicable grace period or the giving of notice, or both, enable SCE to terminate or suspend its performance under the Resource Adequacy Purchase Agreement  (a “Resource Adequacy Purchase Agreement Default”), SCE will not terminate or suspend its performance under the Resource Adequacy Purchase Agreement until it first gives written notice of such Resource Adequacy Purchase Agreement Default to Collateral Agent and affords Collateral Agent the right to cure such Resource Adequacy Purchase Agreement Default within the applicable cure period under the Resource Adequacy Purchase Agreement, which cure period shall run concurrently with that afforded Project Company under the Resource Adequacy Purchase Agreement. In addition, if Collateral Agent gives SCE written notice prior to the expiration of the applicable cure period under the Resource Adequacy Purchase Agreement of Collateral Agent’s intention to cure such Resource Adequacy Purchase Agreement Default (which notice shall include a reasonable description of the time during which it anticipates to cure such Resource Adequacy Purchase Agreement Default) and is diligently proceeding to cure such Resource Adequacy Purchase Agreement Default, notwithstanding the applicable cure period under the Resource Adequacy Purchase Agreement, Collateral Agent shall have a period of sixty (60) days (or, if such Resource Adequacy Purchase Agreement Default is for failure by the Project Company to pay an amount to SCE which is due and payable under the Resource Adequacy Purchase Agreement other than to provide RA Agreement Collateral, thirty (30) days, or, if such Resource Adequacy Purchase Agreement Default is for failure by Project Company to </w:t>
      </w:r>
      <w:r w:rsidRPr="00425178">
        <w:lastRenderedPageBreak/>
        <w:t xml:space="preserve">provide RA Agreement Collateral, [__ (__)] Business Days) from the Collateral Agent’s receipt of the notice of such Resource Adequacy Purchase Agreement Default from SCE to cure such Resource Adequacy Purchase Agreement Default; provided, however, that (a) if possession of the Project is necessary to cure any such non-monetary Resource Adequacy Purchase Agreement Default and Collateral Agent has commenced foreclosure proceedings within sixty (60) days after notice of the Resource Adequacy Purchase Agreement Default and is diligently pursuing such foreclosure proceedings, Collateral Agent will be allowed a reasonable time, not to exceed one hundred eighty (180) days after the notice of the Resource Adequacy Purchase Agreement Default, to complete such proceedings and cure such Resource Adequacy Purchase Agreement Default, and (b) if Collateral Agent is prohibited from curing any such Resource Adequacy Purchase Agreement Default by any process, stay or injunction issued by any Governmental Authority or pursuant to any bankruptcy or insolvency proceeding or other similar proceeding involving Project Company, then the time periods specified herein for curing a Resource Adequacy Purchase Agreement Default shall be extended for the period of such prohibition, so long as Collateral Agent has diligently pursued removal of such process, stay or injunction. Collateral Agent shall provide SCE with reports concerning the status of efforts to cure a Resource Adequacy Purchase Agreement Default upon SCE’s reasonable request. </w:t>
      </w:r>
    </w:p>
    <w:p w14:paraId="7CA8580D" w14:textId="77777777" w:rsidR="00DD4E43" w:rsidRPr="00425178" w:rsidRDefault="00DD4E43" w:rsidP="00DD4E43">
      <w:pPr>
        <w:widowControl w:val="0"/>
        <w:spacing w:after="0"/>
      </w:pPr>
      <w:r w:rsidRPr="00425178">
        <w:t xml:space="preserve"> </w:t>
      </w:r>
    </w:p>
    <w:p w14:paraId="6146D651" w14:textId="77777777" w:rsidR="00DD4E43" w:rsidRPr="00425178" w:rsidRDefault="00DD4E43" w:rsidP="00DD4E43">
      <w:pPr>
        <w:widowControl w:val="0"/>
        <w:spacing w:after="0"/>
      </w:pPr>
      <w:r w:rsidRPr="00425178">
        <w:t>1.4</w:t>
      </w:r>
      <w:r w:rsidRPr="00425178">
        <w:tab/>
      </w:r>
      <w:r w:rsidRPr="00425178">
        <w:rPr>
          <w:u w:val="single"/>
        </w:rPr>
        <w:t>Substitute Owner</w:t>
      </w:r>
      <w:r w:rsidRPr="00425178">
        <w:t>.</w:t>
      </w:r>
    </w:p>
    <w:p w14:paraId="7598DB55" w14:textId="77777777" w:rsidR="00DD4E43" w:rsidRPr="00425178" w:rsidRDefault="00DD4E43" w:rsidP="00DD4E43">
      <w:pPr>
        <w:widowControl w:val="0"/>
        <w:spacing w:after="0"/>
      </w:pPr>
      <w:r w:rsidRPr="00425178">
        <w:t xml:space="preserve">  </w:t>
      </w:r>
    </w:p>
    <w:p w14:paraId="04233A07" w14:textId="77777777" w:rsidR="00DD4E43" w:rsidRPr="00425178" w:rsidRDefault="00DD4E43" w:rsidP="00DD4E43">
      <w:pPr>
        <w:widowControl w:val="0"/>
        <w:spacing w:after="0"/>
      </w:pPr>
      <w:r w:rsidRPr="00425178">
        <w:t>Subject to Section 1.7, the Parties agree that if Collateral Agent notifies (such notice, a “</w:t>
      </w:r>
      <w:r w:rsidRPr="00425178">
        <w:rPr>
          <w:u w:val="single"/>
        </w:rPr>
        <w:t>Financing Document Default Notice</w:t>
      </w:r>
      <w:r w:rsidRPr="00425178">
        <w:t>”) SCE that an event of default has occurred and is continuing under the Financing Documents (a “</w:t>
      </w:r>
      <w:r w:rsidRPr="00425178">
        <w:rPr>
          <w:u w:val="single"/>
        </w:rPr>
        <w:t>Financing Document Event of Default</w:t>
      </w:r>
      <w:r w:rsidRPr="00425178">
        <w:t>”) then, upon a judicial foreclosure sale, non-judicial foreclosure sale, deed in lieu of foreclosure or other transfer following a Financing Document Event of Default, Collateral Agent (or its designee) shall be substituted for Project Company (the “</w:t>
      </w:r>
      <w:r w:rsidRPr="00425178">
        <w:rPr>
          <w:u w:val="single"/>
        </w:rPr>
        <w:t>Substitute Owner</w:t>
      </w:r>
      <w:r w:rsidRPr="00425178">
        <w:t xml:space="preserve">”) under the Resource Adequacy Purchase Agreement, and, subject to Sections 1.7(b) and 1.7(c) below, SCE and Substitute Owner will recognize each other as counterparties under the Resource Adequacy Purchase Agreement and will continue to perform their respective obligations (including those obligations accruing to SCE and the Project Company prior to the existence of the Substitute Owner) under the Resource Adequacy Purchase Agreement in favor of each other in accordance with the terms thereof; provided, however, that before SCE is required to recognize the Substitute Owner, the Substitute Owner must have demonstrated to SCE’s reasonable satisfaction that the Substitute Owner has financial qualifications and operating experience </w:t>
      </w:r>
      <w:r w:rsidRPr="000F628D">
        <w:rPr>
          <w:i/>
          <w:color w:val="0000FF"/>
        </w:rPr>
        <w:t>[TBD]</w:t>
      </w:r>
      <w:r w:rsidRPr="00425178">
        <w:rPr>
          <w:color w:val="00B0F0"/>
        </w:rPr>
        <w:t xml:space="preserve"> </w:t>
      </w:r>
      <w:r w:rsidRPr="00425178">
        <w:t>(a “</w:t>
      </w:r>
      <w:r w:rsidRPr="00425178">
        <w:rPr>
          <w:u w:val="single"/>
        </w:rPr>
        <w:t>Permitted Transferee</w:t>
      </w:r>
      <w:r w:rsidRPr="00425178">
        <w:t xml:space="preserve">”). For purposes of the foregoing, SCE shall be entitled to assume that any such purported exercise of rights by Collateral Agent that results in substitution of a Substitute Owner under the </w:t>
      </w:r>
      <w:r w:rsidRPr="00425178">
        <w:lastRenderedPageBreak/>
        <w:t>Resource Adequacy Purchase Agreement is in accordance with the Financing Documents without independent investigation thereof but shall have the right to require that the Collateral Agent and its designee (if applicable) provide reasonable evidence demonstrating the same.</w:t>
      </w:r>
    </w:p>
    <w:p w14:paraId="5675D29E" w14:textId="77777777" w:rsidR="00DD4E43" w:rsidRPr="00425178" w:rsidRDefault="00DD4E43" w:rsidP="00DD4E43">
      <w:pPr>
        <w:widowControl w:val="0"/>
        <w:spacing w:after="0"/>
      </w:pPr>
    </w:p>
    <w:p w14:paraId="011DDA75" w14:textId="77777777" w:rsidR="00DD4E43" w:rsidRPr="00425178" w:rsidRDefault="00DD4E43" w:rsidP="00DD4E43">
      <w:pPr>
        <w:widowControl w:val="0"/>
        <w:spacing w:after="0"/>
      </w:pPr>
      <w:r w:rsidRPr="00425178">
        <w:t>1.5</w:t>
      </w:r>
      <w:r w:rsidRPr="00425178">
        <w:tab/>
      </w:r>
      <w:r w:rsidRPr="00425178">
        <w:rPr>
          <w:u w:val="single"/>
        </w:rPr>
        <w:t>Replacement Agreements</w:t>
      </w:r>
      <w:r w:rsidRPr="00425178">
        <w:t xml:space="preserve">. </w:t>
      </w:r>
    </w:p>
    <w:p w14:paraId="715272EC" w14:textId="77777777" w:rsidR="00DD4E43" w:rsidRPr="00425178" w:rsidRDefault="00DD4E43" w:rsidP="00DD4E43">
      <w:pPr>
        <w:widowControl w:val="0"/>
        <w:spacing w:after="0"/>
      </w:pPr>
      <w:r w:rsidRPr="00425178">
        <w:t xml:space="preserve"> </w:t>
      </w:r>
    </w:p>
    <w:p w14:paraId="030FBF53" w14:textId="77777777" w:rsidR="00DD4E43" w:rsidRPr="00425178" w:rsidRDefault="00DD4E43" w:rsidP="00DD4E43">
      <w:pPr>
        <w:widowControl w:val="0"/>
        <w:spacing w:after="0"/>
      </w:pPr>
      <w:r w:rsidRPr="00425178">
        <w:t>Subject to Section 1.7, if the Resource Adequacy Purchase Agreement is terminated, rejected or otherwise invalidated as a result of any bankruptcy, insolvency, reorganization or similar proceeding affecting Project Company, its owner(s) or guarantor(s), and if Collateral Agent or its designee directly or indirectly takes possession of, or title to, the Project (including possession by a receiver or title by foreclosure or deed in lieu of foreclosure) (“</w:t>
      </w:r>
      <w:r w:rsidRPr="00425178">
        <w:rPr>
          <w:u w:val="single"/>
        </w:rPr>
        <w:t>Replacement Owner</w:t>
      </w:r>
      <w:r w:rsidRPr="00425178">
        <w:t>”), SCE shall, and Collateral Agent shall cause Replacement Owner to, enter into a new agreement with one another for the balance of the obligations under the Resource Adequacy Purchase Agreement remaining to be performed having terms substantially the same as the terms of the Resource Adequacy Purchase Agreement with respect to the remaining Term (“</w:t>
      </w:r>
      <w:r w:rsidRPr="00425178">
        <w:rPr>
          <w:u w:val="single"/>
        </w:rPr>
        <w:t>Replacement Resource Adequacy Purchase Agreement</w:t>
      </w:r>
      <w:r w:rsidRPr="00425178">
        <w:t>”); provided, that before SCE is required to enter into a Replacement Resource Adequacy Purchase Agreement, the Replacement Owner must have demonstrated to SCE’s reasonable satisfaction that the Replacement Owner satisfies the requirements of a Permitted Transferee. For purposes of the foregoing, SCE is entitled to assume that any such purported exercise of rights by Collateral Agent that results in a Replacement Owner is in accordance with the Financing Documents without independent investigation thereof but shall have the right to require that the Collateral Agent and its designee (if applicable) provide reasonable evidence demonstrating the same. Notwithstanding the execution and delivery of a Replacement Resource Adequacy Purchase Agreement, to the extent SCE is, or was otherwise prior to its termination as described in this Section 1.5, entitled under the Resource Adequacy Purchase Agreement, SCE may suspend performance of its obligations under such Replacement Resource Adequacy Purchase Agreement, unless and until all Resource Adequacy Purchase Agreement Defaults of Project Company under the Resource Adequacy Purchase Agreement or Replacement Resource Adequacy Purchase Agreement have been cured.</w:t>
      </w:r>
    </w:p>
    <w:p w14:paraId="0E2B8E46" w14:textId="77777777" w:rsidR="00DD4E43" w:rsidRPr="00425178" w:rsidRDefault="00DD4E43" w:rsidP="00DD4E43">
      <w:pPr>
        <w:widowControl w:val="0"/>
        <w:spacing w:after="0"/>
      </w:pPr>
    </w:p>
    <w:p w14:paraId="37FDD2F9" w14:textId="77777777" w:rsidR="00DD4E43" w:rsidRPr="00425178" w:rsidRDefault="00DD4E43" w:rsidP="00DD4E43">
      <w:pPr>
        <w:widowControl w:val="0"/>
        <w:spacing w:after="0"/>
      </w:pPr>
      <w:r w:rsidRPr="00425178">
        <w:t>1.6</w:t>
      </w:r>
      <w:r w:rsidRPr="00425178">
        <w:tab/>
      </w:r>
      <w:r w:rsidRPr="00425178">
        <w:rPr>
          <w:u w:val="single"/>
        </w:rPr>
        <w:t>Transfer</w:t>
      </w:r>
      <w:r w:rsidRPr="00425178">
        <w:t xml:space="preserve">. </w:t>
      </w:r>
    </w:p>
    <w:p w14:paraId="1F936623" w14:textId="77777777" w:rsidR="00DD4E43" w:rsidRPr="00425178" w:rsidRDefault="00DD4E43" w:rsidP="00DD4E43">
      <w:pPr>
        <w:widowControl w:val="0"/>
        <w:spacing w:after="0"/>
      </w:pPr>
    </w:p>
    <w:p w14:paraId="74C211B9" w14:textId="77777777" w:rsidR="00DD4E43" w:rsidRPr="00425178" w:rsidRDefault="00DD4E43" w:rsidP="00DD4E43">
      <w:pPr>
        <w:widowControl w:val="0"/>
        <w:spacing w:after="0"/>
      </w:pPr>
      <w:r w:rsidRPr="00425178">
        <w:t xml:space="preserve">Subject to Section 1.7, a Substitute Owner or a Replacement Owner may assign all of its interest in the Project and the Resource Adequacy Purchase Agreement and a Replacement Resource Adequacy Purchase Agreement to a natural person, corporation, trust, business trust, joint venture, joint stock company, association, company, limited liability company, partnership, </w:t>
      </w:r>
      <w:r w:rsidRPr="00425178">
        <w:lastRenderedPageBreak/>
        <w:t>Governmental Authority or other entity (a “</w:t>
      </w:r>
      <w:r w:rsidRPr="00425178">
        <w:rPr>
          <w:u w:val="single"/>
        </w:rPr>
        <w:t>Person</w:t>
      </w:r>
      <w:r w:rsidRPr="00425178">
        <w:t>”) to which the Project is transferred; provided, however, that the proposed transferee shall have demonstrated to SCE’s reasonable satisfaction that such proposed transferee satisfies the requirements of a Permitted Transferee.</w:t>
      </w:r>
    </w:p>
    <w:p w14:paraId="542ECB36" w14:textId="77777777" w:rsidR="00DD4E43" w:rsidRPr="00425178" w:rsidRDefault="00DD4E43" w:rsidP="00DD4E43">
      <w:pPr>
        <w:widowControl w:val="0"/>
        <w:spacing w:after="0"/>
      </w:pPr>
    </w:p>
    <w:p w14:paraId="2236AAC4" w14:textId="77777777" w:rsidR="00DD4E43" w:rsidRPr="00425178" w:rsidRDefault="00DD4E43" w:rsidP="00DD4E43">
      <w:pPr>
        <w:widowControl w:val="0"/>
        <w:spacing w:after="0"/>
      </w:pPr>
      <w:r w:rsidRPr="00425178">
        <w:t>1.7</w:t>
      </w:r>
      <w:r w:rsidRPr="00425178">
        <w:tab/>
      </w:r>
      <w:r w:rsidRPr="00425178">
        <w:rPr>
          <w:u w:val="single"/>
        </w:rPr>
        <w:t>Assumption of Obligations</w:t>
      </w:r>
      <w:r w:rsidRPr="00425178">
        <w:t>.</w:t>
      </w:r>
    </w:p>
    <w:p w14:paraId="2641D402" w14:textId="77777777" w:rsidR="00DD4E43" w:rsidRPr="00425178" w:rsidRDefault="00DD4E43" w:rsidP="00DD4E43">
      <w:pPr>
        <w:widowControl w:val="0"/>
        <w:spacing w:after="0"/>
      </w:pPr>
    </w:p>
    <w:p w14:paraId="466F0A0C" w14:textId="77777777" w:rsidR="00DD4E43" w:rsidRPr="00425178" w:rsidRDefault="00DD4E43" w:rsidP="00DD4E43">
      <w:pPr>
        <w:widowControl w:val="0"/>
        <w:spacing w:after="0"/>
      </w:pPr>
      <w:r w:rsidRPr="00425178">
        <w:t>(a)</w:t>
      </w:r>
      <w:r w:rsidRPr="00425178">
        <w:tab/>
      </w:r>
      <w:r w:rsidRPr="00425178">
        <w:rPr>
          <w:u w:val="single"/>
        </w:rPr>
        <w:t>Transferee</w:t>
      </w:r>
      <w:r w:rsidRPr="00425178">
        <w:t xml:space="preserve">. </w:t>
      </w:r>
    </w:p>
    <w:p w14:paraId="2CE1467A" w14:textId="77777777" w:rsidR="00DD4E43" w:rsidRPr="00425178" w:rsidRDefault="00DD4E43" w:rsidP="00DD4E43">
      <w:pPr>
        <w:widowControl w:val="0"/>
        <w:spacing w:after="0"/>
      </w:pPr>
      <w:r w:rsidRPr="00425178">
        <w:t>Any transferee under Section 1.6 shall expressly assume in a writing reasonably satisfactory to SCE all of the obligations of Project Company, Substitute Owner or Replacement Owner under the Resource Adequacy Purchase Agreement or Replacement Resource Adequacy Purchase Agreement, as applicable, including posting and collateral assignment of the RA Agreement Collateral. Upon such assignment and the cure of any outstanding Resource Adequacy Purchase Agreement Default, and payment of all other amounts due and payable to SCE in respect of the Resource Adequacy Purchase Agreement or such Replacement Resource Adequacy Purchase Agreement, the transferor shall be released from any further liability under the Resource Adequacy Purchase Agreement or Replacement Resource Adequacy Purchase Agreement, as applicable.</w:t>
      </w:r>
    </w:p>
    <w:p w14:paraId="5959812C" w14:textId="77777777" w:rsidR="00DD4E43" w:rsidRPr="00425178" w:rsidRDefault="00DD4E43" w:rsidP="00DD4E43">
      <w:pPr>
        <w:widowControl w:val="0"/>
        <w:spacing w:after="0"/>
      </w:pPr>
      <w:r w:rsidRPr="00425178">
        <w:t>(b)</w:t>
      </w:r>
      <w:r w:rsidRPr="00425178">
        <w:tab/>
      </w:r>
      <w:r w:rsidRPr="00425178">
        <w:rPr>
          <w:u w:val="single"/>
        </w:rPr>
        <w:t>Substitute Owner</w:t>
      </w:r>
      <w:r w:rsidRPr="00425178">
        <w:t xml:space="preserve">. </w:t>
      </w:r>
    </w:p>
    <w:p w14:paraId="59BD606E" w14:textId="77777777" w:rsidR="00DD4E43" w:rsidRPr="00425178" w:rsidRDefault="00DD4E43" w:rsidP="00DD4E43">
      <w:pPr>
        <w:widowControl w:val="0"/>
        <w:spacing w:after="0"/>
      </w:pPr>
      <w:r w:rsidRPr="00425178">
        <w:t>Subject to Section 1.7(c), any Substitute Owner pursuant to Section 1.4 shall be required to perform Project Company’s obligations under the Resource Adequacy Purchase Agreement, including posting and collateral assignment of the RA Agreement Collateral; provided, however, that the obligations of such Substitute Owner shall be no more than those of Project Company under the Resource Adequacy Purchase Agreement.</w:t>
      </w:r>
    </w:p>
    <w:p w14:paraId="512947EF" w14:textId="77777777" w:rsidR="00DD4E43" w:rsidRPr="00425178" w:rsidRDefault="00DD4E43" w:rsidP="00DD4E43">
      <w:pPr>
        <w:widowControl w:val="0"/>
        <w:spacing w:after="0"/>
      </w:pPr>
      <w:r w:rsidRPr="00425178">
        <w:t>(c)</w:t>
      </w:r>
      <w:r w:rsidRPr="00425178">
        <w:tab/>
      </w:r>
      <w:r w:rsidRPr="00425178">
        <w:rPr>
          <w:u w:val="single"/>
        </w:rPr>
        <w:t>No Liability</w:t>
      </w:r>
      <w:r w:rsidRPr="00425178">
        <w:t xml:space="preserve">. </w:t>
      </w:r>
    </w:p>
    <w:p w14:paraId="37B96BD9" w14:textId="77777777" w:rsidR="00DD4E43" w:rsidRPr="00425178" w:rsidRDefault="00DD4E43" w:rsidP="00DD4E43">
      <w:pPr>
        <w:widowControl w:val="0"/>
        <w:spacing w:after="0"/>
      </w:pPr>
      <w:r w:rsidRPr="00425178">
        <w:t xml:space="preserve">SCE acknowledges and agrees that neither Collateral Agent nor any Secured Party shall have any liability or obligation under the Resource Adequacy Purchase Agreement as a result of this Consent (except to the extent Collateral Agent or a Secured Party is a Substitute Owner or Replacement Owner) nor shall Collateral Agent or any other Secured Party be obligated or required to (i) perform any of Project Company’s obligations under the Resource Adequacy Purchase Agreement, except as provided in Sections 1.7(a) and 1.7(b) and to the extent Collateral Agent or a Secured Party is a Substitute Owner or Replacement Owner, or (ii) take any action to collect or enforce any claim for payment assigned under the Financing Documents. If Collateral Agent becomes a Substitute Owner pursuant to Section 1.4 or enters into a Replacement Resource Adequacy Purchase Agreement, Collateral Agent shall not have any personal liability to SCE under the Resource Adequacy Purchase Agreement or Replacement Resource Adequacy Purchase Agreement and the sole recourse of SCE in seeking enforcement </w:t>
      </w:r>
      <w:r w:rsidRPr="00425178">
        <w:lastRenderedPageBreak/>
        <w:t>of such obligations against Collateral Agent shall be to the aggregate interest of the Secured Parties in the Project; provided, however, that such limited recourse shall not limit SCE’s right to seek equitable or injunctive relief against Collateral Agent, or SCE’s rights with respect to any offset rights expressly allowed under the Resource Adequacy Purchase Agreement, a Replacement Resource Adequacy Purchase Agreement or the RA Agreement Collateral.</w:t>
      </w:r>
    </w:p>
    <w:p w14:paraId="5F6B3D5F" w14:textId="77777777" w:rsidR="00DD4E43" w:rsidRPr="00425178" w:rsidRDefault="00DD4E43" w:rsidP="00DD4E43">
      <w:pPr>
        <w:widowControl w:val="0"/>
        <w:spacing w:after="0"/>
      </w:pPr>
    </w:p>
    <w:p w14:paraId="301E41AD" w14:textId="77777777" w:rsidR="00DD4E43" w:rsidRPr="00425178" w:rsidRDefault="00DD4E43" w:rsidP="00DD4E43">
      <w:pPr>
        <w:widowControl w:val="0"/>
        <w:spacing w:after="0"/>
      </w:pPr>
      <w:r w:rsidRPr="00425178">
        <w:t>1.8</w:t>
      </w:r>
      <w:r w:rsidRPr="00425178">
        <w:tab/>
      </w:r>
      <w:r w:rsidRPr="00425178">
        <w:rPr>
          <w:u w:val="single"/>
        </w:rPr>
        <w:t>Delivery of Notices</w:t>
      </w:r>
      <w:r w:rsidRPr="00425178">
        <w:t xml:space="preserve">. </w:t>
      </w:r>
    </w:p>
    <w:p w14:paraId="13CA4D5C" w14:textId="77777777" w:rsidR="00DD4E43" w:rsidRPr="00425178" w:rsidRDefault="00DD4E43" w:rsidP="00DD4E43">
      <w:pPr>
        <w:widowControl w:val="0"/>
        <w:spacing w:after="0"/>
      </w:pPr>
      <w:r w:rsidRPr="00425178">
        <w:t xml:space="preserve"> </w:t>
      </w:r>
    </w:p>
    <w:p w14:paraId="53068F26" w14:textId="77777777" w:rsidR="00DD4E43" w:rsidRPr="00425178" w:rsidRDefault="00DD4E43" w:rsidP="00DD4E43">
      <w:pPr>
        <w:widowControl w:val="0"/>
        <w:spacing w:after="0"/>
      </w:pPr>
      <w:r w:rsidRPr="00425178">
        <w:t>SCE shall deliver to Collateral Agent, concurrently with the delivery thereof to Project Company, a copy of each notice, request or demand given by SCE to Project Company pursuant to the Resource Adequacy Purchase Agreement relating to (a) a Resource Adequacy Purchase Agreement Default by Project Company under the Resource Adequacy Purchase Agreement, (b) any claim regarding Force Majeure by SCE under the Resource Adequacy Purchase Agreement, (c) any notice of dispute under the Resource Adequacy Purchase Agreement, (d) any notice of intent to terminate or any termination notice, and (e) any matter that would require the consent of Collateral Agent pursuant to Section 1.11 or any other provision of this Consent. Collateral Agent acknowledges that delivery of such notice, request and demand shall satisfy SCE’s obligation to give Collateral Agent a notice of Resource Adequacy Purchase Agreement Default under Section 1.3. Collateral Agent shall deliver to SCE, concurrently with delivery thereof to Project Company, a copy of each notice, request or demand given by Collateral Agent to Project Company pursuant to the Financing Documents relating to a default by Project Company under the Financing Documents.</w:t>
      </w:r>
    </w:p>
    <w:p w14:paraId="3DAE7EA5" w14:textId="77777777" w:rsidR="00DD4E43" w:rsidRPr="00425178" w:rsidRDefault="00DD4E43" w:rsidP="00DD4E43">
      <w:pPr>
        <w:widowControl w:val="0"/>
        <w:spacing w:after="0"/>
      </w:pPr>
    </w:p>
    <w:p w14:paraId="6A3D519C" w14:textId="77777777" w:rsidR="00DD4E43" w:rsidRPr="00425178" w:rsidRDefault="00DD4E43" w:rsidP="00DD4E43">
      <w:pPr>
        <w:widowControl w:val="0"/>
        <w:spacing w:after="0"/>
      </w:pPr>
      <w:r w:rsidRPr="00425178">
        <w:t>1.9</w:t>
      </w:r>
      <w:r w:rsidRPr="00425178">
        <w:tab/>
      </w:r>
      <w:r w:rsidRPr="00425178">
        <w:rPr>
          <w:u w:val="single"/>
        </w:rPr>
        <w:t>Confirmations</w:t>
      </w:r>
      <w:r w:rsidRPr="00425178">
        <w:t xml:space="preserve">. </w:t>
      </w:r>
    </w:p>
    <w:p w14:paraId="4D70CD6D" w14:textId="77777777" w:rsidR="00DD4E43" w:rsidRPr="00425178" w:rsidRDefault="00DD4E43" w:rsidP="00DD4E43">
      <w:pPr>
        <w:widowControl w:val="0"/>
        <w:spacing w:after="0"/>
      </w:pPr>
      <w:r w:rsidRPr="00425178">
        <w:t xml:space="preserve"> </w:t>
      </w:r>
    </w:p>
    <w:p w14:paraId="7B859CD2" w14:textId="77777777" w:rsidR="00DD4E43" w:rsidRPr="00425178" w:rsidRDefault="00DD4E43" w:rsidP="00DD4E43">
      <w:pPr>
        <w:widowControl w:val="0"/>
        <w:spacing w:after="0"/>
      </w:pPr>
      <w:r w:rsidRPr="00425178">
        <w:t>SCE will, as and when reasonably requested by Collateral Agent from time to time, confirm in writing matters relating to the Resource Adequacy Purchase Agreement (including the performance of same by Project Company); provided, however, that such confirmation may be limited to matters of which SCE is aware as of the time the confirmation is given and such confirmations shall be without prejudice to any rights of SCE under the Resource Adequacy Purchase Agreement as between SCE and Project Company.</w:t>
      </w:r>
    </w:p>
    <w:p w14:paraId="4FDE1667" w14:textId="77777777" w:rsidR="00DD4E43" w:rsidRPr="00425178" w:rsidRDefault="00DD4E43" w:rsidP="00DD4E43">
      <w:pPr>
        <w:widowControl w:val="0"/>
        <w:spacing w:after="0"/>
      </w:pPr>
    </w:p>
    <w:p w14:paraId="160E5FD6" w14:textId="77777777" w:rsidR="00DD4E43" w:rsidRPr="00425178" w:rsidRDefault="00DD4E43" w:rsidP="00DD4E43">
      <w:pPr>
        <w:widowControl w:val="0"/>
        <w:spacing w:after="0"/>
      </w:pPr>
      <w:r w:rsidRPr="00425178">
        <w:t>1.10</w:t>
      </w:r>
      <w:r w:rsidRPr="00425178">
        <w:tab/>
      </w:r>
      <w:r w:rsidRPr="00425178">
        <w:rPr>
          <w:u w:val="single"/>
        </w:rPr>
        <w:t>Exclusivity of Dealings</w:t>
      </w:r>
      <w:r w:rsidRPr="00425178">
        <w:t>.</w:t>
      </w:r>
    </w:p>
    <w:p w14:paraId="407F563B" w14:textId="77777777" w:rsidR="00DD4E43" w:rsidRPr="00425178" w:rsidRDefault="00DD4E43" w:rsidP="00DD4E43">
      <w:pPr>
        <w:widowControl w:val="0"/>
        <w:spacing w:after="0"/>
      </w:pPr>
      <w:r w:rsidRPr="00425178">
        <w:t xml:space="preserve">  </w:t>
      </w:r>
    </w:p>
    <w:p w14:paraId="701BE5D4" w14:textId="77777777" w:rsidR="00DD4E43" w:rsidRPr="00425178" w:rsidRDefault="00DD4E43" w:rsidP="00DD4E43">
      <w:pPr>
        <w:widowControl w:val="0"/>
        <w:spacing w:after="0"/>
      </w:pPr>
      <w:r w:rsidRPr="00425178">
        <w:t xml:space="preserve">Except as provided in Sections 1.3, 1.4, 1.8, 1.9 and 2.1, unless and until SCE receives a Financing Document Default Notice, SCE shall deal exclusively with Project Company in </w:t>
      </w:r>
      <w:r w:rsidRPr="00425178">
        <w:lastRenderedPageBreak/>
        <w:t>connection with the performance of SCE’s obligations under the Resource Adequacy Purchase Agreement. From and after such time as SCE receives a Financing Document Default Notice and until a Substitute Owner is substituted for Project Company pursuant to Section 1.4, a Replacement Resource Adequacy Purchase Agreement is entered into or the Resource Adequacy Purchase Agreement is transferred to a Person to whom the Project is transferred pursuant to Section 1.6, SCE shall, until Collateral Agent confirms to SCE in writing that all obligations under the Financing Documents are no longer outstanding, deal exclusively with Collateral Agent in connection with the performance of SCE’s obligations under the Resource Adequacy Purchase Agreement, and SCE may irrevocably rely on instructions provided by Collateral Agent in accordance therewith to the exclusion of those provided by any other Person.</w:t>
      </w:r>
    </w:p>
    <w:p w14:paraId="794CF265" w14:textId="77777777" w:rsidR="00DD4E43" w:rsidRPr="00425178" w:rsidRDefault="00DD4E43" w:rsidP="00DD4E43">
      <w:pPr>
        <w:widowControl w:val="0"/>
        <w:spacing w:after="0"/>
      </w:pPr>
    </w:p>
    <w:p w14:paraId="17FBFA9D" w14:textId="77777777" w:rsidR="00DD4E43" w:rsidRPr="00425178" w:rsidRDefault="00DD4E43" w:rsidP="00DD4E43">
      <w:pPr>
        <w:widowControl w:val="0"/>
        <w:spacing w:after="0"/>
      </w:pPr>
      <w:r w:rsidRPr="00425178">
        <w:t>1.11</w:t>
      </w:r>
      <w:r w:rsidRPr="00425178">
        <w:tab/>
      </w:r>
      <w:r w:rsidRPr="00425178">
        <w:rPr>
          <w:u w:val="single"/>
        </w:rPr>
        <w:t>No Amendments</w:t>
      </w:r>
      <w:r w:rsidRPr="00425178">
        <w:t xml:space="preserve">. </w:t>
      </w:r>
    </w:p>
    <w:p w14:paraId="38CA1E7F" w14:textId="77777777" w:rsidR="00DD4E43" w:rsidRPr="00425178" w:rsidRDefault="00DD4E43" w:rsidP="00DD4E43">
      <w:pPr>
        <w:widowControl w:val="0"/>
        <w:spacing w:after="0"/>
      </w:pPr>
    </w:p>
    <w:p w14:paraId="3D00B039" w14:textId="77777777" w:rsidR="00DD4E43" w:rsidRPr="00425178" w:rsidRDefault="00DD4E43" w:rsidP="00DD4E43">
      <w:pPr>
        <w:widowControl w:val="0"/>
        <w:spacing w:after="0"/>
      </w:pPr>
      <w:r w:rsidRPr="00425178">
        <w:t>To the extent permitted by Applicable Laws, SCE agrees that it will not, without the prior written consent of Collateral Agent (not to be unreasonably withheld, delayed or conditioned) (a) enter into any material supplement, restatement, novation, extension, amendment or modification of the Resource Adequacy Purchase Agreement (b) terminate or suspend its performance under the Resource Adequacy Purchase Agreement (except in accordance with Section 1.3) or (c) consent to or accept any termination or cancellation of the Resource Adequacy Purchase Agreement by Project Company.</w:t>
      </w:r>
    </w:p>
    <w:p w14:paraId="5E755C7D" w14:textId="77777777" w:rsidR="00DD4E43" w:rsidRPr="00425178" w:rsidRDefault="00DD4E43" w:rsidP="00DD4E43">
      <w:pPr>
        <w:widowControl w:val="0"/>
        <w:spacing w:after="0"/>
      </w:pPr>
    </w:p>
    <w:p w14:paraId="576A02D2" w14:textId="77777777" w:rsidR="00DD4E43" w:rsidRPr="00425178" w:rsidRDefault="00DD4E43" w:rsidP="00DD4E43">
      <w:pPr>
        <w:widowControl w:val="0"/>
        <w:spacing w:after="0"/>
        <w:rPr>
          <w:u w:val="single"/>
        </w:rPr>
      </w:pPr>
      <w:r w:rsidRPr="00425178">
        <w:t>SECTION 2.</w:t>
      </w:r>
      <w:r w:rsidRPr="00425178">
        <w:tab/>
      </w:r>
      <w:r w:rsidRPr="00425178">
        <w:rPr>
          <w:u w:val="single"/>
        </w:rPr>
        <w:t>PAYMENTS UNDER THE RESOURCE ADEQUACY PURCHASE AGREEMENT</w:t>
      </w:r>
    </w:p>
    <w:p w14:paraId="18FB2335" w14:textId="77777777" w:rsidR="00DD4E43" w:rsidRPr="00425178" w:rsidRDefault="00DD4E43" w:rsidP="00DD4E43">
      <w:pPr>
        <w:widowControl w:val="0"/>
        <w:spacing w:after="0"/>
      </w:pPr>
    </w:p>
    <w:p w14:paraId="758277D3" w14:textId="77777777" w:rsidR="00DD4E43" w:rsidRPr="00425178" w:rsidRDefault="00DD4E43" w:rsidP="00DD4E43">
      <w:pPr>
        <w:widowControl w:val="0"/>
        <w:spacing w:after="0"/>
      </w:pPr>
      <w:r w:rsidRPr="00425178">
        <w:t>2.1</w:t>
      </w:r>
      <w:r w:rsidRPr="00425178">
        <w:tab/>
      </w:r>
      <w:r w:rsidRPr="00425178">
        <w:rPr>
          <w:u w:val="single"/>
        </w:rPr>
        <w:t>Payments</w:t>
      </w:r>
      <w:r w:rsidRPr="00425178">
        <w:t xml:space="preserve">. </w:t>
      </w:r>
    </w:p>
    <w:p w14:paraId="293BD61C" w14:textId="77777777" w:rsidR="00DD4E43" w:rsidRPr="00425178" w:rsidRDefault="00DD4E43" w:rsidP="00DD4E43">
      <w:pPr>
        <w:widowControl w:val="0"/>
        <w:spacing w:after="0"/>
      </w:pPr>
      <w:r w:rsidRPr="00425178">
        <w:t xml:space="preserve"> </w:t>
      </w:r>
    </w:p>
    <w:p w14:paraId="7791BEC5" w14:textId="77777777" w:rsidR="00DD4E43" w:rsidRPr="00425178" w:rsidRDefault="00DD4E43" w:rsidP="00DD4E43">
      <w:pPr>
        <w:widowControl w:val="0"/>
        <w:spacing w:after="0"/>
      </w:pPr>
      <w:r w:rsidRPr="00425178">
        <w:t>Unless and until SCE receives written notice to the contrary from Collateral Agent, SCE will make all payments to be made by it to Project Company under or by reason of the Resource Adequacy Purchase Agreement directly to Project Company. SCE, Project Company, and Collateral Agent acknowledge that SCE will be deemed to be in compliance with the payment terms of the Resource Adequacy Purchase Agreement to the extent that SCE makes payments in accordance with Collateral Agent’s instructions.</w:t>
      </w:r>
    </w:p>
    <w:p w14:paraId="2D507A29" w14:textId="77777777" w:rsidR="00DD4E43" w:rsidRPr="00425178" w:rsidRDefault="00DD4E43" w:rsidP="00DD4E43">
      <w:pPr>
        <w:widowControl w:val="0"/>
        <w:spacing w:after="0"/>
      </w:pPr>
    </w:p>
    <w:p w14:paraId="036B54A2" w14:textId="77777777" w:rsidR="00DD4E43" w:rsidRPr="00425178" w:rsidRDefault="00DD4E43" w:rsidP="00DD4E43">
      <w:pPr>
        <w:widowControl w:val="0"/>
        <w:spacing w:after="0"/>
      </w:pPr>
      <w:r w:rsidRPr="00425178">
        <w:t>2.2</w:t>
      </w:r>
      <w:r w:rsidRPr="00425178">
        <w:tab/>
      </w:r>
      <w:r w:rsidRPr="00425178">
        <w:rPr>
          <w:u w:val="single"/>
        </w:rPr>
        <w:t>No Offset, Etc</w:t>
      </w:r>
      <w:r w:rsidRPr="00425178">
        <w:t xml:space="preserve">. </w:t>
      </w:r>
    </w:p>
    <w:p w14:paraId="479A873E" w14:textId="77777777" w:rsidR="00DD4E43" w:rsidRPr="00425178" w:rsidRDefault="00DD4E43" w:rsidP="00DD4E43">
      <w:pPr>
        <w:widowControl w:val="0"/>
        <w:spacing w:after="0"/>
      </w:pPr>
    </w:p>
    <w:p w14:paraId="0E433ECD" w14:textId="77777777" w:rsidR="00DD4E43" w:rsidRPr="00425178" w:rsidRDefault="00DD4E43" w:rsidP="00DD4E43">
      <w:pPr>
        <w:widowControl w:val="0"/>
        <w:spacing w:after="0"/>
      </w:pPr>
      <w:r w:rsidRPr="00425178">
        <w:t xml:space="preserve">All payments required to be made by SCE under the Resource Adequacy Purchase Agreement </w:t>
      </w:r>
      <w:r w:rsidRPr="00425178">
        <w:lastRenderedPageBreak/>
        <w:t>shall be made without any offset, recoupment, abatement, withholding, reduction or defense whatsoever, other than that expressly allowed by the terms of the Resource Adequacy Purchase Agreement.</w:t>
      </w:r>
    </w:p>
    <w:p w14:paraId="44CCF9D1" w14:textId="77777777" w:rsidR="00DD4E43" w:rsidRPr="00425178" w:rsidRDefault="00DD4E43" w:rsidP="00DD4E43">
      <w:pPr>
        <w:widowControl w:val="0"/>
        <w:spacing w:after="0"/>
      </w:pPr>
    </w:p>
    <w:p w14:paraId="06989B60" w14:textId="77777777" w:rsidR="00DD4E43" w:rsidRPr="00425178" w:rsidRDefault="00DD4E43" w:rsidP="00DD4E43">
      <w:pPr>
        <w:widowControl w:val="0"/>
        <w:spacing w:after="0"/>
        <w:rPr>
          <w:u w:val="single"/>
        </w:rPr>
      </w:pPr>
      <w:r w:rsidRPr="00425178">
        <w:t>SECTION 3.</w:t>
      </w:r>
      <w:r w:rsidRPr="00425178">
        <w:tab/>
      </w:r>
      <w:r w:rsidRPr="00425178">
        <w:rPr>
          <w:u w:val="single"/>
        </w:rPr>
        <w:t>REPRESENTATIONS AND WARRANTIES OF SCE</w:t>
      </w:r>
    </w:p>
    <w:p w14:paraId="278D5A30" w14:textId="77777777" w:rsidR="00DD4E43" w:rsidRPr="00425178" w:rsidRDefault="00DD4E43" w:rsidP="00DD4E43">
      <w:pPr>
        <w:widowControl w:val="0"/>
        <w:spacing w:after="0"/>
      </w:pPr>
    </w:p>
    <w:p w14:paraId="74C9B2A2" w14:textId="77777777" w:rsidR="00DD4E43" w:rsidRPr="00425178" w:rsidRDefault="00DD4E43" w:rsidP="00DD4E43">
      <w:pPr>
        <w:widowControl w:val="0"/>
        <w:spacing w:after="0"/>
      </w:pPr>
      <w:r w:rsidRPr="00425178">
        <w:t>SCE makes the following representations and warranties as of the date hereof in favor of Collateral Agent:</w:t>
      </w:r>
    </w:p>
    <w:p w14:paraId="78D6F0D3" w14:textId="77777777" w:rsidR="00DD4E43" w:rsidRPr="00425178" w:rsidRDefault="00DD4E43" w:rsidP="00DD4E43">
      <w:pPr>
        <w:widowControl w:val="0"/>
        <w:spacing w:after="0"/>
      </w:pPr>
    </w:p>
    <w:p w14:paraId="68E1D825" w14:textId="77777777" w:rsidR="00DD4E43" w:rsidRPr="00425178" w:rsidRDefault="00DD4E43" w:rsidP="00DD4E43">
      <w:pPr>
        <w:widowControl w:val="0"/>
        <w:spacing w:after="0"/>
      </w:pPr>
      <w:r w:rsidRPr="00425178">
        <w:t>3.1</w:t>
      </w:r>
      <w:r w:rsidRPr="00425178">
        <w:tab/>
      </w:r>
      <w:r w:rsidRPr="00425178">
        <w:rPr>
          <w:u w:val="single"/>
        </w:rPr>
        <w:t>Organization</w:t>
      </w:r>
      <w:r w:rsidRPr="00425178">
        <w:t>.</w:t>
      </w:r>
    </w:p>
    <w:p w14:paraId="3B2DE945" w14:textId="77777777" w:rsidR="00DD4E43" w:rsidRPr="00425178" w:rsidRDefault="00DD4E43" w:rsidP="00DD4E43">
      <w:pPr>
        <w:widowControl w:val="0"/>
        <w:spacing w:after="0"/>
      </w:pPr>
    </w:p>
    <w:p w14:paraId="6B5AD022" w14:textId="77777777" w:rsidR="00DD4E43" w:rsidRPr="00425178" w:rsidRDefault="00DD4E43" w:rsidP="00DD4E43">
      <w:pPr>
        <w:widowControl w:val="0"/>
        <w:spacing w:after="0"/>
      </w:pPr>
      <w:r w:rsidRPr="00425178">
        <w:t>SCE is a corporation duly organized and validly existing under the laws of the state of its incorporation,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SCE has all requisite power and authority, corporate and otherwise, to enter into and to perform its obligations hereunder and under the Resource Adequacy Purchase Agreement, and to carry out the terms hereof and thereof and the transactions contemplated hereby and thereby.</w:t>
      </w:r>
    </w:p>
    <w:p w14:paraId="15EFA0EA" w14:textId="77777777" w:rsidR="00DD4E43" w:rsidRPr="00425178" w:rsidRDefault="00DD4E43" w:rsidP="00DD4E43">
      <w:pPr>
        <w:widowControl w:val="0"/>
        <w:spacing w:after="0"/>
      </w:pPr>
    </w:p>
    <w:p w14:paraId="24FCEE87" w14:textId="77777777" w:rsidR="00DD4E43" w:rsidRPr="00425178" w:rsidRDefault="00DD4E43" w:rsidP="00DD4E43">
      <w:pPr>
        <w:widowControl w:val="0"/>
        <w:spacing w:after="0"/>
      </w:pPr>
      <w:r w:rsidRPr="00425178">
        <w:t>3.2</w:t>
      </w:r>
      <w:r w:rsidRPr="00425178">
        <w:tab/>
      </w:r>
      <w:r w:rsidRPr="00425178">
        <w:rPr>
          <w:u w:val="single"/>
        </w:rPr>
        <w:t>Authorization</w:t>
      </w:r>
      <w:r w:rsidRPr="00425178">
        <w:t>.</w:t>
      </w:r>
    </w:p>
    <w:p w14:paraId="16576964" w14:textId="77777777" w:rsidR="00DD4E43" w:rsidRPr="00425178" w:rsidRDefault="00DD4E43" w:rsidP="00DD4E43">
      <w:pPr>
        <w:widowControl w:val="0"/>
        <w:spacing w:after="0"/>
      </w:pPr>
    </w:p>
    <w:p w14:paraId="3272EB95" w14:textId="77777777" w:rsidR="00DD4E43" w:rsidRPr="00425178" w:rsidRDefault="00DD4E43" w:rsidP="00DD4E43">
      <w:pPr>
        <w:widowControl w:val="0"/>
        <w:spacing w:after="0"/>
      </w:pPr>
      <w:r w:rsidRPr="00425178">
        <w:t>The execution, delivery and performance by SCE of this Consent and the Resource Adequacy Purchase Agreement have been duly authorized by all necessary corporate or other action on the part of SCE and do not require any approval or consent of any holder (or any trustee for any holder) of any indebtedness or other obligation of SCE which, if not obtained, will prevent SCE from performing its obligations hereunder or under the Resource Adequacy Purchase Agreement except approvals or consents which have previously been obtained and which are in full force and effect.</w:t>
      </w:r>
    </w:p>
    <w:p w14:paraId="7DC48D30" w14:textId="77777777" w:rsidR="00DD4E43" w:rsidRPr="00425178" w:rsidRDefault="00DD4E43" w:rsidP="00DD4E43">
      <w:pPr>
        <w:widowControl w:val="0"/>
        <w:spacing w:after="0"/>
      </w:pPr>
    </w:p>
    <w:p w14:paraId="78697760" w14:textId="77777777" w:rsidR="00DD4E43" w:rsidRPr="00425178" w:rsidRDefault="00DD4E43" w:rsidP="00DD4E43">
      <w:pPr>
        <w:widowControl w:val="0"/>
        <w:spacing w:after="0"/>
      </w:pPr>
      <w:r w:rsidRPr="00425178">
        <w:t>3.3</w:t>
      </w:r>
      <w:r w:rsidRPr="00425178">
        <w:tab/>
      </w:r>
      <w:r w:rsidRPr="00425178">
        <w:rPr>
          <w:u w:val="single"/>
        </w:rPr>
        <w:t>Execution and Delivery; Binding Agreements</w:t>
      </w:r>
      <w:r w:rsidRPr="00425178">
        <w:t>.</w:t>
      </w:r>
    </w:p>
    <w:p w14:paraId="01159158" w14:textId="77777777" w:rsidR="00DD4E43" w:rsidRPr="00425178" w:rsidRDefault="00DD4E43" w:rsidP="00DD4E43">
      <w:pPr>
        <w:widowControl w:val="0"/>
        <w:spacing w:after="0"/>
      </w:pPr>
    </w:p>
    <w:p w14:paraId="33758D00" w14:textId="77777777" w:rsidR="00DD4E43" w:rsidRPr="00425178" w:rsidRDefault="00DD4E43" w:rsidP="00DD4E43">
      <w:pPr>
        <w:widowControl w:val="0"/>
        <w:spacing w:after="0"/>
      </w:pPr>
      <w:r w:rsidRPr="00425178">
        <w:t xml:space="preserve">Each of this Consent and the Resource Adequacy Purchase Agreement is in full force and effect, have been duly executed and delivered on behalf of SCE by the appropriate officers of SCE, and constitute the legal, valid and binding obligation of SCE, enforceable against SCE in accordance with its terms, except as the enforceability thereof may be limited by (a) bankruptcy, insolvency, </w:t>
      </w:r>
      <w:r w:rsidRPr="00425178">
        <w:lastRenderedPageBreak/>
        <w:t>reorganization, moratorium or other similar laws of general application affecting the enforcement of creditors’ rights generally and (b) general equitable principles (whether considered in a proceeding in equity or at law).</w:t>
      </w:r>
    </w:p>
    <w:p w14:paraId="3FAEFD09" w14:textId="77777777" w:rsidR="00DD4E43" w:rsidRPr="00425178" w:rsidRDefault="00DD4E43" w:rsidP="00DD4E43">
      <w:pPr>
        <w:widowControl w:val="0"/>
        <w:spacing w:after="0"/>
      </w:pPr>
    </w:p>
    <w:p w14:paraId="372E24EA" w14:textId="77777777" w:rsidR="00DD4E43" w:rsidRPr="00425178" w:rsidRDefault="00DD4E43" w:rsidP="00DD4E43">
      <w:pPr>
        <w:widowControl w:val="0"/>
        <w:spacing w:after="0"/>
      </w:pPr>
      <w:r w:rsidRPr="00425178">
        <w:t>3.4</w:t>
      </w:r>
      <w:r w:rsidRPr="00425178">
        <w:tab/>
      </w:r>
      <w:r w:rsidRPr="00425178">
        <w:rPr>
          <w:u w:val="single"/>
        </w:rPr>
        <w:t>No Default or Amendment</w:t>
      </w:r>
      <w:r w:rsidRPr="00425178">
        <w:t xml:space="preserve">. </w:t>
      </w:r>
    </w:p>
    <w:p w14:paraId="004AF0B1" w14:textId="77777777" w:rsidR="00DD4E43" w:rsidRPr="00425178" w:rsidRDefault="00DD4E43" w:rsidP="00DD4E43">
      <w:pPr>
        <w:widowControl w:val="0"/>
        <w:spacing w:after="0"/>
      </w:pPr>
    </w:p>
    <w:p w14:paraId="560054F2" w14:textId="77777777" w:rsidR="00DD4E43" w:rsidRPr="00425178" w:rsidRDefault="00DD4E43" w:rsidP="00DD4E43">
      <w:pPr>
        <w:widowControl w:val="0"/>
        <w:spacing w:after="0"/>
      </w:pPr>
      <w:r w:rsidRPr="00425178">
        <w:t>Except as set forth in Schedule A attached hereto: (a) Neither SCE nor, to SCE’s actual knowledge, Project Company, is in default of any of its obligations under the Resource Adequacy Purchase Agreement; (b) SCE and, to SCE’s actual knowledge, Project Company, has complied with all conditions precedent to the effectiveness of its obligations under the Resource Adequacy Purchase Agreement; (c) to SCE’s actual knowledge, no event or condition exists which would either immediately or with the passage of any applicable grace period or giving of notice, or both, enable either SCE or Project Company to terminate or suspend its obligations under the Resource Adequacy Purchase Agreement; and (d) the Resource Adequacy Purchase Agreement has not been amended, modified or supplemented in any manner except as set forth herein and in the recitals hereto.</w:t>
      </w:r>
    </w:p>
    <w:p w14:paraId="65C7ACEB" w14:textId="77777777" w:rsidR="00DD4E43" w:rsidRPr="00425178" w:rsidRDefault="00DD4E43" w:rsidP="00DD4E43">
      <w:pPr>
        <w:widowControl w:val="0"/>
        <w:spacing w:after="0"/>
      </w:pPr>
    </w:p>
    <w:p w14:paraId="384195E7" w14:textId="77777777" w:rsidR="00DD4E43" w:rsidRPr="00425178" w:rsidRDefault="00DD4E43" w:rsidP="00DD4E43">
      <w:pPr>
        <w:widowControl w:val="0"/>
        <w:spacing w:after="0"/>
      </w:pPr>
      <w:r w:rsidRPr="00425178">
        <w:t>3.5</w:t>
      </w:r>
      <w:r w:rsidRPr="00425178">
        <w:tab/>
      </w:r>
      <w:r w:rsidRPr="00425178">
        <w:rPr>
          <w:u w:val="single"/>
        </w:rPr>
        <w:t>No Previous Assignments</w:t>
      </w:r>
      <w:r w:rsidRPr="00425178">
        <w:t xml:space="preserve">. </w:t>
      </w:r>
    </w:p>
    <w:p w14:paraId="4720934A" w14:textId="77777777" w:rsidR="00DD4E43" w:rsidRPr="00425178" w:rsidRDefault="00DD4E43" w:rsidP="00DD4E43">
      <w:pPr>
        <w:widowControl w:val="0"/>
        <w:spacing w:after="0"/>
      </w:pPr>
    </w:p>
    <w:p w14:paraId="47BF4597" w14:textId="77777777" w:rsidR="00DD4E43" w:rsidRPr="00425178" w:rsidRDefault="00DD4E43" w:rsidP="00DD4E43">
      <w:pPr>
        <w:widowControl w:val="0"/>
        <w:spacing w:after="0"/>
      </w:pPr>
      <w:r w:rsidRPr="00425178">
        <w:t>SCE has no notice of, and has not consented to, any previous assignment by Project Company of all or any part of its rights under the Resource Adequacy Purchase Agreement, except as previously disclosed in writing and consented to by SCE.</w:t>
      </w:r>
    </w:p>
    <w:p w14:paraId="0FDD852E" w14:textId="77777777" w:rsidR="00DD4E43" w:rsidRPr="00425178" w:rsidRDefault="00DD4E43" w:rsidP="00DD4E43">
      <w:pPr>
        <w:widowControl w:val="0"/>
        <w:spacing w:after="0"/>
      </w:pPr>
    </w:p>
    <w:p w14:paraId="404AE896" w14:textId="77777777" w:rsidR="00DD4E43" w:rsidRPr="00425178" w:rsidRDefault="00DD4E43" w:rsidP="00DD4E43">
      <w:pPr>
        <w:widowControl w:val="0"/>
        <w:spacing w:after="0"/>
        <w:rPr>
          <w:u w:val="single"/>
        </w:rPr>
      </w:pPr>
      <w:r w:rsidRPr="00425178">
        <w:t>SECTION 4.</w:t>
      </w:r>
      <w:r w:rsidRPr="00425178">
        <w:tab/>
      </w:r>
      <w:r w:rsidRPr="00425178">
        <w:rPr>
          <w:u w:val="single"/>
        </w:rPr>
        <w:t>REPRESENTATIONS AND WARRANTIES OF PROJECT COMPANY</w:t>
      </w:r>
    </w:p>
    <w:p w14:paraId="14C9A926" w14:textId="77777777" w:rsidR="00DD4E43" w:rsidRPr="00425178" w:rsidRDefault="00DD4E43" w:rsidP="00DD4E43">
      <w:pPr>
        <w:widowControl w:val="0"/>
        <w:spacing w:after="0"/>
      </w:pPr>
    </w:p>
    <w:p w14:paraId="176AC470" w14:textId="77777777" w:rsidR="00DD4E43" w:rsidRPr="00425178" w:rsidRDefault="00DD4E43" w:rsidP="00DD4E43">
      <w:pPr>
        <w:widowControl w:val="0"/>
        <w:spacing w:after="0"/>
      </w:pPr>
      <w:r w:rsidRPr="00425178">
        <w:t>Project Company makes the following representations and warranties as of the date hereof in favor of the Collateral Agent and SCE:</w:t>
      </w:r>
    </w:p>
    <w:p w14:paraId="75FEC7EA" w14:textId="77777777" w:rsidR="00DD4E43" w:rsidRPr="00425178" w:rsidRDefault="00DD4E43" w:rsidP="00DD4E43">
      <w:pPr>
        <w:widowControl w:val="0"/>
        <w:spacing w:after="0"/>
      </w:pPr>
    </w:p>
    <w:p w14:paraId="4A4843EF" w14:textId="77777777" w:rsidR="00DD4E43" w:rsidRPr="00425178" w:rsidRDefault="00DD4E43" w:rsidP="00DD4E43">
      <w:pPr>
        <w:widowControl w:val="0"/>
        <w:spacing w:after="0"/>
      </w:pPr>
      <w:r w:rsidRPr="00425178">
        <w:t>4.1</w:t>
      </w:r>
      <w:r w:rsidRPr="00425178">
        <w:tab/>
      </w:r>
      <w:r w:rsidRPr="00425178">
        <w:rPr>
          <w:u w:val="single"/>
        </w:rPr>
        <w:t>Organization</w:t>
      </w:r>
      <w:r w:rsidRPr="00425178">
        <w:t>.</w:t>
      </w:r>
    </w:p>
    <w:p w14:paraId="5162FF44" w14:textId="77777777" w:rsidR="00DD4E43" w:rsidRPr="00425178" w:rsidRDefault="00DD4E43" w:rsidP="00DD4E43">
      <w:pPr>
        <w:widowControl w:val="0"/>
        <w:spacing w:after="0"/>
      </w:pPr>
    </w:p>
    <w:p w14:paraId="5DE7AC91" w14:textId="77777777" w:rsidR="00DD4E43" w:rsidRPr="00425178" w:rsidRDefault="00DD4E43" w:rsidP="00DD4E43">
      <w:pPr>
        <w:widowControl w:val="0"/>
        <w:spacing w:after="0"/>
      </w:pPr>
      <w:r w:rsidRPr="00425178">
        <w:t xml:space="preserve">Project Company is a </w:t>
      </w:r>
      <w:r w:rsidRPr="000F628D">
        <w:rPr>
          <w:i/>
          <w:color w:val="0000FF"/>
        </w:rPr>
        <w:t>[Legal Status of Seller]</w:t>
      </w:r>
      <w:r w:rsidRPr="00425178">
        <w:rPr>
          <w:color w:val="00B0F0"/>
        </w:rPr>
        <w:t xml:space="preserve"> </w:t>
      </w:r>
      <w:r w:rsidRPr="00425178">
        <w:t xml:space="preserve">duly organized and validly existing under the laws of the state of its organization,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Project Company has all requisite power and authority, corporate and </w:t>
      </w:r>
      <w:r w:rsidRPr="00425178">
        <w:lastRenderedPageBreak/>
        <w:t>otherwise, to enter into and to perform its obligations hereunder and under the Resource Adequacy Purchase Agreement, and to carry out the terms hereof and thereof and the transactions contemplated hereby and thereby.</w:t>
      </w:r>
    </w:p>
    <w:p w14:paraId="1BD420DA" w14:textId="77777777" w:rsidR="00DD4E43" w:rsidRPr="00425178" w:rsidRDefault="00DD4E43" w:rsidP="00DD4E43">
      <w:pPr>
        <w:widowControl w:val="0"/>
        <w:spacing w:after="0"/>
      </w:pPr>
    </w:p>
    <w:p w14:paraId="33FD0D6F" w14:textId="77777777" w:rsidR="00DD4E43" w:rsidRPr="00425178" w:rsidRDefault="00DD4E43" w:rsidP="00DD4E43">
      <w:pPr>
        <w:widowControl w:val="0"/>
        <w:spacing w:after="0"/>
      </w:pPr>
      <w:r w:rsidRPr="00425178">
        <w:t>4.2</w:t>
      </w:r>
      <w:r w:rsidRPr="00425178">
        <w:tab/>
      </w:r>
      <w:r w:rsidRPr="00425178">
        <w:rPr>
          <w:u w:val="single"/>
        </w:rPr>
        <w:t>Authorization</w:t>
      </w:r>
      <w:r w:rsidRPr="00425178">
        <w:t xml:space="preserve">. </w:t>
      </w:r>
    </w:p>
    <w:p w14:paraId="0DF924AF" w14:textId="77777777" w:rsidR="00DD4E43" w:rsidRPr="00425178" w:rsidRDefault="00DD4E43" w:rsidP="00DD4E43">
      <w:pPr>
        <w:widowControl w:val="0"/>
        <w:spacing w:after="0"/>
      </w:pPr>
    </w:p>
    <w:p w14:paraId="2A00FA62" w14:textId="77777777" w:rsidR="00DD4E43" w:rsidRPr="00425178" w:rsidRDefault="00DD4E43" w:rsidP="00DD4E43">
      <w:pPr>
        <w:widowControl w:val="0"/>
        <w:spacing w:after="0"/>
      </w:pPr>
      <w:r w:rsidRPr="00425178">
        <w:t>The execution, delivery and performance of this Consent by Project Company, and Project Company’s assignment of its right, title and interest in, to and under the Resource Adequacy Purchase Agreement to the Collateral Agent pursuant to the Financing Documents, have been duly authorized by all necessary corporate or other action on the part of Project Company.</w:t>
      </w:r>
    </w:p>
    <w:p w14:paraId="02924CE9" w14:textId="77777777" w:rsidR="00DD4E43" w:rsidRPr="00425178" w:rsidRDefault="00DD4E43" w:rsidP="00DD4E43">
      <w:pPr>
        <w:widowControl w:val="0"/>
        <w:spacing w:after="0"/>
      </w:pPr>
    </w:p>
    <w:p w14:paraId="419D28D0" w14:textId="77777777" w:rsidR="00DD4E43" w:rsidRPr="00425178" w:rsidRDefault="00DD4E43" w:rsidP="00DD4E43">
      <w:pPr>
        <w:widowControl w:val="0"/>
        <w:spacing w:after="0"/>
      </w:pPr>
      <w:r w:rsidRPr="00425178">
        <w:t>4.3</w:t>
      </w:r>
      <w:r w:rsidRPr="00425178">
        <w:tab/>
      </w:r>
      <w:r w:rsidRPr="00425178">
        <w:rPr>
          <w:u w:val="single"/>
        </w:rPr>
        <w:t>Execution and Delivery; Binding Agreement</w:t>
      </w:r>
      <w:r w:rsidRPr="00425178">
        <w:t xml:space="preserve">. </w:t>
      </w:r>
    </w:p>
    <w:p w14:paraId="453386CF" w14:textId="77777777" w:rsidR="00DD4E43" w:rsidRPr="00425178" w:rsidRDefault="00DD4E43" w:rsidP="00DD4E43">
      <w:pPr>
        <w:widowControl w:val="0"/>
        <w:spacing w:after="0"/>
      </w:pPr>
      <w:r w:rsidRPr="00425178">
        <w:t xml:space="preserve"> </w:t>
      </w:r>
    </w:p>
    <w:p w14:paraId="64C79C79" w14:textId="77777777" w:rsidR="00DD4E43" w:rsidRPr="00425178" w:rsidRDefault="00DD4E43" w:rsidP="00DD4E43">
      <w:pPr>
        <w:widowControl w:val="0"/>
        <w:spacing w:after="0"/>
      </w:pPr>
      <w:r w:rsidRPr="00425178">
        <w:t>This 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58CAAFAA" w14:textId="77777777" w:rsidR="00DD4E43" w:rsidRPr="00425178" w:rsidRDefault="00DD4E43" w:rsidP="00DD4E43">
      <w:pPr>
        <w:widowControl w:val="0"/>
        <w:spacing w:after="0"/>
      </w:pPr>
    </w:p>
    <w:p w14:paraId="72C1E133" w14:textId="77777777" w:rsidR="00DD4E43" w:rsidRPr="00425178" w:rsidRDefault="00DD4E43" w:rsidP="00DD4E43">
      <w:pPr>
        <w:widowControl w:val="0"/>
        <w:spacing w:after="0"/>
      </w:pPr>
      <w:r w:rsidRPr="00425178">
        <w:t>4.4</w:t>
      </w:r>
      <w:r w:rsidRPr="00425178">
        <w:tab/>
      </w:r>
      <w:r w:rsidRPr="00425178">
        <w:rPr>
          <w:u w:val="single"/>
        </w:rPr>
        <w:t>No Default or Amendment</w:t>
      </w:r>
      <w:r w:rsidRPr="00425178">
        <w:t xml:space="preserve">. </w:t>
      </w:r>
    </w:p>
    <w:p w14:paraId="12E95692" w14:textId="77777777" w:rsidR="00DD4E43" w:rsidRPr="00425178" w:rsidRDefault="00DD4E43" w:rsidP="00DD4E43">
      <w:pPr>
        <w:widowControl w:val="0"/>
        <w:spacing w:after="0"/>
      </w:pPr>
    </w:p>
    <w:p w14:paraId="1CAAC807" w14:textId="77777777" w:rsidR="00DD4E43" w:rsidRPr="00425178" w:rsidRDefault="00DD4E43" w:rsidP="00DD4E43">
      <w:pPr>
        <w:widowControl w:val="0"/>
        <w:spacing w:after="0"/>
      </w:pPr>
      <w:r w:rsidRPr="00425178">
        <w:t>Except as set forth in Schedule B attached hereto: (a) neither Project Company nor, to Project Company’s actual knowledge, SCE, is in default of any of its obligations thereunder; (b) Project Company and, to Project Company’s actual knowledge, SCE, has complied with all conditions precedent to the effectiveness of its obligations under the Resource Adequacy Purchase Agreement; (c) to Project Company’s actual knowledge, no event or condition exists which would either immediately or with the passage of any applicable grace period or giving of notice, or both, enable either SCE or Project Company to terminate or suspend its obligations under the Resource Adequacy Purchase Agreement; and (d) the Resource Adequacy Purchase Agreement has not been amended, modified or supplemented in any manner except as set forth herein and in the recitals hereto.</w:t>
      </w:r>
    </w:p>
    <w:p w14:paraId="5EC875BB" w14:textId="77777777" w:rsidR="00DD4E43" w:rsidRPr="00425178" w:rsidRDefault="00DD4E43" w:rsidP="00DD4E43">
      <w:pPr>
        <w:widowControl w:val="0"/>
        <w:spacing w:after="0"/>
      </w:pPr>
    </w:p>
    <w:p w14:paraId="4B5961D2" w14:textId="77777777" w:rsidR="00DD4E43" w:rsidRPr="00425178" w:rsidRDefault="00DD4E43" w:rsidP="00DD4E43">
      <w:pPr>
        <w:widowControl w:val="0"/>
        <w:spacing w:after="0"/>
      </w:pPr>
      <w:r w:rsidRPr="00425178">
        <w:t>4.5</w:t>
      </w:r>
      <w:r w:rsidRPr="00425178">
        <w:tab/>
      </w:r>
      <w:r w:rsidRPr="00425178">
        <w:rPr>
          <w:u w:val="single"/>
        </w:rPr>
        <w:t>No Previous Assignments</w:t>
      </w:r>
      <w:r w:rsidRPr="00425178">
        <w:t xml:space="preserve">. </w:t>
      </w:r>
    </w:p>
    <w:p w14:paraId="3F0A9BCB" w14:textId="77777777" w:rsidR="00DD4E43" w:rsidRPr="00425178" w:rsidRDefault="00DD4E43" w:rsidP="00DD4E43">
      <w:pPr>
        <w:widowControl w:val="0"/>
        <w:spacing w:after="0"/>
      </w:pPr>
    </w:p>
    <w:p w14:paraId="150780CF" w14:textId="77777777" w:rsidR="00DD4E43" w:rsidRPr="00425178" w:rsidRDefault="00DD4E43" w:rsidP="00DD4E43">
      <w:pPr>
        <w:widowControl w:val="0"/>
        <w:spacing w:after="0"/>
      </w:pPr>
      <w:r w:rsidRPr="00425178">
        <w:lastRenderedPageBreak/>
        <w:t>Project Company has not previously assigned all or any part of its rights under the Resource Adequacy Purchase Agreement.</w:t>
      </w:r>
    </w:p>
    <w:p w14:paraId="5BE5324E" w14:textId="77777777" w:rsidR="00DD4E43" w:rsidRPr="00425178" w:rsidRDefault="00DD4E43" w:rsidP="00DD4E43">
      <w:pPr>
        <w:widowControl w:val="0"/>
        <w:spacing w:after="0"/>
      </w:pPr>
    </w:p>
    <w:p w14:paraId="02C7C184" w14:textId="77777777" w:rsidR="00DD4E43" w:rsidRPr="00425178" w:rsidRDefault="00DD4E43" w:rsidP="00DD4E43">
      <w:pPr>
        <w:widowControl w:val="0"/>
        <w:spacing w:after="0"/>
        <w:rPr>
          <w:u w:val="single"/>
        </w:rPr>
      </w:pPr>
      <w:r w:rsidRPr="00425178">
        <w:t>SECTION 5.</w:t>
      </w:r>
      <w:r w:rsidRPr="00425178">
        <w:tab/>
      </w:r>
      <w:r w:rsidRPr="00425178">
        <w:rPr>
          <w:u w:val="single"/>
        </w:rPr>
        <w:t>REPRESENTATIONS AND WARRANTIES OF COLLATERAL AGENT</w:t>
      </w:r>
    </w:p>
    <w:p w14:paraId="44579D00" w14:textId="77777777" w:rsidR="00DD4E43" w:rsidRPr="00425178" w:rsidRDefault="00DD4E43" w:rsidP="00DD4E43">
      <w:pPr>
        <w:widowControl w:val="0"/>
        <w:spacing w:after="0"/>
      </w:pPr>
    </w:p>
    <w:p w14:paraId="702EDDBE" w14:textId="77777777" w:rsidR="00DD4E43" w:rsidRPr="00425178" w:rsidRDefault="00DD4E43" w:rsidP="00DD4E43">
      <w:pPr>
        <w:widowControl w:val="0"/>
        <w:spacing w:after="0"/>
      </w:pPr>
      <w:r w:rsidRPr="00425178">
        <w:t>Collateral Agent makes the following representations and warranties as of the date hereof in favor of SCE and Project Company:</w:t>
      </w:r>
    </w:p>
    <w:p w14:paraId="50FDC393" w14:textId="77777777" w:rsidR="00DD4E43" w:rsidRPr="00425178" w:rsidRDefault="00DD4E43" w:rsidP="00DD4E43">
      <w:pPr>
        <w:widowControl w:val="0"/>
        <w:spacing w:after="0"/>
      </w:pPr>
    </w:p>
    <w:p w14:paraId="3244BA7E" w14:textId="77777777" w:rsidR="00DD4E43" w:rsidRPr="00425178" w:rsidRDefault="00DD4E43" w:rsidP="00DD4E43">
      <w:pPr>
        <w:widowControl w:val="0"/>
        <w:spacing w:after="0"/>
      </w:pPr>
      <w:r w:rsidRPr="00425178">
        <w:t>5.1</w:t>
      </w:r>
      <w:r w:rsidRPr="00425178">
        <w:tab/>
      </w:r>
      <w:r w:rsidRPr="00425178">
        <w:rPr>
          <w:u w:val="single"/>
        </w:rPr>
        <w:t>Authorization</w:t>
      </w:r>
      <w:r w:rsidRPr="00425178">
        <w:t xml:space="preserve">. </w:t>
      </w:r>
    </w:p>
    <w:p w14:paraId="11B33052" w14:textId="77777777" w:rsidR="00DD4E43" w:rsidRPr="00425178" w:rsidRDefault="00DD4E43" w:rsidP="00DD4E43">
      <w:pPr>
        <w:widowControl w:val="0"/>
        <w:spacing w:after="0"/>
      </w:pPr>
    </w:p>
    <w:p w14:paraId="22516447" w14:textId="77777777" w:rsidR="00DD4E43" w:rsidRPr="00425178" w:rsidRDefault="00DD4E43" w:rsidP="00DD4E43">
      <w:pPr>
        <w:widowControl w:val="0"/>
        <w:spacing w:after="0"/>
      </w:pPr>
      <w:r w:rsidRPr="00425178">
        <w:t>The execution, delivery and performance of this Consent by Collateral Agent have been duly authorized by all necessary corporate or other action on the part of Collateral Agent and Secured Parties.</w:t>
      </w:r>
    </w:p>
    <w:p w14:paraId="2780AAE5" w14:textId="77777777" w:rsidR="00DD4E43" w:rsidRPr="00425178" w:rsidRDefault="00DD4E43" w:rsidP="00DD4E43">
      <w:pPr>
        <w:widowControl w:val="0"/>
        <w:spacing w:after="0"/>
      </w:pPr>
    </w:p>
    <w:p w14:paraId="0E28E863" w14:textId="77777777" w:rsidR="00DD4E43" w:rsidRPr="00425178" w:rsidRDefault="00DD4E43" w:rsidP="00DD4E43">
      <w:pPr>
        <w:widowControl w:val="0"/>
        <w:spacing w:after="0"/>
      </w:pPr>
      <w:r w:rsidRPr="00425178">
        <w:t>5.2</w:t>
      </w:r>
      <w:r w:rsidRPr="00425178">
        <w:tab/>
      </w:r>
      <w:r w:rsidRPr="00425178">
        <w:rPr>
          <w:u w:val="single"/>
        </w:rPr>
        <w:t>Execution and Delivery; Binding Agreement</w:t>
      </w:r>
      <w:r w:rsidRPr="00425178">
        <w:t>.</w:t>
      </w:r>
    </w:p>
    <w:p w14:paraId="5267E598" w14:textId="77777777" w:rsidR="00DD4E43" w:rsidRPr="00425178" w:rsidRDefault="00DD4E43" w:rsidP="00DD4E43">
      <w:pPr>
        <w:widowControl w:val="0"/>
        <w:spacing w:after="0"/>
      </w:pPr>
      <w:r w:rsidRPr="00425178">
        <w:t xml:space="preserve">  </w:t>
      </w:r>
    </w:p>
    <w:p w14:paraId="76DFEAEE" w14:textId="77777777" w:rsidR="00DD4E43" w:rsidRPr="00425178" w:rsidRDefault="00DD4E43" w:rsidP="00DD4E43">
      <w:pPr>
        <w:widowControl w:val="0"/>
        <w:spacing w:after="0"/>
      </w:pPr>
      <w:r w:rsidRPr="00425178">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0744B030" w14:textId="77777777" w:rsidR="00DD4E43" w:rsidRPr="00425178" w:rsidRDefault="00DD4E43" w:rsidP="00DD4E43">
      <w:pPr>
        <w:widowControl w:val="0"/>
        <w:spacing w:after="0"/>
      </w:pPr>
    </w:p>
    <w:p w14:paraId="7127E180" w14:textId="77777777" w:rsidR="00DD4E43" w:rsidRPr="00425178" w:rsidRDefault="00DD4E43" w:rsidP="00DD4E43">
      <w:pPr>
        <w:widowControl w:val="0"/>
        <w:spacing w:after="0"/>
        <w:rPr>
          <w:u w:val="single"/>
        </w:rPr>
      </w:pPr>
      <w:r w:rsidRPr="00425178">
        <w:t>SECTION 6.</w:t>
      </w:r>
      <w:r w:rsidRPr="00425178">
        <w:tab/>
      </w:r>
      <w:r w:rsidRPr="00425178">
        <w:rPr>
          <w:u w:val="single"/>
        </w:rPr>
        <w:t>MISCELLANEOUS</w:t>
      </w:r>
    </w:p>
    <w:p w14:paraId="2202D0F4" w14:textId="77777777" w:rsidR="00DD4E43" w:rsidRPr="00425178" w:rsidRDefault="00DD4E43" w:rsidP="00DD4E43">
      <w:pPr>
        <w:widowControl w:val="0"/>
        <w:spacing w:after="0"/>
      </w:pPr>
    </w:p>
    <w:p w14:paraId="6116F861" w14:textId="77777777" w:rsidR="00DD4E43" w:rsidRPr="00425178" w:rsidRDefault="00DD4E43" w:rsidP="00DD4E43">
      <w:pPr>
        <w:widowControl w:val="0"/>
        <w:spacing w:after="0"/>
      </w:pPr>
      <w:r w:rsidRPr="00425178">
        <w:t>6.1</w:t>
      </w:r>
      <w:r w:rsidRPr="00425178">
        <w:tab/>
      </w:r>
      <w:r w:rsidRPr="00425178">
        <w:rPr>
          <w:u w:val="single"/>
        </w:rPr>
        <w:t>Notices</w:t>
      </w:r>
      <w:r w:rsidRPr="00425178">
        <w:t xml:space="preserve">. </w:t>
      </w:r>
    </w:p>
    <w:p w14:paraId="494395FA" w14:textId="77777777" w:rsidR="00DD4E43" w:rsidRPr="00425178" w:rsidRDefault="00DD4E43" w:rsidP="00DD4E43">
      <w:pPr>
        <w:widowControl w:val="0"/>
        <w:spacing w:after="0"/>
      </w:pPr>
    </w:p>
    <w:p w14:paraId="40DD7182" w14:textId="77777777" w:rsidR="00DD4E43" w:rsidRPr="00425178" w:rsidRDefault="00DD4E43" w:rsidP="00DD4E43">
      <w:pPr>
        <w:widowControl w:val="0"/>
        <w:spacing w:after="0"/>
      </w:pPr>
      <w:r w:rsidRPr="00425178">
        <w:t xml:space="preserve">All notices and other communications hereunder shall be in writing, shall be deemed given upon receipt thereof by the Party or Parties to whom such notice is addressed, shall refer on their face to the Resource Adequacy Purchase Agreement (although failure to so refer shall not render any such notice or communication ineffective), shall be sent by first class mail, by personal delivery or by a nationally recognized courier service, and shall be directed (a) if to SCE or Project Company, in accordance with </w:t>
      </w:r>
      <w:r w:rsidRPr="000F628D">
        <w:rPr>
          <w:i/>
          <w:color w:val="0000FF"/>
        </w:rPr>
        <w:t>[Notice Section of the Resource Adequacy Purchase Agreement]</w:t>
      </w:r>
      <w:r w:rsidRPr="00425178">
        <w:rPr>
          <w:color w:val="00B0F0"/>
        </w:rPr>
        <w:t xml:space="preserve"> </w:t>
      </w:r>
      <w:r w:rsidRPr="00425178">
        <w:t xml:space="preserve">of the Resource Adequacy Purchase Agreement, (b) if to Collateral Agent, to </w:t>
      </w:r>
      <w:r w:rsidRPr="000F628D">
        <w:rPr>
          <w:i/>
          <w:color w:val="0000FF"/>
        </w:rPr>
        <w:t xml:space="preserve">[Collateral Agent </w:t>
      </w:r>
      <w:r w:rsidRPr="000F628D">
        <w:rPr>
          <w:i/>
          <w:color w:val="0000FF"/>
        </w:rPr>
        <w:lastRenderedPageBreak/>
        <w:t>Name]</w:t>
      </w:r>
      <w:r w:rsidRPr="00425178">
        <w:t xml:space="preserve">, </w:t>
      </w:r>
      <w:r w:rsidRPr="000F628D">
        <w:rPr>
          <w:i/>
          <w:color w:val="0000FF"/>
        </w:rPr>
        <w:t>[Collateral Agent Address]</w:t>
      </w:r>
      <w:r w:rsidRPr="00425178">
        <w:t xml:space="preserve">, Attn: </w:t>
      </w:r>
      <w:r w:rsidRPr="000F628D">
        <w:rPr>
          <w:i/>
          <w:color w:val="0000FF"/>
        </w:rPr>
        <w:t>[Collateral Agent Contact Information]</w:t>
      </w:r>
      <w:r w:rsidRPr="00425178">
        <w:t xml:space="preserve">, Telephone: </w:t>
      </w:r>
      <w:r w:rsidRPr="000F628D">
        <w:rPr>
          <w:i/>
          <w:color w:val="0000FF"/>
        </w:rPr>
        <w:t>[___]</w:t>
      </w:r>
      <w:r w:rsidRPr="00425178">
        <w:t xml:space="preserve">, Fax: </w:t>
      </w:r>
      <w:r w:rsidRPr="000F628D">
        <w:rPr>
          <w:i/>
          <w:color w:val="0000FF"/>
        </w:rPr>
        <w:t>[___]</w:t>
      </w:r>
      <w:r w:rsidRPr="00425178">
        <w:t>, and (c) to such other address or addressee as any such Party may designate by notice given pursuant hereto.</w:t>
      </w:r>
    </w:p>
    <w:p w14:paraId="0A587254" w14:textId="77777777" w:rsidR="00DD4E43" w:rsidRPr="00425178" w:rsidRDefault="00DD4E43" w:rsidP="00DD4E43">
      <w:pPr>
        <w:widowControl w:val="0"/>
        <w:spacing w:after="0"/>
      </w:pPr>
    </w:p>
    <w:p w14:paraId="7E26BBC8" w14:textId="77777777" w:rsidR="00DD4E43" w:rsidRPr="00425178" w:rsidRDefault="00DD4E43" w:rsidP="00DD4E43">
      <w:pPr>
        <w:widowControl w:val="0"/>
        <w:spacing w:after="0"/>
      </w:pPr>
      <w:r w:rsidRPr="00425178">
        <w:t>6.2</w:t>
      </w:r>
      <w:r w:rsidRPr="00425178">
        <w:tab/>
      </w:r>
      <w:r w:rsidRPr="00425178">
        <w:rPr>
          <w:u w:val="single"/>
        </w:rPr>
        <w:t>Governing Law; Submission to Jurisdiction</w:t>
      </w:r>
      <w:r w:rsidRPr="00425178">
        <w:t>.</w:t>
      </w:r>
    </w:p>
    <w:p w14:paraId="2EFEDB7F" w14:textId="77777777" w:rsidR="00DD4E43" w:rsidRPr="00425178" w:rsidRDefault="00DD4E43" w:rsidP="00DD4E43">
      <w:pPr>
        <w:widowControl w:val="0"/>
        <w:spacing w:after="0"/>
      </w:pPr>
    </w:p>
    <w:p w14:paraId="02376A16" w14:textId="77777777" w:rsidR="00DD4E43" w:rsidRPr="00425178" w:rsidRDefault="00DD4E43" w:rsidP="00DD4E43">
      <w:pPr>
        <w:widowControl w:val="0"/>
        <w:spacing w:after="0"/>
      </w:pPr>
      <w:r w:rsidRPr="00425178">
        <w:t>(a)</w:t>
      </w:r>
      <w:r w:rsidRPr="00425178">
        <w:tab/>
        <w:t xml:space="preserve">THIS CONSENT SHALL BE CONSTRUED IN ACCORDANCE WITH, AND THIS CONSENT AND ALL MATTERS ARISING OUT OF THIS CONSENT AND THE TRANSACTIONS CONTEMPLATED HEREBY SHALL BE GOVERNED BY, THE LAW OF THE STATE OF CALIFORNIA WITHOUT REGARD TO ANY CONFLICTS OF LAWS PROVISIONS THEREOF THAT WOULD RESULT IN THE APPLICATION OF THE LAW OF ANOTHER JURISDICTION. </w:t>
      </w:r>
      <w:r w:rsidRPr="000F628D">
        <w:rPr>
          <w:i/>
          <w:color w:val="0000FF"/>
        </w:rPr>
        <w:t>[This Section will be modified, if necessary, to match the Governing Law Section of the Resource Adequacy Purchase Agreement.]</w:t>
      </w:r>
    </w:p>
    <w:p w14:paraId="22ED8464" w14:textId="77777777" w:rsidR="00DD4E43" w:rsidRPr="00425178" w:rsidRDefault="00DD4E43" w:rsidP="00DD4E43">
      <w:pPr>
        <w:widowControl w:val="0"/>
        <w:spacing w:after="0"/>
      </w:pPr>
      <w:r w:rsidRPr="00425178">
        <w:t>(b)</w:t>
      </w:r>
      <w:r w:rsidRPr="00425178">
        <w:tab/>
        <w:t>All disputes, claims or controversies arising out of, relating to, concerning or pertaining to the terms of this Consent shall be governed by the dispute resolution provisions of the Resource Adequacy Purchase Agreement. 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 Each Party further irrevocably consents to the service of process out of any of the aforementioned courts in any such action or proceeding by the mailing of copies thereof by registered or certified mail, postage prepaid, to its notice address provided pursuant to Section 6.1 hereof. 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any Party to serve process in any other manner permitted by law.</w:t>
      </w:r>
    </w:p>
    <w:p w14:paraId="0CFCC53A" w14:textId="77777777" w:rsidR="00DD4E43" w:rsidRPr="00425178" w:rsidRDefault="00DD4E43" w:rsidP="00DD4E43">
      <w:pPr>
        <w:widowControl w:val="0"/>
        <w:spacing w:after="0"/>
      </w:pPr>
    </w:p>
    <w:p w14:paraId="582704D5" w14:textId="77777777" w:rsidR="00DD4E43" w:rsidRPr="00425178" w:rsidRDefault="00DD4E43" w:rsidP="00DD4E43">
      <w:pPr>
        <w:widowControl w:val="0"/>
        <w:spacing w:after="0"/>
      </w:pPr>
      <w:r w:rsidRPr="00425178">
        <w:t>6.3</w:t>
      </w:r>
      <w:r w:rsidRPr="00425178">
        <w:tab/>
      </w:r>
      <w:r w:rsidRPr="00425178">
        <w:rPr>
          <w:u w:val="single"/>
        </w:rPr>
        <w:t>Headings Descriptive</w:t>
      </w:r>
      <w:r w:rsidRPr="00425178">
        <w:t xml:space="preserve">. </w:t>
      </w:r>
    </w:p>
    <w:p w14:paraId="6BF13325" w14:textId="77777777" w:rsidR="00DD4E43" w:rsidRPr="00425178" w:rsidRDefault="00DD4E43" w:rsidP="00DD4E43">
      <w:pPr>
        <w:widowControl w:val="0"/>
        <w:spacing w:after="0"/>
      </w:pPr>
    </w:p>
    <w:p w14:paraId="1F44157E" w14:textId="77777777" w:rsidR="00DD4E43" w:rsidRPr="00425178" w:rsidRDefault="00DD4E43" w:rsidP="00DD4E43">
      <w:pPr>
        <w:widowControl w:val="0"/>
        <w:spacing w:after="0"/>
      </w:pPr>
      <w:r w:rsidRPr="00425178">
        <w:t>The headings of the several sections and subsections of this Consent are inserted for convenience only and shall not in any way affect the meaning or construction of any provision of this Consent.</w:t>
      </w:r>
    </w:p>
    <w:p w14:paraId="11F950C7" w14:textId="77777777" w:rsidR="00DD4E43" w:rsidRPr="00425178" w:rsidRDefault="00DD4E43" w:rsidP="00DD4E43">
      <w:pPr>
        <w:widowControl w:val="0"/>
        <w:spacing w:after="0"/>
      </w:pPr>
    </w:p>
    <w:p w14:paraId="249C9924" w14:textId="77777777" w:rsidR="00DD4E43" w:rsidRPr="00425178" w:rsidRDefault="00DD4E43" w:rsidP="00DD4E43">
      <w:pPr>
        <w:widowControl w:val="0"/>
        <w:spacing w:after="0"/>
      </w:pPr>
      <w:r w:rsidRPr="00425178">
        <w:t>6.4</w:t>
      </w:r>
      <w:r w:rsidRPr="00425178">
        <w:tab/>
      </w:r>
      <w:r w:rsidRPr="00425178">
        <w:rPr>
          <w:u w:val="single"/>
        </w:rPr>
        <w:t>Severability</w:t>
      </w:r>
      <w:r w:rsidRPr="00425178">
        <w:t xml:space="preserve">. </w:t>
      </w:r>
    </w:p>
    <w:p w14:paraId="26ABD26C" w14:textId="77777777" w:rsidR="00DD4E43" w:rsidRPr="00425178" w:rsidRDefault="00DD4E43" w:rsidP="00DD4E43">
      <w:pPr>
        <w:widowControl w:val="0"/>
        <w:spacing w:after="0"/>
      </w:pPr>
    </w:p>
    <w:p w14:paraId="28B432A2" w14:textId="77777777" w:rsidR="00DD4E43" w:rsidRPr="00425178" w:rsidRDefault="00DD4E43" w:rsidP="00DD4E43">
      <w:pPr>
        <w:widowControl w:val="0"/>
        <w:spacing w:after="0"/>
      </w:pPr>
      <w:r w:rsidRPr="00425178">
        <w:t>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24072993" w14:textId="77777777" w:rsidR="00DD4E43" w:rsidRPr="00425178" w:rsidRDefault="00DD4E43" w:rsidP="00DD4E43">
      <w:pPr>
        <w:widowControl w:val="0"/>
        <w:spacing w:after="0"/>
      </w:pPr>
    </w:p>
    <w:p w14:paraId="41D2B323" w14:textId="77777777" w:rsidR="00DD4E43" w:rsidRPr="00425178" w:rsidRDefault="00DD4E43" w:rsidP="00DD4E43">
      <w:pPr>
        <w:widowControl w:val="0"/>
        <w:spacing w:after="0"/>
      </w:pPr>
      <w:r w:rsidRPr="00425178">
        <w:t>6.5</w:t>
      </w:r>
      <w:r w:rsidRPr="00425178">
        <w:tab/>
      </w:r>
      <w:r w:rsidRPr="00425178">
        <w:rPr>
          <w:u w:val="single"/>
        </w:rPr>
        <w:t>Amendment, Waiver</w:t>
      </w:r>
      <w:r w:rsidRPr="00425178">
        <w:t xml:space="preserve">. </w:t>
      </w:r>
    </w:p>
    <w:p w14:paraId="4B2F0B2C" w14:textId="77777777" w:rsidR="00DD4E43" w:rsidRPr="00425178" w:rsidRDefault="00DD4E43" w:rsidP="00DD4E43">
      <w:pPr>
        <w:widowControl w:val="0"/>
        <w:spacing w:after="0"/>
      </w:pPr>
      <w:r w:rsidRPr="00425178">
        <w:t xml:space="preserve"> </w:t>
      </w:r>
    </w:p>
    <w:p w14:paraId="66CC7F6F" w14:textId="77777777" w:rsidR="00DD4E43" w:rsidRPr="00425178" w:rsidRDefault="00DD4E43" w:rsidP="00DD4E43">
      <w:pPr>
        <w:widowControl w:val="0"/>
        <w:spacing w:after="0"/>
      </w:pPr>
      <w:r w:rsidRPr="00425178">
        <w:t>Neither this Consent nor any of the terms hereof may (a) be terminated, amended, supplemented or modified, except by an instrument in writing signed by SCE, Project Company and Collateral Agent or (b) waived, except by an instrument in writing signed by the waiving Party.</w:t>
      </w:r>
    </w:p>
    <w:p w14:paraId="4E41A71B" w14:textId="77777777" w:rsidR="00DD4E43" w:rsidRPr="00425178" w:rsidRDefault="00DD4E43" w:rsidP="00DD4E43">
      <w:pPr>
        <w:widowControl w:val="0"/>
        <w:spacing w:after="0"/>
      </w:pPr>
    </w:p>
    <w:p w14:paraId="47B49239" w14:textId="77777777" w:rsidR="00DD4E43" w:rsidRPr="00425178" w:rsidRDefault="00DD4E43" w:rsidP="00DD4E43">
      <w:pPr>
        <w:widowControl w:val="0"/>
        <w:spacing w:after="0"/>
      </w:pPr>
      <w:r w:rsidRPr="00425178">
        <w:t>6.6</w:t>
      </w:r>
      <w:r w:rsidRPr="00425178">
        <w:tab/>
      </w:r>
      <w:r w:rsidRPr="00425178">
        <w:rPr>
          <w:u w:val="single"/>
        </w:rPr>
        <w:t>Termination</w:t>
      </w:r>
      <w:r w:rsidRPr="00425178">
        <w:t xml:space="preserve">. </w:t>
      </w:r>
    </w:p>
    <w:p w14:paraId="755A5F42" w14:textId="77777777" w:rsidR="00DD4E43" w:rsidRPr="00425178" w:rsidRDefault="00DD4E43" w:rsidP="00DD4E43">
      <w:pPr>
        <w:widowControl w:val="0"/>
        <w:spacing w:after="0"/>
      </w:pPr>
    </w:p>
    <w:p w14:paraId="27055CEA" w14:textId="77777777" w:rsidR="00DD4E43" w:rsidRPr="00425178" w:rsidRDefault="00DD4E43" w:rsidP="00DD4E43">
      <w:pPr>
        <w:widowControl w:val="0"/>
        <w:spacing w:after="0"/>
      </w:pPr>
      <w:r w:rsidRPr="00425178">
        <w:t>Each Party’s obligations hereunder are absolute and unconditional, and no Party has any right, and shall have no right, to terminate this Consent or to be released, relieved or discharged from any obligation or liability hereunder until SCE has been notified by Collateral Agent that all of the obligations under the Financing Documents shall have been satisfied in full (other than contingent indemnification obligations) or, with respect to the Resource Adequacy Purchase Agreement or any Replacement Resource Adequacy Purchase Agreement, its obligations under such Resource Adequacy Purchase Agreement or Replacement Resource Adequacy Purchase Agreement have been fully performed.</w:t>
      </w:r>
    </w:p>
    <w:p w14:paraId="13CA5341" w14:textId="77777777" w:rsidR="00DD4E43" w:rsidRPr="00425178" w:rsidRDefault="00DD4E43" w:rsidP="00DD4E43">
      <w:pPr>
        <w:widowControl w:val="0"/>
        <w:spacing w:after="0"/>
      </w:pPr>
    </w:p>
    <w:p w14:paraId="53E89AB6" w14:textId="77777777" w:rsidR="00DD4E43" w:rsidRPr="00425178" w:rsidRDefault="00DD4E43" w:rsidP="00DD4E43">
      <w:pPr>
        <w:widowControl w:val="0"/>
        <w:spacing w:after="0"/>
      </w:pPr>
      <w:r w:rsidRPr="00425178">
        <w:t>6.7</w:t>
      </w:r>
      <w:r w:rsidRPr="00425178">
        <w:tab/>
      </w:r>
      <w:r w:rsidRPr="00425178">
        <w:rPr>
          <w:u w:val="single"/>
        </w:rPr>
        <w:t>Successors and Assigns</w:t>
      </w:r>
      <w:r w:rsidRPr="00425178">
        <w:t xml:space="preserve">. </w:t>
      </w:r>
    </w:p>
    <w:p w14:paraId="1D841781" w14:textId="77777777" w:rsidR="00DD4E43" w:rsidRPr="00425178" w:rsidRDefault="00DD4E43" w:rsidP="00DD4E43">
      <w:pPr>
        <w:widowControl w:val="0"/>
        <w:spacing w:after="0"/>
      </w:pPr>
    </w:p>
    <w:p w14:paraId="6F866C1A" w14:textId="77777777" w:rsidR="00DD4E43" w:rsidRPr="00425178" w:rsidRDefault="00DD4E43" w:rsidP="00DD4E43">
      <w:pPr>
        <w:widowControl w:val="0"/>
        <w:spacing w:after="0"/>
      </w:pPr>
      <w:r w:rsidRPr="00425178">
        <w:t>This Consent shall be binding upon each Party and its successors and assigns permitted under and in accordance with this Consent, and shall inure to the benefit of the other Parties and their respective successors and assignee permitted under and in accordance with this Consent. Each reference to a Person herein shall include such Person’s successors and assigns permitted under and in accordance with this Consent.</w:t>
      </w:r>
    </w:p>
    <w:p w14:paraId="12EE2326" w14:textId="77777777" w:rsidR="00DD4E43" w:rsidRPr="00425178" w:rsidRDefault="00DD4E43" w:rsidP="00DD4E43">
      <w:pPr>
        <w:widowControl w:val="0"/>
        <w:spacing w:after="0"/>
      </w:pPr>
    </w:p>
    <w:p w14:paraId="54C72C77" w14:textId="77777777" w:rsidR="00DD4E43" w:rsidRPr="00425178" w:rsidRDefault="00DD4E43" w:rsidP="00DD4E43">
      <w:pPr>
        <w:widowControl w:val="0"/>
        <w:spacing w:after="0"/>
      </w:pPr>
      <w:r w:rsidRPr="00425178">
        <w:t>6.8</w:t>
      </w:r>
      <w:r w:rsidRPr="00425178">
        <w:tab/>
      </w:r>
      <w:r w:rsidRPr="00425178">
        <w:rPr>
          <w:u w:val="single"/>
        </w:rPr>
        <w:t>Further Assurances</w:t>
      </w:r>
      <w:r w:rsidRPr="00425178">
        <w:t>.</w:t>
      </w:r>
    </w:p>
    <w:p w14:paraId="7801ABE4" w14:textId="77777777" w:rsidR="00DD4E43" w:rsidRPr="00425178" w:rsidRDefault="00DD4E43" w:rsidP="00DD4E43">
      <w:pPr>
        <w:widowControl w:val="0"/>
        <w:spacing w:after="0"/>
      </w:pPr>
      <w:r w:rsidRPr="00425178">
        <w:t xml:space="preserve">  </w:t>
      </w:r>
    </w:p>
    <w:p w14:paraId="732C41C9" w14:textId="77777777" w:rsidR="00DD4E43" w:rsidRPr="00425178" w:rsidRDefault="00DD4E43" w:rsidP="00DD4E43">
      <w:pPr>
        <w:widowControl w:val="0"/>
        <w:spacing w:after="0"/>
      </w:pPr>
      <w:r w:rsidRPr="00425178">
        <w:t xml:space="preserve">SCE hereby agrees to execute and deliver all such instruments and take all such action as may be </w:t>
      </w:r>
      <w:r w:rsidRPr="00425178">
        <w:lastRenderedPageBreak/>
        <w:t>necessary to effectuate fully the purposes of this Consent.</w:t>
      </w:r>
    </w:p>
    <w:p w14:paraId="03E4B4E2" w14:textId="77777777" w:rsidR="00DD4E43" w:rsidRPr="00425178" w:rsidRDefault="00DD4E43" w:rsidP="00DD4E43">
      <w:pPr>
        <w:widowControl w:val="0"/>
        <w:spacing w:after="0"/>
      </w:pPr>
    </w:p>
    <w:p w14:paraId="77FBF520" w14:textId="77777777" w:rsidR="00DD4E43" w:rsidRPr="00425178" w:rsidRDefault="00DD4E43" w:rsidP="00DD4E43">
      <w:pPr>
        <w:widowControl w:val="0"/>
        <w:spacing w:after="0"/>
      </w:pPr>
      <w:r w:rsidRPr="00425178">
        <w:t>6.9</w:t>
      </w:r>
      <w:r w:rsidRPr="00425178">
        <w:tab/>
      </w:r>
      <w:r w:rsidRPr="00425178">
        <w:rPr>
          <w:u w:val="single"/>
        </w:rPr>
        <w:t>Waiver of Trial by Jury</w:t>
      </w:r>
      <w:r w:rsidRPr="00425178">
        <w:t xml:space="preserve">. </w:t>
      </w:r>
    </w:p>
    <w:p w14:paraId="17F7C137" w14:textId="77777777" w:rsidR="00DD4E43" w:rsidRPr="00425178" w:rsidRDefault="00DD4E43" w:rsidP="00DD4E43">
      <w:pPr>
        <w:widowControl w:val="0"/>
        <w:spacing w:after="0"/>
      </w:pPr>
      <w:r w:rsidRPr="00425178">
        <w:t xml:space="preserve"> </w:t>
      </w:r>
    </w:p>
    <w:p w14:paraId="16BC26BC" w14:textId="77777777" w:rsidR="00DD4E43" w:rsidRPr="00425178" w:rsidRDefault="00DD4E43" w:rsidP="00DD4E43">
      <w:pPr>
        <w:widowControl w:val="0"/>
        <w:spacing w:after="0"/>
      </w:pPr>
      <w:r w:rsidRPr="00425178">
        <w:t>TO THE EXTENT PERMITTED BY APPLICABLE LAWS, THE PARTIES HEREBY IRREVOCABLY WAIVE ALL RIGHT OF TRIAL BY JURY IN ANY ACTION, PROCEEDING OR COUNTERCLAIM ARISING OUT OF OR IN CONNECTION WITH THIS CONSENT OR ANY MATTER ARISING HEREUNDER. EACH PARTY FURTHER WARRANTS AND REPRESENTS THAT IT HAS REVIEWED THIS WAIVER WITH ITS LEGAL COUNSEL, AND THAT IT KNOWINGLY AND VOLUNTARILY WAIVES ITS JURY TRIAL RIGHTS FOLLOWING CONSULTATION WITH LEGAL COUNSEL.</w:t>
      </w:r>
    </w:p>
    <w:p w14:paraId="4B26C646" w14:textId="77777777" w:rsidR="00DD4E43" w:rsidRPr="00425178" w:rsidRDefault="00DD4E43" w:rsidP="00DD4E43">
      <w:pPr>
        <w:widowControl w:val="0"/>
        <w:spacing w:after="0"/>
      </w:pPr>
    </w:p>
    <w:p w14:paraId="29914C50" w14:textId="77777777" w:rsidR="00DD4E43" w:rsidRPr="00425178" w:rsidRDefault="00DD4E43" w:rsidP="00DD4E43">
      <w:pPr>
        <w:widowControl w:val="0"/>
        <w:spacing w:after="0"/>
      </w:pPr>
      <w:r w:rsidRPr="00425178">
        <w:t>6.10</w:t>
      </w:r>
      <w:r w:rsidRPr="00425178">
        <w:tab/>
      </w:r>
      <w:r w:rsidRPr="00425178">
        <w:rPr>
          <w:u w:val="single"/>
        </w:rPr>
        <w:t>Entire Agreement</w:t>
      </w:r>
      <w:r w:rsidRPr="00425178">
        <w:t xml:space="preserve">. </w:t>
      </w:r>
    </w:p>
    <w:p w14:paraId="46296D95" w14:textId="77777777" w:rsidR="00DD4E43" w:rsidRPr="00425178" w:rsidRDefault="00DD4E43" w:rsidP="00DD4E43">
      <w:pPr>
        <w:widowControl w:val="0"/>
        <w:spacing w:after="0"/>
      </w:pPr>
    </w:p>
    <w:p w14:paraId="3E5DC2C6" w14:textId="77777777" w:rsidR="00DD4E43" w:rsidRPr="00425178" w:rsidRDefault="00DD4E43" w:rsidP="00DD4E43">
      <w:pPr>
        <w:widowControl w:val="0"/>
        <w:spacing w:after="0"/>
      </w:pPr>
      <w:r w:rsidRPr="00425178">
        <w:t>This Consent and any agreement, document or instrument attached hereto or referred to herein integrate all the terms and conditions mentioned herein or incidental hereto and supersede all oral negotiations and prior writings in respect to the subject matter hereof. In the event of any conflict between the terms, conditions and provisions of this Consent and any such agreement, document or instrument, the terms, conditions and provisions of this Consent shall prevail.</w:t>
      </w:r>
    </w:p>
    <w:p w14:paraId="2E05F102" w14:textId="77777777" w:rsidR="00DD4E43" w:rsidRPr="00425178" w:rsidRDefault="00DD4E43" w:rsidP="00DD4E43">
      <w:pPr>
        <w:widowControl w:val="0"/>
        <w:spacing w:after="0"/>
      </w:pPr>
    </w:p>
    <w:p w14:paraId="34FBB3B7" w14:textId="77777777" w:rsidR="00DD4E43" w:rsidRPr="00425178" w:rsidRDefault="00DD4E43" w:rsidP="00DD4E43">
      <w:pPr>
        <w:widowControl w:val="0"/>
        <w:spacing w:after="0"/>
      </w:pPr>
      <w:r w:rsidRPr="00425178">
        <w:t>6.11</w:t>
      </w:r>
      <w:r w:rsidRPr="00425178">
        <w:tab/>
      </w:r>
      <w:r w:rsidRPr="00425178">
        <w:rPr>
          <w:u w:val="single"/>
        </w:rPr>
        <w:t>Effective Date</w:t>
      </w:r>
      <w:r w:rsidRPr="00425178">
        <w:t xml:space="preserve">. </w:t>
      </w:r>
    </w:p>
    <w:p w14:paraId="372A5317" w14:textId="77777777" w:rsidR="00DD4E43" w:rsidRPr="00425178" w:rsidRDefault="00DD4E43" w:rsidP="00DD4E43">
      <w:pPr>
        <w:widowControl w:val="0"/>
        <w:spacing w:after="0"/>
      </w:pPr>
    </w:p>
    <w:p w14:paraId="6DC26A80" w14:textId="77777777" w:rsidR="00DD4E43" w:rsidRPr="00425178" w:rsidRDefault="00DD4E43" w:rsidP="00DD4E43">
      <w:pPr>
        <w:widowControl w:val="0"/>
        <w:spacing w:after="0"/>
      </w:pPr>
      <w:r w:rsidRPr="00425178">
        <w:t>This Consent shall be deemed effective as of the date upon which the last Party executes this Consent.</w:t>
      </w:r>
    </w:p>
    <w:p w14:paraId="567CA5D6" w14:textId="77777777" w:rsidR="00DD4E43" w:rsidRPr="00425178" w:rsidRDefault="00DD4E43" w:rsidP="00DD4E43">
      <w:pPr>
        <w:widowControl w:val="0"/>
        <w:spacing w:after="0"/>
      </w:pPr>
    </w:p>
    <w:p w14:paraId="06F2EDF8" w14:textId="77777777" w:rsidR="00DD4E43" w:rsidRPr="00425178" w:rsidRDefault="00DD4E43" w:rsidP="00DD4E43">
      <w:pPr>
        <w:widowControl w:val="0"/>
        <w:spacing w:after="0"/>
      </w:pPr>
      <w:r w:rsidRPr="00425178">
        <w:t>6.12</w:t>
      </w:r>
      <w:r w:rsidRPr="00425178">
        <w:tab/>
      </w:r>
      <w:r w:rsidRPr="00425178">
        <w:rPr>
          <w:u w:val="single"/>
        </w:rPr>
        <w:t>Counterparts; Electronic Signatures</w:t>
      </w:r>
      <w:r w:rsidRPr="00425178">
        <w:t xml:space="preserve">. </w:t>
      </w:r>
    </w:p>
    <w:p w14:paraId="309FF3CC" w14:textId="77777777" w:rsidR="00DD4E43" w:rsidRPr="00425178" w:rsidRDefault="00DD4E43" w:rsidP="00DD4E43">
      <w:pPr>
        <w:widowControl w:val="0"/>
        <w:spacing w:after="0"/>
      </w:pPr>
    </w:p>
    <w:p w14:paraId="0358B580" w14:textId="77777777" w:rsidR="00DD4E43" w:rsidRPr="00425178" w:rsidRDefault="00DD4E43" w:rsidP="00DD4E43">
      <w:pPr>
        <w:widowControl w:val="0"/>
        <w:spacing w:after="0"/>
      </w:pPr>
      <w:r w:rsidRPr="00425178">
        <w:t>This Consent may be executed in one or more counterparts, each of which will be deemed to be an original of this Consent and all of which, when taken together, will be deemed to constitute one and the same agreement. 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7D37A18C" w14:textId="77777777" w:rsidR="00DD4E43" w:rsidRPr="00425178" w:rsidRDefault="00DD4E43" w:rsidP="00DD4E43">
      <w:pPr>
        <w:widowControl w:val="0"/>
        <w:spacing w:after="0"/>
      </w:pPr>
      <w:r w:rsidRPr="00425178">
        <w:t xml:space="preserve">  </w:t>
      </w:r>
    </w:p>
    <w:p w14:paraId="5A3D84F3" w14:textId="77777777" w:rsidR="00DD4E43" w:rsidRPr="00425178" w:rsidRDefault="00DD4E43" w:rsidP="00DD4E43">
      <w:pPr>
        <w:widowControl w:val="0"/>
        <w:spacing w:after="0"/>
        <w:jc w:val="center"/>
        <w:rPr>
          <w:i/>
          <w:sz w:val="20"/>
        </w:rPr>
      </w:pPr>
      <w:r w:rsidRPr="00425178">
        <w:rPr>
          <w:i/>
          <w:sz w:val="20"/>
        </w:rPr>
        <w:t>[Remainder of Page Left Intentionally Blank.]</w:t>
      </w:r>
    </w:p>
    <w:p w14:paraId="05223952" w14:textId="77777777" w:rsidR="00DD4E43" w:rsidRPr="00425178" w:rsidRDefault="00DD4E43" w:rsidP="00DD4E43">
      <w:pPr>
        <w:widowControl w:val="0"/>
        <w:spacing w:after="0"/>
      </w:pPr>
    </w:p>
    <w:p w14:paraId="0CFDA681" w14:textId="77777777" w:rsidR="00DD4E43" w:rsidRPr="00425178" w:rsidRDefault="00DD4E43" w:rsidP="00DD4E43">
      <w:pPr>
        <w:widowControl w:val="0"/>
        <w:spacing w:after="0"/>
      </w:pPr>
      <w:r w:rsidRPr="00425178">
        <w:lastRenderedPageBreak/>
        <w:br w:type="page"/>
      </w:r>
    </w:p>
    <w:p w14:paraId="79E960AD" w14:textId="77777777" w:rsidR="00DD4E43" w:rsidRPr="00425178" w:rsidRDefault="00DD4E43" w:rsidP="00DD4E43">
      <w:pPr>
        <w:widowControl w:val="0"/>
        <w:spacing w:after="0"/>
      </w:pPr>
    </w:p>
    <w:p w14:paraId="092EC76F" w14:textId="77777777" w:rsidR="00DD4E43" w:rsidRPr="00425178" w:rsidRDefault="00DD4E43" w:rsidP="00DD4E43">
      <w:pPr>
        <w:widowControl w:val="0"/>
        <w:spacing w:after="0"/>
      </w:pPr>
    </w:p>
    <w:p w14:paraId="62A5A718" w14:textId="77777777" w:rsidR="00DD4E43" w:rsidRPr="00425178" w:rsidRDefault="00DD4E43" w:rsidP="00DD4E43">
      <w:pPr>
        <w:widowControl w:val="0"/>
        <w:spacing w:after="0"/>
      </w:pPr>
      <w:r w:rsidRPr="00425178">
        <w:t>IN WITNESS WHEREOF, the Parties hereto have caused this Consent to be duly executed and delivered by their duly authorized officers on the dates indicated below their respective signatures.</w:t>
      </w:r>
    </w:p>
    <w:p w14:paraId="08081F49" w14:textId="77777777" w:rsidR="00DD4E43" w:rsidRPr="00425178" w:rsidRDefault="00DD4E43" w:rsidP="00DD4E43">
      <w:pPr>
        <w:widowControl w:val="0"/>
        <w:spacing w:after="0"/>
      </w:pPr>
    </w:p>
    <w:tbl>
      <w:tblPr>
        <w:tblStyle w:val="TableGrid1"/>
        <w:tblW w:w="0" w:type="auto"/>
        <w:tblLook w:val="04A0" w:firstRow="1" w:lastRow="0" w:firstColumn="1" w:lastColumn="0" w:noHBand="0" w:noVBand="1"/>
      </w:tblPr>
      <w:tblGrid>
        <w:gridCol w:w="4417"/>
        <w:gridCol w:w="357"/>
        <w:gridCol w:w="4576"/>
      </w:tblGrid>
      <w:tr w:rsidR="00DD4E43" w:rsidRPr="00425178" w14:paraId="70A5243C" w14:textId="77777777" w:rsidTr="002B23E6">
        <w:tc>
          <w:tcPr>
            <w:tcW w:w="4428" w:type="dxa"/>
          </w:tcPr>
          <w:p w14:paraId="3AA4E5A6" w14:textId="77777777" w:rsidR="00DD4E43" w:rsidRPr="000F628D" w:rsidRDefault="00DD4E43" w:rsidP="002B23E6">
            <w:pPr>
              <w:widowControl w:val="0"/>
              <w:rPr>
                <w:i/>
                <w:color w:val="0000FF"/>
              </w:rPr>
            </w:pPr>
            <w:r w:rsidRPr="000F628D">
              <w:rPr>
                <w:i/>
                <w:color w:val="0000FF"/>
              </w:rPr>
              <w:t>[NAME OF PROJECT COMPANY],</w:t>
            </w:r>
          </w:p>
          <w:p w14:paraId="630AD8A2" w14:textId="77777777" w:rsidR="00DD4E43" w:rsidRPr="00425178" w:rsidRDefault="00DD4E43" w:rsidP="002B23E6">
            <w:pPr>
              <w:widowControl w:val="0"/>
            </w:pPr>
            <w:r w:rsidRPr="000F628D">
              <w:rPr>
                <w:i/>
                <w:color w:val="0000FF"/>
              </w:rPr>
              <w:t>[Legal Status of Project Company]</w:t>
            </w:r>
            <w:r w:rsidRPr="00425178">
              <w:t>.</w:t>
            </w:r>
          </w:p>
          <w:p w14:paraId="3225BC0F" w14:textId="77777777" w:rsidR="00DD4E43" w:rsidRPr="00425178" w:rsidRDefault="00DD4E43" w:rsidP="002B23E6">
            <w:pPr>
              <w:widowControl w:val="0"/>
            </w:pPr>
          </w:p>
        </w:tc>
        <w:tc>
          <w:tcPr>
            <w:tcW w:w="450" w:type="dxa"/>
          </w:tcPr>
          <w:p w14:paraId="6CAC52EE" w14:textId="77777777" w:rsidR="00DD4E43" w:rsidRPr="00425178" w:rsidRDefault="00DD4E43" w:rsidP="002B23E6">
            <w:pPr>
              <w:widowControl w:val="0"/>
            </w:pPr>
          </w:p>
        </w:tc>
        <w:tc>
          <w:tcPr>
            <w:tcW w:w="4698" w:type="dxa"/>
          </w:tcPr>
          <w:p w14:paraId="29F6593E" w14:textId="77777777" w:rsidR="00DD4E43" w:rsidRPr="00425178" w:rsidRDefault="00DD4E43" w:rsidP="002B23E6">
            <w:pPr>
              <w:widowControl w:val="0"/>
            </w:pPr>
            <w:r w:rsidRPr="00425178">
              <w:t>SOUTHERN CALIFORNIA EDISON COMPANY,</w:t>
            </w:r>
          </w:p>
          <w:p w14:paraId="6ACA5ED6" w14:textId="77777777" w:rsidR="00DD4E43" w:rsidRPr="00425178" w:rsidRDefault="00DD4E43" w:rsidP="002B23E6">
            <w:pPr>
              <w:widowControl w:val="0"/>
            </w:pPr>
            <w:r w:rsidRPr="00425178">
              <w:t>a California corporation.</w:t>
            </w:r>
          </w:p>
        </w:tc>
      </w:tr>
      <w:tr w:rsidR="00DD4E43" w:rsidRPr="00425178" w14:paraId="15FC5667" w14:textId="77777777" w:rsidTr="002B23E6">
        <w:tc>
          <w:tcPr>
            <w:tcW w:w="4428" w:type="dxa"/>
          </w:tcPr>
          <w:p w14:paraId="0A6C129A" w14:textId="77777777" w:rsidR="00DD4E43" w:rsidRPr="00425178" w:rsidRDefault="00DD4E43" w:rsidP="002B23E6">
            <w:pPr>
              <w:widowControl w:val="0"/>
            </w:pPr>
            <w:r w:rsidRPr="00425178">
              <w:rPr>
                <w:b/>
              </w:rPr>
              <w:t xml:space="preserve">By: </w:t>
            </w:r>
          </w:p>
          <w:p w14:paraId="6F125AB6" w14:textId="77777777" w:rsidR="00DD4E43" w:rsidRPr="00425178" w:rsidRDefault="00DD4E43" w:rsidP="002B23E6">
            <w:pPr>
              <w:widowControl w:val="0"/>
            </w:pPr>
          </w:p>
          <w:p w14:paraId="2E2EDDDF" w14:textId="77777777" w:rsidR="00DD4E43" w:rsidRPr="00425178" w:rsidRDefault="00DD4E43" w:rsidP="002B23E6">
            <w:pPr>
              <w:widowControl w:val="0"/>
            </w:pPr>
            <w:r w:rsidRPr="00425178">
              <w:t>___________________________________</w:t>
            </w:r>
          </w:p>
          <w:p w14:paraId="57028143" w14:textId="77777777" w:rsidR="00DD4E43" w:rsidRPr="000F628D" w:rsidRDefault="00DD4E43" w:rsidP="002B23E6">
            <w:pPr>
              <w:widowControl w:val="0"/>
              <w:rPr>
                <w:i/>
                <w:color w:val="0000FF"/>
              </w:rPr>
            </w:pPr>
            <w:r w:rsidRPr="000F628D">
              <w:rPr>
                <w:i/>
                <w:color w:val="0000FF"/>
              </w:rPr>
              <w:t>[Name]</w:t>
            </w:r>
          </w:p>
          <w:p w14:paraId="1625CB99" w14:textId="77777777" w:rsidR="00DD4E43" w:rsidRPr="000F628D" w:rsidRDefault="00DD4E43" w:rsidP="002B23E6">
            <w:pPr>
              <w:widowControl w:val="0"/>
              <w:rPr>
                <w:i/>
                <w:color w:val="0000FF"/>
              </w:rPr>
            </w:pPr>
            <w:r w:rsidRPr="000F628D">
              <w:rPr>
                <w:i/>
                <w:color w:val="0000FF"/>
              </w:rPr>
              <w:t>[Title]</w:t>
            </w:r>
          </w:p>
          <w:p w14:paraId="43006168" w14:textId="77777777" w:rsidR="00DD4E43" w:rsidRPr="00425178" w:rsidRDefault="00DD4E43" w:rsidP="002B23E6">
            <w:pPr>
              <w:widowControl w:val="0"/>
            </w:pPr>
          </w:p>
          <w:p w14:paraId="00A5AECC" w14:textId="77777777" w:rsidR="00DD4E43" w:rsidRPr="00425178" w:rsidRDefault="00DD4E43" w:rsidP="002B23E6">
            <w:pPr>
              <w:widowControl w:val="0"/>
            </w:pPr>
            <w:r w:rsidRPr="00425178">
              <w:t>Date: ___________________________</w:t>
            </w:r>
          </w:p>
          <w:p w14:paraId="6F2F7DAE" w14:textId="77777777" w:rsidR="00DD4E43" w:rsidRPr="00425178" w:rsidRDefault="00DD4E43" w:rsidP="002B23E6">
            <w:pPr>
              <w:widowControl w:val="0"/>
            </w:pPr>
          </w:p>
        </w:tc>
        <w:tc>
          <w:tcPr>
            <w:tcW w:w="450" w:type="dxa"/>
          </w:tcPr>
          <w:p w14:paraId="0BF5778C" w14:textId="77777777" w:rsidR="00DD4E43" w:rsidRPr="00425178" w:rsidRDefault="00DD4E43" w:rsidP="002B23E6">
            <w:pPr>
              <w:widowControl w:val="0"/>
            </w:pPr>
          </w:p>
        </w:tc>
        <w:tc>
          <w:tcPr>
            <w:tcW w:w="4698" w:type="dxa"/>
          </w:tcPr>
          <w:p w14:paraId="62F7F41F" w14:textId="77777777" w:rsidR="00DD4E43" w:rsidRPr="00425178" w:rsidRDefault="00DD4E43" w:rsidP="002B23E6">
            <w:pPr>
              <w:widowControl w:val="0"/>
            </w:pPr>
            <w:r w:rsidRPr="00425178">
              <w:rPr>
                <w:b/>
              </w:rPr>
              <w:t xml:space="preserve">By: </w:t>
            </w:r>
          </w:p>
          <w:p w14:paraId="5D5D474A" w14:textId="77777777" w:rsidR="00DD4E43" w:rsidRPr="00425178" w:rsidRDefault="00DD4E43" w:rsidP="002B23E6">
            <w:pPr>
              <w:widowControl w:val="0"/>
            </w:pPr>
          </w:p>
          <w:p w14:paraId="5E84CFA7" w14:textId="77777777" w:rsidR="00DD4E43" w:rsidRPr="00425178" w:rsidRDefault="00DD4E43" w:rsidP="002B23E6">
            <w:pPr>
              <w:widowControl w:val="0"/>
            </w:pPr>
            <w:r w:rsidRPr="00425178">
              <w:t>___________________________________</w:t>
            </w:r>
          </w:p>
          <w:p w14:paraId="281F177B" w14:textId="77777777" w:rsidR="00DD4E43" w:rsidRPr="000F628D" w:rsidRDefault="00DD4E43" w:rsidP="002B23E6">
            <w:pPr>
              <w:widowControl w:val="0"/>
              <w:rPr>
                <w:i/>
                <w:color w:val="0000FF"/>
              </w:rPr>
            </w:pPr>
            <w:r w:rsidRPr="000F628D">
              <w:rPr>
                <w:i/>
                <w:color w:val="0000FF"/>
              </w:rPr>
              <w:t>[Name]</w:t>
            </w:r>
          </w:p>
          <w:p w14:paraId="4BD48D0B" w14:textId="77777777" w:rsidR="00DD4E43" w:rsidRPr="000F628D" w:rsidRDefault="00DD4E43" w:rsidP="002B23E6">
            <w:pPr>
              <w:widowControl w:val="0"/>
              <w:rPr>
                <w:i/>
                <w:color w:val="0000FF"/>
              </w:rPr>
            </w:pPr>
            <w:r w:rsidRPr="000F628D">
              <w:rPr>
                <w:i/>
                <w:color w:val="0000FF"/>
              </w:rPr>
              <w:t>[Title]</w:t>
            </w:r>
          </w:p>
          <w:p w14:paraId="3433C426" w14:textId="77777777" w:rsidR="00DD4E43" w:rsidRPr="00425178" w:rsidRDefault="00DD4E43" w:rsidP="002B23E6">
            <w:pPr>
              <w:widowControl w:val="0"/>
            </w:pPr>
          </w:p>
          <w:p w14:paraId="40F8C7E3" w14:textId="77777777" w:rsidR="00DD4E43" w:rsidRPr="00425178" w:rsidRDefault="00DD4E43" w:rsidP="002B23E6">
            <w:pPr>
              <w:widowControl w:val="0"/>
            </w:pPr>
            <w:r w:rsidRPr="00425178">
              <w:t>Date: ___________________________</w:t>
            </w:r>
          </w:p>
          <w:p w14:paraId="23192064" w14:textId="77777777" w:rsidR="00DD4E43" w:rsidRPr="00425178" w:rsidRDefault="00DD4E43" w:rsidP="002B23E6">
            <w:pPr>
              <w:widowControl w:val="0"/>
            </w:pPr>
          </w:p>
        </w:tc>
      </w:tr>
      <w:tr w:rsidR="00DD4E43" w:rsidRPr="00425178" w14:paraId="0F77605A" w14:textId="77777777" w:rsidTr="002B23E6">
        <w:tc>
          <w:tcPr>
            <w:tcW w:w="4428" w:type="dxa"/>
          </w:tcPr>
          <w:p w14:paraId="0C8B5821" w14:textId="77777777" w:rsidR="00DD4E43" w:rsidRPr="00425178" w:rsidRDefault="00DD4E43" w:rsidP="002B23E6">
            <w:pPr>
              <w:widowControl w:val="0"/>
              <w:rPr>
                <w:b/>
              </w:rPr>
            </w:pPr>
          </w:p>
        </w:tc>
        <w:tc>
          <w:tcPr>
            <w:tcW w:w="450" w:type="dxa"/>
          </w:tcPr>
          <w:p w14:paraId="58C0B1FE" w14:textId="77777777" w:rsidR="00DD4E43" w:rsidRPr="00425178" w:rsidRDefault="00DD4E43" w:rsidP="002B23E6">
            <w:pPr>
              <w:widowControl w:val="0"/>
            </w:pPr>
          </w:p>
        </w:tc>
        <w:tc>
          <w:tcPr>
            <w:tcW w:w="4698" w:type="dxa"/>
          </w:tcPr>
          <w:p w14:paraId="73794C77" w14:textId="77777777" w:rsidR="00DD4E43" w:rsidRPr="00425178" w:rsidRDefault="00DD4E43" w:rsidP="002B23E6">
            <w:pPr>
              <w:widowControl w:val="0"/>
              <w:rPr>
                <w:b/>
              </w:rPr>
            </w:pPr>
          </w:p>
        </w:tc>
      </w:tr>
      <w:tr w:rsidR="00DD4E43" w:rsidRPr="00425178" w14:paraId="1548B6C8" w14:textId="77777777" w:rsidTr="002B23E6">
        <w:tc>
          <w:tcPr>
            <w:tcW w:w="4428" w:type="dxa"/>
          </w:tcPr>
          <w:p w14:paraId="71B81E8E" w14:textId="77777777" w:rsidR="00DD4E43" w:rsidRPr="000F628D" w:rsidRDefault="00DD4E43" w:rsidP="002B23E6">
            <w:pPr>
              <w:widowControl w:val="0"/>
              <w:rPr>
                <w:i/>
                <w:color w:val="0000FF"/>
              </w:rPr>
            </w:pPr>
            <w:r w:rsidRPr="000F628D">
              <w:rPr>
                <w:i/>
                <w:color w:val="0000FF"/>
              </w:rPr>
              <w:t>[NAME OF COLLATERAL AGENT],</w:t>
            </w:r>
          </w:p>
          <w:p w14:paraId="3F7920D3" w14:textId="77777777" w:rsidR="00DD4E43" w:rsidRPr="00425178" w:rsidRDefault="00DD4E43" w:rsidP="002B23E6">
            <w:pPr>
              <w:widowControl w:val="0"/>
              <w:rPr>
                <w:i/>
                <w:color w:val="00B0F0"/>
              </w:rPr>
            </w:pPr>
            <w:r w:rsidRPr="000F628D">
              <w:rPr>
                <w:i/>
                <w:color w:val="0000FF"/>
              </w:rPr>
              <w:t>[Legal Status of Collateral Agent]</w:t>
            </w:r>
            <w:r w:rsidRPr="000F628D">
              <w:rPr>
                <w:i/>
              </w:rPr>
              <w:t>.</w:t>
            </w:r>
          </w:p>
          <w:p w14:paraId="24ED2694" w14:textId="77777777" w:rsidR="00DD4E43" w:rsidRPr="00425178" w:rsidRDefault="00DD4E43" w:rsidP="002B23E6">
            <w:pPr>
              <w:widowControl w:val="0"/>
            </w:pPr>
            <w:r w:rsidRPr="00425178">
              <w:tab/>
            </w:r>
            <w:r w:rsidRPr="00425178">
              <w:tab/>
            </w:r>
          </w:p>
          <w:p w14:paraId="38EDD322" w14:textId="77777777" w:rsidR="00DD4E43" w:rsidRPr="00425178" w:rsidRDefault="00DD4E43" w:rsidP="002B23E6">
            <w:pPr>
              <w:widowControl w:val="0"/>
            </w:pPr>
            <w:r w:rsidRPr="00425178">
              <w:t xml:space="preserve">By:  </w:t>
            </w:r>
          </w:p>
          <w:p w14:paraId="16C99140" w14:textId="77777777" w:rsidR="00DD4E43" w:rsidRPr="00425178" w:rsidRDefault="00DD4E43" w:rsidP="002B23E6">
            <w:pPr>
              <w:widowControl w:val="0"/>
            </w:pPr>
            <w:r w:rsidRPr="00425178">
              <w:t>________________________________</w:t>
            </w:r>
          </w:p>
          <w:p w14:paraId="4DD60C2E" w14:textId="77777777" w:rsidR="00DD4E43" w:rsidRPr="000F628D" w:rsidRDefault="00DD4E43" w:rsidP="002B23E6">
            <w:pPr>
              <w:widowControl w:val="0"/>
              <w:rPr>
                <w:i/>
                <w:color w:val="0000FF"/>
              </w:rPr>
            </w:pPr>
            <w:r w:rsidRPr="000F628D">
              <w:rPr>
                <w:i/>
                <w:color w:val="0000FF"/>
              </w:rPr>
              <w:lastRenderedPageBreak/>
              <w:t>[Name]</w:t>
            </w:r>
          </w:p>
          <w:p w14:paraId="279E28F0" w14:textId="77777777" w:rsidR="00DD4E43" w:rsidRPr="000F628D" w:rsidRDefault="00DD4E43" w:rsidP="002B23E6">
            <w:pPr>
              <w:widowControl w:val="0"/>
              <w:rPr>
                <w:i/>
                <w:color w:val="0000FF"/>
              </w:rPr>
            </w:pPr>
            <w:r w:rsidRPr="000F628D">
              <w:rPr>
                <w:i/>
                <w:color w:val="0000FF"/>
              </w:rPr>
              <w:t>[Title]</w:t>
            </w:r>
          </w:p>
          <w:p w14:paraId="79954C10" w14:textId="77777777" w:rsidR="00DD4E43" w:rsidRPr="00425178" w:rsidRDefault="00DD4E43" w:rsidP="002B23E6">
            <w:pPr>
              <w:widowControl w:val="0"/>
            </w:pPr>
          </w:p>
          <w:p w14:paraId="6F93E996" w14:textId="77777777" w:rsidR="00DD4E43" w:rsidRPr="00425178" w:rsidRDefault="00DD4E43" w:rsidP="002B23E6">
            <w:pPr>
              <w:widowControl w:val="0"/>
            </w:pPr>
          </w:p>
          <w:p w14:paraId="18750F5D" w14:textId="77777777" w:rsidR="00DD4E43" w:rsidRPr="00425178" w:rsidRDefault="00DD4E43" w:rsidP="002B23E6">
            <w:pPr>
              <w:widowControl w:val="0"/>
            </w:pPr>
            <w:r w:rsidRPr="00425178">
              <w:t>Date: ___________________________</w:t>
            </w:r>
          </w:p>
          <w:p w14:paraId="5DDB1D9A" w14:textId="77777777" w:rsidR="00DD4E43" w:rsidRPr="00425178" w:rsidRDefault="00DD4E43" w:rsidP="002B23E6">
            <w:pPr>
              <w:widowControl w:val="0"/>
              <w:rPr>
                <w:b/>
              </w:rPr>
            </w:pPr>
          </w:p>
        </w:tc>
        <w:tc>
          <w:tcPr>
            <w:tcW w:w="450" w:type="dxa"/>
          </w:tcPr>
          <w:p w14:paraId="3A0B8D57" w14:textId="77777777" w:rsidR="00DD4E43" w:rsidRPr="00425178" w:rsidRDefault="00DD4E43" w:rsidP="002B23E6">
            <w:pPr>
              <w:widowControl w:val="0"/>
            </w:pPr>
          </w:p>
        </w:tc>
        <w:tc>
          <w:tcPr>
            <w:tcW w:w="4698" w:type="dxa"/>
          </w:tcPr>
          <w:p w14:paraId="683A07C3" w14:textId="77777777" w:rsidR="00DD4E43" w:rsidRPr="00425178" w:rsidRDefault="00DD4E43" w:rsidP="002B23E6">
            <w:pPr>
              <w:widowControl w:val="0"/>
              <w:rPr>
                <w:b/>
              </w:rPr>
            </w:pPr>
          </w:p>
        </w:tc>
      </w:tr>
    </w:tbl>
    <w:p w14:paraId="2198E290" w14:textId="77777777" w:rsidR="00DD4E43" w:rsidRPr="00425178" w:rsidRDefault="00DD4E43" w:rsidP="00DD4E43">
      <w:pPr>
        <w:widowControl w:val="0"/>
        <w:spacing w:after="0"/>
      </w:pPr>
    </w:p>
    <w:p w14:paraId="013861DE" w14:textId="77777777" w:rsidR="00DD4E43" w:rsidRPr="00425178" w:rsidRDefault="00DD4E43" w:rsidP="00DD4E43">
      <w:pPr>
        <w:widowControl w:val="0"/>
        <w:spacing w:after="0"/>
      </w:pPr>
    </w:p>
    <w:p w14:paraId="6B0F33EC" w14:textId="77777777" w:rsidR="00DD4E43" w:rsidRPr="00425178" w:rsidRDefault="00DD4E43" w:rsidP="00DD4E43">
      <w:pPr>
        <w:widowControl w:val="0"/>
        <w:spacing w:after="0"/>
      </w:pPr>
    </w:p>
    <w:p w14:paraId="4147E05E" w14:textId="77777777" w:rsidR="00DD4E43" w:rsidRPr="00425178" w:rsidRDefault="00DD4E43" w:rsidP="00DD4E43">
      <w:pPr>
        <w:widowControl w:val="0"/>
        <w:spacing w:after="0"/>
      </w:pPr>
    </w:p>
    <w:p w14:paraId="7D775049" w14:textId="77777777" w:rsidR="00DD4E43" w:rsidRPr="00425178" w:rsidRDefault="00DD4E43" w:rsidP="00DD4E43">
      <w:pPr>
        <w:widowControl w:val="0"/>
        <w:spacing w:after="0"/>
      </w:pPr>
    </w:p>
    <w:p w14:paraId="654FEE10" w14:textId="77777777" w:rsidR="00DD4E43" w:rsidRPr="00425178" w:rsidRDefault="00DD4E43" w:rsidP="00DD4E43">
      <w:pPr>
        <w:widowControl w:val="0"/>
        <w:spacing w:after="0"/>
      </w:pPr>
    </w:p>
    <w:p w14:paraId="466CCB3B" w14:textId="77777777" w:rsidR="00DD4E43" w:rsidRPr="00425178" w:rsidRDefault="00DD4E43" w:rsidP="00DD4E43">
      <w:pPr>
        <w:widowControl w:val="0"/>
        <w:spacing w:after="0"/>
      </w:pPr>
    </w:p>
    <w:p w14:paraId="56BD7418" w14:textId="77777777" w:rsidR="00DD4E43" w:rsidRPr="00425178" w:rsidRDefault="00DD4E43" w:rsidP="00DD4E43">
      <w:pPr>
        <w:widowControl w:val="0"/>
        <w:spacing w:after="0"/>
      </w:pPr>
    </w:p>
    <w:p w14:paraId="3D1B9882" w14:textId="77777777" w:rsidR="00DD4E43" w:rsidRPr="00425178" w:rsidRDefault="00DD4E43" w:rsidP="00DD4E43">
      <w:pPr>
        <w:widowControl w:val="0"/>
        <w:spacing w:after="0"/>
      </w:pPr>
    </w:p>
    <w:p w14:paraId="66B67A42" w14:textId="77777777" w:rsidR="00DD4E43" w:rsidRPr="00425178" w:rsidRDefault="00DD4E43" w:rsidP="00DD4E43">
      <w:pPr>
        <w:widowControl w:val="0"/>
        <w:spacing w:after="0"/>
      </w:pPr>
    </w:p>
    <w:p w14:paraId="017D1750" w14:textId="77777777" w:rsidR="00DD4E43" w:rsidRPr="00425178" w:rsidRDefault="00DD4E43" w:rsidP="00DD4E43">
      <w:pPr>
        <w:widowControl w:val="0"/>
        <w:spacing w:after="0"/>
      </w:pPr>
    </w:p>
    <w:p w14:paraId="36F409AA" w14:textId="77777777" w:rsidR="00DD4E43" w:rsidRPr="00425178" w:rsidRDefault="00DD4E43" w:rsidP="00DD4E43">
      <w:pPr>
        <w:widowControl w:val="0"/>
        <w:spacing w:after="0"/>
      </w:pPr>
    </w:p>
    <w:p w14:paraId="4B23A20A" w14:textId="77777777" w:rsidR="00DD4E43" w:rsidRPr="00425178" w:rsidRDefault="00DD4E43" w:rsidP="00DD4E43">
      <w:pPr>
        <w:widowControl w:val="0"/>
        <w:spacing w:after="0"/>
      </w:pPr>
    </w:p>
    <w:p w14:paraId="310C326D" w14:textId="77777777" w:rsidR="00DD4E43" w:rsidRPr="00425178" w:rsidRDefault="00DD4E43" w:rsidP="00DD4E43">
      <w:pPr>
        <w:widowControl w:val="0"/>
        <w:spacing w:after="0"/>
      </w:pPr>
    </w:p>
    <w:p w14:paraId="3BF73C71" w14:textId="77777777" w:rsidR="00DD4E43" w:rsidRPr="00425178" w:rsidRDefault="00DD4E43" w:rsidP="00DD4E43">
      <w:pPr>
        <w:widowControl w:val="0"/>
        <w:spacing w:after="0"/>
      </w:pPr>
    </w:p>
    <w:p w14:paraId="16D68169" w14:textId="77777777" w:rsidR="00DD4E43" w:rsidRPr="00425178" w:rsidRDefault="00DD4E43" w:rsidP="00DD4E43">
      <w:pPr>
        <w:widowControl w:val="0"/>
        <w:spacing w:after="0"/>
      </w:pPr>
    </w:p>
    <w:p w14:paraId="3E2F6220" w14:textId="77777777" w:rsidR="00DD4E43" w:rsidRPr="00425178" w:rsidRDefault="00DD4E43" w:rsidP="00DD4E43">
      <w:pPr>
        <w:widowControl w:val="0"/>
        <w:spacing w:after="0"/>
        <w:jc w:val="center"/>
        <w:rPr>
          <w:b/>
        </w:rPr>
      </w:pPr>
      <w:r w:rsidRPr="00425178">
        <w:rPr>
          <w:b/>
        </w:rPr>
        <w:br w:type="page"/>
      </w:r>
    </w:p>
    <w:p w14:paraId="3AD43C51" w14:textId="77777777" w:rsidR="00DD4E43" w:rsidRPr="00425178" w:rsidRDefault="00DD4E43" w:rsidP="00DD4E43">
      <w:pPr>
        <w:widowControl w:val="0"/>
        <w:spacing w:after="0"/>
        <w:jc w:val="center"/>
        <w:rPr>
          <w:b/>
        </w:rPr>
      </w:pPr>
      <w:r w:rsidRPr="00425178">
        <w:rPr>
          <w:b/>
        </w:rPr>
        <w:lastRenderedPageBreak/>
        <w:t>SCHEDULE A</w:t>
      </w:r>
    </w:p>
    <w:p w14:paraId="7B1ACF55" w14:textId="77777777" w:rsidR="00DD4E43" w:rsidRPr="00425178" w:rsidRDefault="00DD4E43" w:rsidP="00DD4E43">
      <w:pPr>
        <w:widowControl w:val="0"/>
        <w:spacing w:after="0"/>
        <w:jc w:val="center"/>
        <w:rPr>
          <w:b/>
        </w:rPr>
      </w:pPr>
    </w:p>
    <w:p w14:paraId="4E90DCE6" w14:textId="77777777" w:rsidR="00DD4E43" w:rsidRPr="00425178" w:rsidRDefault="00DD4E43" w:rsidP="00DD4E43">
      <w:pPr>
        <w:widowControl w:val="0"/>
        <w:spacing w:after="0"/>
        <w:jc w:val="center"/>
        <w:rPr>
          <w:b/>
        </w:rPr>
      </w:pPr>
      <w:r w:rsidRPr="00425178">
        <w:t>[Describe any disclosures relevant to representations and warranties made in Section 3.4]</w:t>
      </w:r>
      <w:r w:rsidRPr="00425178">
        <w:rPr>
          <w:b/>
        </w:rPr>
        <w:br w:type="page"/>
      </w:r>
    </w:p>
    <w:p w14:paraId="2677487C" w14:textId="77777777" w:rsidR="00DD4E43" w:rsidRPr="00425178" w:rsidRDefault="00DD4E43" w:rsidP="00DD4E43">
      <w:pPr>
        <w:widowControl w:val="0"/>
        <w:spacing w:after="0"/>
        <w:jc w:val="center"/>
        <w:rPr>
          <w:b/>
        </w:rPr>
      </w:pPr>
      <w:r w:rsidRPr="00425178">
        <w:rPr>
          <w:b/>
        </w:rPr>
        <w:lastRenderedPageBreak/>
        <w:t>SCHEDULE B</w:t>
      </w:r>
    </w:p>
    <w:p w14:paraId="49248A39" w14:textId="77777777" w:rsidR="00DD4E43" w:rsidRPr="00425178" w:rsidRDefault="00DD4E43" w:rsidP="00DD4E43">
      <w:pPr>
        <w:widowControl w:val="0"/>
        <w:spacing w:after="0"/>
        <w:jc w:val="center"/>
        <w:rPr>
          <w:b/>
        </w:rPr>
      </w:pPr>
    </w:p>
    <w:p w14:paraId="19D789FF" w14:textId="77777777" w:rsidR="00DD4E43" w:rsidRPr="00425178" w:rsidRDefault="00DD4E43" w:rsidP="00DD4E43">
      <w:pPr>
        <w:widowControl w:val="0"/>
        <w:spacing w:after="0"/>
        <w:jc w:val="center"/>
      </w:pPr>
      <w:r w:rsidRPr="00425178">
        <w:t>[Describe any disclosures relevant to representations and warranties made in Section 4.4]</w:t>
      </w:r>
    </w:p>
    <w:p w14:paraId="7CD5B494" w14:textId="77777777" w:rsidR="00DD4E43" w:rsidRPr="00425178" w:rsidRDefault="00DD4E43" w:rsidP="00DD4E43">
      <w:pPr>
        <w:widowControl w:val="0"/>
        <w:tabs>
          <w:tab w:val="left" w:pos="4680"/>
          <w:tab w:val="left" w:pos="9360"/>
        </w:tabs>
        <w:rPr>
          <w:color w:val="000000"/>
        </w:rPr>
      </w:pPr>
    </w:p>
    <w:p w14:paraId="2D7D93C5" w14:textId="77777777" w:rsidR="00DD4E43" w:rsidRPr="00425178" w:rsidRDefault="00DD4E43" w:rsidP="00DD4E43">
      <w:pPr>
        <w:widowControl w:val="0"/>
        <w:tabs>
          <w:tab w:val="left" w:pos="4680"/>
          <w:tab w:val="left" w:pos="9360"/>
        </w:tabs>
        <w:rPr>
          <w:color w:val="000000"/>
          <w:u w:val="single"/>
        </w:rPr>
      </w:pPr>
    </w:p>
    <w:p w14:paraId="459AA5BD" w14:textId="77777777" w:rsidR="00DD4E43" w:rsidRDefault="00DD4E43" w:rsidP="00DD4E43">
      <w:pPr>
        <w:widowControl w:val="0"/>
        <w:spacing w:after="0"/>
        <w:jc w:val="center"/>
        <w:rPr>
          <w:b/>
        </w:rPr>
        <w:sectPr w:rsidR="00DD4E43">
          <w:footerReference w:type="default" r:id="rId55"/>
          <w:pgSz w:w="12240" w:h="15840"/>
          <w:pgMar w:top="1440" w:right="1440" w:bottom="1440" w:left="1440" w:header="720" w:footer="720" w:gutter="0"/>
          <w:pgNumType w:start="1"/>
          <w:cols w:space="720"/>
          <w:docGrid w:linePitch="360"/>
        </w:sectPr>
      </w:pPr>
    </w:p>
    <w:p w14:paraId="58D50DD7" w14:textId="4880D8A1" w:rsidR="00DD4E43" w:rsidRPr="00425178" w:rsidRDefault="00DD4E43" w:rsidP="00DD4E43">
      <w:pPr>
        <w:widowControl w:val="0"/>
        <w:spacing w:after="0"/>
        <w:jc w:val="center"/>
        <w:rPr>
          <w:b/>
        </w:rPr>
      </w:pPr>
      <w:bookmarkStart w:id="732" w:name="_Toc364783641"/>
      <w:bookmarkStart w:id="733" w:name="_Toc366241194"/>
      <w:bookmarkStart w:id="734" w:name="_Toc366249628"/>
      <w:r w:rsidRPr="00425178">
        <w:rPr>
          <w:b/>
        </w:rPr>
        <w:lastRenderedPageBreak/>
        <w:t xml:space="preserve">EXHIBIT </w:t>
      </w:r>
      <w:r>
        <w:rPr>
          <w:b/>
        </w:rPr>
        <w:t>S</w:t>
      </w:r>
    </w:p>
    <w:p w14:paraId="0080C435" w14:textId="77777777" w:rsidR="00DD4E43" w:rsidRPr="00425178" w:rsidRDefault="00DD4E43" w:rsidP="00DD4E43">
      <w:pPr>
        <w:widowControl w:val="0"/>
        <w:spacing w:before="240"/>
        <w:jc w:val="center"/>
        <w:rPr>
          <w:rFonts w:ascii="Times New Roman Bold" w:hAnsi="Times New Roman Bold"/>
          <w:b/>
          <w:caps/>
        </w:rPr>
      </w:pPr>
      <w:r w:rsidRPr="00425178">
        <w:rPr>
          <w:rFonts w:ascii="Times New Roman Bold" w:eastAsia="Times New Roman Bold" w:hAnsi="Times New Roman Bold" w:cs="Times New Roman Bold"/>
          <w:b/>
          <w:bCs/>
          <w:caps/>
          <w:color w:val="000000"/>
        </w:rPr>
        <w:t>Form of Letter of Credit</w:t>
      </w:r>
    </w:p>
    <w:p w14:paraId="66F3C339" w14:textId="77777777" w:rsidR="00DD4E43" w:rsidRPr="00425178" w:rsidRDefault="00DD4E43" w:rsidP="00DD4E43">
      <w:pPr>
        <w:widowControl w:val="0"/>
        <w:spacing w:after="0"/>
        <w:ind w:right="446"/>
        <w:rPr>
          <w:color w:val="000000"/>
        </w:rPr>
      </w:pPr>
      <w:r w:rsidRPr="00425178">
        <w:rPr>
          <w:color w:val="000000"/>
        </w:rPr>
        <w:t xml:space="preserve">IRREVOCABLE </w:t>
      </w:r>
      <w:r w:rsidRPr="00425178">
        <w:rPr>
          <w:noProof/>
          <w:color w:val="000000"/>
        </w:rPr>
        <w:t>NONTRANSFERABLE</w:t>
      </w:r>
      <w:r w:rsidRPr="00425178">
        <w:rPr>
          <w:color w:val="000000"/>
        </w:rPr>
        <w:t xml:space="preserve"> STANDBY LETTER OF CREDIT</w:t>
      </w:r>
    </w:p>
    <w:p w14:paraId="309554B9" w14:textId="77777777" w:rsidR="00DD4E43" w:rsidRPr="00425178" w:rsidRDefault="00DD4E43" w:rsidP="00DD4E43">
      <w:pPr>
        <w:widowControl w:val="0"/>
        <w:spacing w:after="0"/>
        <w:ind w:right="446"/>
        <w:rPr>
          <w:noProof/>
          <w:color w:val="000000"/>
        </w:rPr>
      </w:pPr>
    </w:p>
    <w:p w14:paraId="6BE01B8A" w14:textId="77777777" w:rsidR="00DD4E43" w:rsidRPr="00425178" w:rsidRDefault="00DD4E43" w:rsidP="00DD4E43">
      <w:pPr>
        <w:widowControl w:val="0"/>
        <w:spacing w:after="0"/>
        <w:ind w:right="446"/>
        <w:rPr>
          <w:color w:val="000000"/>
        </w:rPr>
      </w:pPr>
      <w:r w:rsidRPr="00425178">
        <w:rPr>
          <w:noProof/>
          <w:color w:val="000000"/>
        </w:rPr>
        <w:t xml:space="preserve">Bank </w:t>
      </w:r>
      <w:r w:rsidRPr="00425178">
        <w:rPr>
          <w:color w:val="000000"/>
        </w:rPr>
        <w:t>Reference Number</w:t>
      </w:r>
      <w:r w:rsidRPr="00425178">
        <w:rPr>
          <w:noProof/>
          <w:color w:val="000000"/>
        </w:rPr>
        <w:t>:__________________</w:t>
      </w:r>
    </w:p>
    <w:p w14:paraId="0F8D7146" w14:textId="77777777" w:rsidR="00DD4E43" w:rsidRPr="00425178" w:rsidRDefault="00DD4E43" w:rsidP="00DD4E43">
      <w:pPr>
        <w:widowControl w:val="0"/>
        <w:spacing w:after="0"/>
        <w:ind w:right="446"/>
        <w:rPr>
          <w:noProof/>
          <w:color w:val="000000"/>
        </w:rPr>
      </w:pPr>
    </w:p>
    <w:p w14:paraId="403F52E3" w14:textId="77777777" w:rsidR="00DD4E43" w:rsidRPr="00425178" w:rsidRDefault="00DD4E43" w:rsidP="00DD4E43">
      <w:pPr>
        <w:widowControl w:val="0"/>
        <w:spacing w:after="0"/>
        <w:ind w:right="446"/>
        <w:rPr>
          <w:color w:val="000000"/>
        </w:rPr>
      </w:pPr>
      <w:r w:rsidRPr="00425178">
        <w:rPr>
          <w:noProof/>
          <w:color w:val="000000"/>
        </w:rPr>
        <w:t>Issuance</w:t>
      </w:r>
      <w:r w:rsidRPr="00425178">
        <w:rPr>
          <w:color w:val="000000"/>
        </w:rPr>
        <w:t xml:space="preserve"> Date:</w:t>
      </w:r>
    </w:p>
    <w:p w14:paraId="585B9ABE" w14:textId="77777777" w:rsidR="00DD4E43" w:rsidRPr="00425178" w:rsidRDefault="00DD4E43" w:rsidP="00DD4E43">
      <w:pPr>
        <w:widowControl w:val="0"/>
        <w:spacing w:after="0"/>
        <w:ind w:right="446"/>
        <w:rPr>
          <w:noProof/>
          <w:color w:val="000000"/>
        </w:rPr>
      </w:pPr>
    </w:p>
    <w:p w14:paraId="4D4C416A" w14:textId="77777777" w:rsidR="00DD4E43" w:rsidRPr="00425178" w:rsidRDefault="00DD4E43" w:rsidP="00DD4E43">
      <w:pPr>
        <w:widowControl w:val="0"/>
        <w:spacing w:after="0"/>
        <w:ind w:right="446"/>
        <w:rPr>
          <w:noProof/>
          <w:color w:val="000000"/>
        </w:rPr>
      </w:pPr>
      <w:r w:rsidRPr="00425178">
        <w:rPr>
          <w:noProof/>
          <w:color w:val="000000"/>
        </w:rPr>
        <w:t>Issuing Bank:</w:t>
      </w:r>
    </w:p>
    <w:p w14:paraId="017669E9" w14:textId="77777777" w:rsidR="00DD4E43" w:rsidRPr="00425178" w:rsidRDefault="00DD4E43" w:rsidP="00DD4E43">
      <w:pPr>
        <w:widowControl w:val="0"/>
        <w:spacing w:after="0"/>
        <w:ind w:right="446"/>
        <w:rPr>
          <w:noProof/>
          <w:color w:val="000000"/>
        </w:rPr>
      </w:pPr>
      <w:r w:rsidRPr="00425178">
        <w:rPr>
          <w:noProof/>
          <w:color w:val="000000"/>
        </w:rPr>
        <w:t>[insert bank name and address]</w:t>
      </w:r>
    </w:p>
    <w:p w14:paraId="36C9C06C" w14:textId="77777777" w:rsidR="00DD4E43" w:rsidRPr="00425178" w:rsidRDefault="00DD4E43" w:rsidP="00DD4E43">
      <w:pPr>
        <w:widowControl w:val="0"/>
        <w:spacing w:after="0"/>
        <w:ind w:right="446"/>
        <w:rPr>
          <w:noProof/>
          <w:color w:val="000000"/>
        </w:rPr>
      </w:pPr>
    </w:p>
    <w:p w14:paraId="74E7D296" w14:textId="77777777" w:rsidR="00DD4E43" w:rsidRPr="00425178" w:rsidRDefault="00DD4E43" w:rsidP="00DD4E43">
      <w:pPr>
        <w:widowControl w:val="0"/>
        <w:spacing w:after="0"/>
        <w:ind w:right="446"/>
        <w:rPr>
          <w:noProof/>
          <w:color w:val="000000"/>
        </w:rPr>
      </w:pPr>
      <w:r w:rsidRPr="00425178">
        <w:rPr>
          <w:noProof/>
          <w:color w:val="000000"/>
        </w:rPr>
        <w:t>Applicant:</w:t>
      </w:r>
    </w:p>
    <w:p w14:paraId="7C86CA9C" w14:textId="77777777" w:rsidR="00DD4E43" w:rsidRPr="00425178" w:rsidRDefault="00DD4E43" w:rsidP="00DD4E43">
      <w:pPr>
        <w:widowControl w:val="0"/>
        <w:spacing w:after="0"/>
        <w:ind w:right="446"/>
        <w:rPr>
          <w:noProof/>
          <w:color w:val="000000"/>
        </w:rPr>
      </w:pPr>
      <w:r w:rsidRPr="00425178">
        <w:rPr>
          <w:noProof/>
          <w:color w:val="000000"/>
        </w:rPr>
        <w:t>[insert applicant name and address]</w:t>
      </w:r>
    </w:p>
    <w:p w14:paraId="5A17C845" w14:textId="77777777" w:rsidR="00DD4E43" w:rsidRPr="00425178" w:rsidRDefault="00DD4E43" w:rsidP="00DD4E43">
      <w:pPr>
        <w:widowControl w:val="0"/>
        <w:spacing w:after="0"/>
        <w:ind w:right="446"/>
        <w:rPr>
          <w:bCs/>
          <w:noProof/>
          <w:color w:val="000000"/>
        </w:rPr>
      </w:pPr>
    </w:p>
    <w:p w14:paraId="5D6AD3CF" w14:textId="77777777" w:rsidR="00DD4E43" w:rsidRPr="00425178" w:rsidRDefault="00DD4E43" w:rsidP="00DD4E43">
      <w:pPr>
        <w:widowControl w:val="0"/>
        <w:spacing w:after="0"/>
        <w:ind w:right="446"/>
        <w:rPr>
          <w:bCs/>
          <w:noProof/>
          <w:color w:val="000000"/>
        </w:rPr>
      </w:pPr>
      <w:r w:rsidRPr="00425178">
        <w:rPr>
          <w:bCs/>
          <w:noProof/>
          <w:color w:val="000000"/>
        </w:rPr>
        <w:t>Beneficiary:</w:t>
      </w:r>
    </w:p>
    <w:p w14:paraId="664C96BF" w14:textId="77777777" w:rsidR="00DD4E43" w:rsidRPr="00425178" w:rsidRDefault="00DD4E43" w:rsidP="00DD4E43">
      <w:pPr>
        <w:widowControl w:val="0"/>
        <w:spacing w:after="0"/>
        <w:ind w:right="446"/>
        <w:rPr>
          <w:color w:val="000000"/>
        </w:rPr>
      </w:pPr>
      <w:r w:rsidRPr="00425178">
        <w:rPr>
          <w:color w:val="000000"/>
        </w:rPr>
        <w:t>Southern California Edison Company</w:t>
      </w:r>
    </w:p>
    <w:p w14:paraId="23400278" w14:textId="77777777" w:rsidR="00DD4E43" w:rsidRPr="00425178" w:rsidRDefault="00DD4E43" w:rsidP="00DD4E43">
      <w:pPr>
        <w:widowControl w:val="0"/>
        <w:spacing w:after="0"/>
        <w:ind w:right="446"/>
        <w:rPr>
          <w:color w:val="000000"/>
        </w:rPr>
      </w:pPr>
      <w:r w:rsidRPr="00425178">
        <w:rPr>
          <w:color w:val="000000"/>
        </w:rPr>
        <w:t>2244 Walnut Grove Avenue</w:t>
      </w:r>
    </w:p>
    <w:p w14:paraId="69AB6A57" w14:textId="77777777" w:rsidR="00DD4E43" w:rsidRPr="00BF1578" w:rsidRDefault="00DD4E43" w:rsidP="00DD4E43">
      <w:pPr>
        <w:widowControl w:val="0"/>
        <w:spacing w:after="0"/>
        <w:ind w:right="446"/>
        <w:rPr>
          <w:bCs/>
          <w:noProof/>
          <w:color w:val="000000"/>
        </w:rPr>
      </w:pPr>
      <w:r w:rsidRPr="00BF1578">
        <w:rPr>
          <w:bCs/>
          <w:noProof/>
          <w:color w:val="000000"/>
        </w:rPr>
        <w:t>GO#1, Quad 2</w:t>
      </w:r>
      <w:r>
        <w:rPr>
          <w:bCs/>
          <w:noProof/>
          <w:color w:val="000000"/>
        </w:rPr>
        <w:t>A</w:t>
      </w:r>
    </w:p>
    <w:p w14:paraId="701B8702" w14:textId="77777777" w:rsidR="00DD4E43" w:rsidRPr="00E66B13" w:rsidRDefault="00DD4E43" w:rsidP="00DD4E43">
      <w:pPr>
        <w:widowControl w:val="0"/>
        <w:spacing w:after="0"/>
        <w:ind w:right="446"/>
        <w:rPr>
          <w:bCs/>
          <w:noProof/>
          <w:color w:val="000000"/>
        </w:rPr>
      </w:pPr>
      <w:r w:rsidRPr="00BF1578">
        <w:rPr>
          <w:bCs/>
          <w:noProof/>
          <w:color w:val="000000"/>
        </w:rPr>
        <w:t>Rosemead, CA 91770</w:t>
      </w:r>
    </w:p>
    <w:p w14:paraId="6B175E25" w14:textId="77777777" w:rsidR="00DD4E43" w:rsidRPr="006D5614" w:rsidRDefault="00DD4E43" w:rsidP="00DD4E43">
      <w:pPr>
        <w:widowControl w:val="0"/>
        <w:spacing w:after="0"/>
        <w:ind w:right="446"/>
        <w:rPr>
          <w:bCs/>
          <w:noProof/>
          <w:color w:val="000000"/>
        </w:rPr>
      </w:pPr>
      <w:r w:rsidRPr="006D5614">
        <w:rPr>
          <w:bCs/>
          <w:noProof/>
          <w:color w:val="000000"/>
        </w:rPr>
        <w:t>Attn:  Manager of Risk</w:t>
      </w:r>
      <w:r>
        <w:rPr>
          <w:bCs/>
          <w:noProof/>
          <w:color w:val="000000"/>
        </w:rPr>
        <w:t xml:space="preserve"> Operations</w:t>
      </w:r>
      <w:r w:rsidRPr="006D5614">
        <w:rPr>
          <w:bCs/>
          <w:noProof/>
          <w:color w:val="000000"/>
        </w:rPr>
        <w:t xml:space="preserve"> and Collateral Management</w:t>
      </w:r>
    </w:p>
    <w:p w14:paraId="7A83AC8C" w14:textId="77777777" w:rsidR="00DD4E43" w:rsidRPr="00425178" w:rsidRDefault="00DD4E43" w:rsidP="00DD4E43">
      <w:pPr>
        <w:widowControl w:val="0"/>
        <w:spacing w:after="0"/>
        <w:ind w:right="446"/>
        <w:rPr>
          <w:noProof/>
          <w:color w:val="000000"/>
        </w:rPr>
      </w:pPr>
    </w:p>
    <w:p w14:paraId="287F617C" w14:textId="77777777" w:rsidR="00DD4E43" w:rsidRPr="00425178" w:rsidRDefault="00DD4E43" w:rsidP="00DD4E43">
      <w:pPr>
        <w:widowControl w:val="0"/>
        <w:spacing w:after="0"/>
        <w:ind w:right="446"/>
        <w:rPr>
          <w:noProof/>
          <w:color w:val="000000"/>
        </w:rPr>
      </w:pPr>
      <w:r w:rsidRPr="00425178">
        <w:rPr>
          <w:noProof/>
          <w:color w:val="000000"/>
        </w:rPr>
        <w:t>Available Amount: [insert amount and spell out]</w:t>
      </w:r>
    </w:p>
    <w:p w14:paraId="39CB97CE" w14:textId="77777777" w:rsidR="00DD4E43" w:rsidRPr="00425178" w:rsidRDefault="00DD4E43" w:rsidP="00DD4E43">
      <w:pPr>
        <w:widowControl w:val="0"/>
        <w:spacing w:after="0"/>
        <w:ind w:right="446"/>
        <w:rPr>
          <w:noProof/>
          <w:color w:val="000000"/>
        </w:rPr>
      </w:pPr>
    </w:p>
    <w:p w14:paraId="528B97CC" w14:textId="77777777" w:rsidR="00DD4E43" w:rsidRPr="00425178" w:rsidRDefault="00DD4E43" w:rsidP="00DD4E43">
      <w:pPr>
        <w:widowControl w:val="0"/>
        <w:spacing w:after="0"/>
        <w:ind w:right="446"/>
        <w:rPr>
          <w:noProof/>
          <w:color w:val="000000"/>
        </w:rPr>
      </w:pPr>
      <w:r w:rsidRPr="00425178">
        <w:rPr>
          <w:noProof/>
          <w:color w:val="000000"/>
        </w:rPr>
        <w:t>Expiration Date: [insert date]</w:t>
      </w:r>
    </w:p>
    <w:p w14:paraId="504B3E68" w14:textId="77777777" w:rsidR="00DD4E43" w:rsidRPr="00425178" w:rsidRDefault="00DD4E43" w:rsidP="00DD4E43">
      <w:pPr>
        <w:widowControl w:val="0"/>
        <w:spacing w:after="0"/>
        <w:ind w:right="446"/>
        <w:rPr>
          <w:noProof/>
          <w:color w:val="000000"/>
        </w:rPr>
      </w:pPr>
    </w:p>
    <w:p w14:paraId="71A5F8B1" w14:textId="77777777" w:rsidR="00DD4E43" w:rsidRPr="00425178" w:rsidRDefault="00DD4E43" w:rsidP="00DD4E43">
      <w:pPr>
        <w:widowControl w:val="0"/>
        <w:spacing w:after="0"/>
        <w:ind w:right="446"/>
        <w:rPr>
          <w:color w:val="000000"/>
        </w:rPr>
      </w:pPr>
      <w:r w:rsidRPr="00425178">
        <w:rPr>
          <w:color w:val="000000"/>
        </w:rPr>
        <w:t>Ladies and Gentlemen:</w:t>
      </w:r>
    </w:p>
    <w:p w14:paraId="07428123" w14:textId="77777777" w:rsidR="00DD4E43" w:rsidRPr="00425178" w:rsidRDefault="00DD4E43" w:rsidP="00DD4E43">
      <w:pPr>
        <w:widowControl w:val="0"/>
      </w:pPr>
      <w:r w:rsidRPr="00425178">
        <w:rPr>
          <w:u w:val="single"/>
        </w:rPr>
        <w:tab/>
      </w:r>
      <w:r w:rsidRPr="00425178">
        <w:rPr>
          <w:u w:val="single"/>
        </w:rPr>
        <w:tab/>
      </w:r>
      <w:r w:rsidRPr="00425178">
        <w:rPr>
          <w:u w:val="single"/>
        </w:rPr>
        <w:tab/>
      </w:r>
      <w:r w:rsidRPr="00425178">
        <w:rPr>
          <w:u w:val="single"/>
        </w:rPr>
        <w:tab/>
      </w:r>
      <w:r w:rsidRPr="00425178">
        <w:rPr>
          <w:u w:val="single"/>
        </w:rPr>
        <w:tab/>
      </w:r>
      <w:r w:rsidRPr="00425178">
        <w:rPr>
          <w:u w:val="single"/>
        </w:rPr>
        <w:tab/>
      </w:r>
      <w:r w:rsidRPr="00425178">
        <w:t xml:space="preserve"> (the “Bank”) hereby establishes this Irrevocable Nontransferable Standby Letter of Credit (“Letter of Credit”) in favor of Southern California Edison Company, a California corporation (the “Beneficiary”), for the account of</w:t>
      </w:r>
      <w:r w:rsidRPr="00425178">
        <w:rPr>
          <w:i/>
          <w:color w:val="FF0000"/>
          <w:u w:val="single"/>
        </w:rPr>
        <w:t xml:space="preserve"> </w:t>
      </w:r>
      <w:r w:rsidRPr="00425178">
        <w:rPr>
          <w:i/>
          <w:iCs/>
          <w:color w:val="FF0000"/>
        </w:rPr>
        <w:t xml:space="preserve">                     </w:t>
      </w:r>
      <w:r w:rsidRPr="00425178">
        <w:t>, a ____________ corporation, also known as ID# ____ (the “Applicant”), for the amount stated above (the “Available Amount”), effective immediately.</w:t>
      </w:r>
    </w:p>
    <w:p w14:paraId="1D60BF4F" w14:textId="77777777" w:rsidR="00DD4E43" w:rsidRPr="00425178" w:rsidRDefault="00DD4E43" w:rsidP="00DD4E43">
      <w:pPr>
        <w:widowControl w:val="0"/>
      </w:pPr>
      <w:r w:rsidRPr="00425178">
        <w:t xml:space="preserve">This Letter of Credit shall be of no further force or effect at 5:00 p.m., California time on the expiration date stated above or, if such day is not a Business Day (as hereinafter defined), on the next Business Day (as may be extended pursuant to the terms of this Letter of Credit) (the </w:t>
      </w:r>
      <w:r w:rsidRPr="00425178">
        <w:lastRenderedPageBreak/>
        <w:t>“Expiration Date”).</w:t>
      </w:r>
    </w:p>
    <w:p w14:paraId="2397F7E4" w14:textId="77777777" w:rsidR="00DD4E43" w:rsidRPr="00425178" w:rsidRDefault="00DD4E43" w:rsidP="00DD4E43">
      <w:pPr>
        <w:widowControl w:val="0"/>
      </w:pPr>
      <w:r w:rsidRPr="00425178">
        <w:t>For the purpose hereof, “Business Day” shall mean any day other than:</w:t>
      </w:r>
    </w:p>
    <w:p w14:paraId="180DB687" w14:textId="77777777" w:rsidR="00DD4E43" w:rsidRPr="00425178" w:rsidRDefault="00DD4E43" w:rsidP="00DD4E43">
      <w:pPr>
        <w:pStyle w:val="ListParagraph"/>
        <w:numPr>
          <w:ilvl w:val="0"/>
          <w:numId w:val="105"/>
        </w:numPr>
        <w:adjustRightInd/>
        <w:spacing w:after="200" w:line="276" w:lineRule="auto"/>
        <w:contextualSpacing/>
        <w:jc w:val="left"/>
        <w:textAlignment w:val="auto"/>
        <w:rPr>
          <w:rFonts w:ascii="Times New Roman" w:hAnsi="Times New Roman" w:cs="Times New Roman"/>
          <w:sz w:val="24"/>
        </w:rPr>
      </w:pPr>
      <w:r w:rsidRPr="00425178">
        <w:rPr>
          <w:rFonts w:ascii="Times New Roman" w:hAnsi="Times New Roman" w:cs="Times New Roman"/>
          <w:sz w:val="24"/>
        </w:rPr>
        <w:t>A Saturday or a Sunday,</w:t>
      </w:r>
    </w:p>
    <w:p w14:paraId="61202492" w14:textId="77777777" w:rsidR="00DD4E43" w:rsidRPr="00425178" w:rsidRDefault="00DD4E43" w:rsidP="00DD4E43">
      <w:pPr>
        <w:pStyle w:val="ListParagraph"/>
        <w:numPr>
          <w:ilvl w:val="0"/>
          <w:numId w:val="105"/>
        </w:numPr>
        <w:adjustRightInd/>
        <w:spacing w:after="200" w:line="276" w:lineRule="auto"/>
        <w:contextualSpacing/>
        <w:jc w:val="left"/>
        <w:textAlignment w:val="auto"/>
        <w:rPr>
          <w:rFonts w:ascii="Times New Roman" w:hAnsi="Times New Roman"/>
          <w:sz w:val="24"/>
        </w:rPr>
      </w:pPr>
      <w:r w:rsidRPr="00425178">
        <w:rPr>
          <w:rFonts w:ascii="Times New Roman" w:hAnsi="Times New Roman" w:cs="Times New Roman"/>
          <w:sz w:val="24"/>
        </w:rPr>
        <w:t xml:space="preserve">A day </w:t>
      </w:r>
      <w:r w:rsidRPr="00425178">
        <w:rPr>
          <w:rFonts w:ascii="Times New Roman" w:hAnsi="Times New Roman"/>
          <w:sz w:val="24"/>
        </w:rPr>
        <w:t xml:space="preserve">on which </w:t>
      </w:r>
      <w:r w:rsidRPr="00425178">
        <w:rPr>
          <w:rFonts w:ascii="Times New Roman" w:hAnsi="Times New Roman" w:cs="Times New Roman"/>
          <w:sz w:val="24"/>
        </w:rPr>
        <w:t>banking institutions</w:t>
      </w:r>
      <w:r w:rsidRPr="00425178">
        <w:rPr>
          <w:rFonts w:ascii="Times New Roman" w:hAnsi="Times New Roman"/>
          <w:sz w:val="24"/>
        </w:rPr>
        <w:t xml:space="preserve"> in </w:t>
      </w:r>
      <w:r w:rsidRPr="00425178">
        <w:rPr>
          <w:rFonts w:ascii="Times New Roman" w:hAnsi="Times New Roman" w:cs="Times New Roman"/>
          <w:sz w:val="24"/>
        </w:rPr>
        <w:t xml:space="preserve">the city of </w:t>
      </w:r>
      <w:r w:rsidRPr="00425178">
        <w:rPr>
          <w:rFonts w:ascii="Times New Roman" w:hAnsi="Times New Roman"/>
          <w:sz w:val="24"/>
        </w:rPr>
        <w:t>Los Angeles, California</w:t>
      </w:r>
      <w:r w:rsidRPr="00425178">
        <w:rPr>
          <w:rFonts w:ascii="Times New Roman" w:hAnsi="Times New Roman" w:cs="Times New Roman"/>
          <w:sz w:val="24"/>
        </w:rPr>
        <w:t>, are required or authorized by Law to remain closed, or</w:t>
      </w:r>
    </w:p>
    <w:p w14:paraId="2927D27A" w14:textId="77777777" w:rsidR="00DD4E43" w:rsidRPr="00425178" w:rsidRDefault="00DD4E43" w:rsidP="00DD4E43">
      <w:pPr>
        <w:pStyle w:val="ListParagraph"/>
        <w:numPr>
          <w:ilvl w:val="0"/>
          <w:numId w:val="105"/>
        </w:numPr>
        <w:adjustRightInd/>
        <w:spacing w:after="200" w:line="276" w:lineRule="auto"/>
        <w:contextualSpacing/>
        <w:jc w:val="left"/>
        <w:textAlignment w:val="auto"/>
        <w:rPr>
          <w:rFonts w:ascii="Times New Roman" w:hAnsi="Times New Roman" w:cs="Times New Roman"/>
          <w:sz w:val="24"/>
        </w:rPr>
      </w:pPr>
      <w:r w:rsidRPr="00425178">
        <w:rPr>
          <w:rFonts w:ascii="Times New Roman" w:hAnsi="Times New Roman" w:cs="Times New Roman"/>
          <w:sz w:val="24"/>
        </w:rPr>
        <w:t xml:space="preserve">A day on which the payment system of the Federal Reserve System is not operational. </w:t>
      </w:r>
    </w:p>
    <w:p w14:paraId="77C25933" w14:textId="77777777" w:rsidR="00DD4E43" w:rsidRPr="00425178" w:rsidRDefault="00DD4E43" w:rsidP="00DD4E43">
      <w:pPr>
        <w:widowControl w:val="0"/>
      </w:pPr>
      <w:r w:rsidRPr="00425178">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hand delivered courier, at the address stated below, that we elect not to extend this Letter of Credit for any such additional period.</w:t>
      </w:r>
    </w:p>
    <w:p w14:paraId="75E4F348" w14:textId="77777777" w:rsidR="00DD4E43" w:rsidRPr="00425178" w:rsidRDefault="00DD4E43" w:rsidP="00DD4E43">
      <w:pPr>
        <w:widowControl w:val="0"/>
      </w:pPr>
      <w:r w:rsidRPr="00425178">
        <w:t>Subject to the terms and conditions herein, funds under this Letter of Credit are available to Beneficiary by complying presentation on or before 5:00 p.m. California time, on or before the Expiration Date of the following:</w:t>
      </w:r>
    </w:p>
    <w:p w14:paraId="6B5617CD" w14:textId="77777777" w:rsidR="00DD4E43" w:rsidRPr="00425178" w:rsidRDefault="00DD4E43" w:rsidP="00DD4E43">
      <w:pPr>
        <w:widowControl w:val="0"/>
        <w:ind w:hanging="720"/>
      </w:pPr>
      <w:r w:rsidRPr="00425178">
        <w:t>1.</w:t>
      </w:r>
      <w:r w:rsidRPr="00425178">
        <w:tab/>
        <w:t xml:space="preserve">A copy of this Letter of Credit and all amendments; </w:t>
      </w:r>
    </w:p>
    <w:p w14:paraId="60DBFD0C" w14:textId="77777777" w:rsidR="00DD4E43" w:rsidRPr="00425178" w:rsidRDefault="00DD4E43" w:rsidP="00DD4E43">
      <w:pPr>
        <w:widowControl w:val="0"/>
        <w:ind w:hanging="720"/>
      </w:pPr>
      <w:r w:rsidRPr="00425178">
        <w:t>2.</w:t>
      </w:r>
      <w:r w:rsidRPr="00425178">
        <w:tab/>
        <w:t>A copy of the Drawing Certificate in the form of Attachment “A” attached hereto and which forms an integral part hereof, duly completed and bearing the signature of an authorized representative of the Beneficiary signing as such; and</w:t>
      </w:r>
    </w:p>
    <w:p w14:paraId="72878CA6" w14:textId="77777777" w:rsidR="00DD4E43" w:rsidRPr="00425178" w:rsidRDefault="00DD4E43" w:rsidP="00DD4E43">
      <w:pPr>
        <w:widowControl w:val="0"/>
        <w:ind w:hanging="720"/>
      </w:pPr>
      <w:r w:rsidRPr="00425178">
        <w:t xml:space="preserve">3. </w:t>
      </w:r>
      <w:r w:rsidRPr="00425178">
        <w:tab/>
        <w:t xml:space="preserve">A copy of the </w:t>
      </w:r>
      <w:r>
        <w:t xml:space="preserve">Sight </w:t>
      </w:r>
      <w:r w:rsidRPr="00425178">
        <w:t>Draft in the form of Attachment “B” attached hereto and which forms an integral part hereof, duly completed and bearing the signature of an authorized representative of the Beneficiary.</w:t>
      </w:r>
    </w:p>
    <w:p w14:paraId="552BAD98" w14:textId="77777777" w:rsidR="00DD4E43" w:rsidRPr="00425178" w:rsidRDefault="00DD4E43" w:rsidP="00DD4E43">
      <w:pPr>
        <w:widowControl w:val="0"/>
      </w:pPr>
      <w:r w:rsidRPr="00425178">
        <w:t xml:space="preserve">Drawings may also be presented by facsimile transmission (“Fax”) to fax number [insert number] under telephone pre-advice to [insert number] or alternatively to [insert number]; provided that such Fax presentation is received on or before the Expiration Date on this instrument in accordance with the terms and conditions of this Letter of Credit. It is understood that any such Fax presentation shall be considered the sole operative instrument of drawing.  In the event of presentation by Fax, the original documents should not also be presented. </w:t>
      </w:r>
    </w:p>
    <w:p w14:paraId="07AF92A3" w14:textId="77777777" w:rsidR="00DD4E43" w:rsidRPr="00425178" w:rsidRDefault="00DD4E43" w:rsidP="00DD4E43">
      <w:pPr>
        <w:widowControl w:val="0"/>
      </w:pPr>
      <w:r w:rsidRPr="00425178">
        <w:t>Partial drawing of funds shall be permitted under this Letter of Credit, and this Letter of Credit shall remain in full force and effect with respect to any continuing balance; provided, the Available Amount shall be reduced by the amount of each such drawing.</w:t>
      </w:r>
    </w:p>
    <w:p w14:paraId="759938B3" w14:textId="77777777" w:rsidR="00DD4E43" w:rsidRPr="00425178" w:rsidRDefault="00DD4E43" w:rsidP="00DD4E43">
      <w:pPr>
        <w:widowControl w:val="0"/>
      </w:pPr>
      <w:r w:rsidRPr="00425178">
        <w:t xml:space="preserve">This Letter of Credit is not transferable or assignable. Any purported transfer or assignment shall </w:t>
      </w:r>
      <w:r w:rsidRPr="00425178">
        <w:lastRenderedPageBreak/>
        <w:t>be void and of no force or effect.</w:t>
      </w:r>
    </w:p>
    <w:p w14:paraId="122121CB" w14:textId="77777777" w:rsidR="00DD4E43" w:rsidRPr="00425178" w:rsidRDefault="00DD4E43" w:rsidP="00DD4E43">
      <w:pPr>
        <w:widowControl w:val="0"/>
      </w:pPr>
      <w:r w:rsidRPr="00425178">
        <w:t>All correspondence and any drawings (other than those made by facsimile) hereunder are to be directed to [Bank address/contact].</w:t>
      </w:r>
    </w:p>
    <w:p w14:paraId="1C1A187A" w14:textId="77777777" w:rsidR="00DD4E43" w:rsidRPr="00425178" w:rsidRDefault="00DD4E43" w:rsidP="00DD4E43">
      <w:pPr>
        <w:widowControl w:val="0"/>
      </w:pPr>
      <w:r w:rsidRPr="00425178">
        <w:t xml:space="preserve">All notices to Beneficiary shall be in writing and are required to be sent by certified letter, overnight courier, or delivered in person to: Southern California Edison Company, Manager of </w:t>
      </w:r>
      <w:r w:rsidRPr="00FF157D">
        <w:t>Risk</w:t>
      </w:r>
      <w:r>
        <w:t xml:space="preserve"> Operations</w:t>
      </w:r>
      <w:r w:rsidRPr="00FF157D">
        <w:t xml:space="preserve"> and Collateral</w:t>
      </w:r>
      <w:r w:rsidRPr="00183138">
        <w:t xml:space="preserve"> Management</w:t>
      </w:r>
      <w:r w:rsidRPr="00FF157D">
        <w:t xml:space="preserve">, 2244 Walnut Grove Avenue, GO1 Quad </w:t>
      </w:r>
      <w:r w:rsidRPr="00183138">
        <w:t>2</w:t>
      </w:r>
      <w:r>
        <w:t>A</w:t>
      </w:r>
      <w:r w:rsidRPr="00FF157D">
        <w:t xml:space="preserve">, </w:t>
      </w:r>
      <w:r w:rsidRPr="00425178">
        <w:t>, Rosemead, California 91770. Only notices to Beneficiary meeting the requirements of this paragraph shall be considered valid. Any notice to Beneficiary which is not in accordance with this paragraph shall be void and of no force or effect.</w:t>
      </w:r>
    </w:p>
    <w:p w14:paraId="3029CED9" w14:textId="77777777" w:rsidR="00DD4E43" w:rsidRPr="00425178" w:rsidRDefault="00DD4E43" w:rsidP="00DD4E43">
      <w:pPr>
        <w:widowControl w:val="0"/>
      </w:pPr>
      <w:r w:rsidRPr="00425178">
        <w:t>Banking charges shall be the sole responsibility of the Applicant.</w:t>
      </w:r>
    </w:p>
    <w:p w14:paraId="4EF11C18" w14:textId="77777777" w:rsidR="00DD4E43" w:rsidRPr="00425178" w:rsidRDefault="00DD4E43" w:rsidP="00DD4E43">
      <w:pPr>
        <w:widowControl w:val="0"/>
      </w:pPr>
      <w:r w:rsidRPr="00425178">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12CFA694" w14:textId="77777777" w:rsidR="00DD4E43" w:rsidRPr="00425178" w:rsidRDefault="00DD4E43" w:rsidP="00DD4E43">
      <w:pPr>
        <w:widowControl w:val="0"/>
      </w:pPr>
      <w:r w:rsidRPr="00425178">
        <w:t xml:space="preserve"> The Bank engages with the Beneficiary that Beneficiary’s drafts drawn under and in compliance with the terms of this Letter of Credit will be duly honored if presented to the Bank on or before the Expiration Date. </w:t>
      </w:r>
    </w:p>
    <w:p w14:paraId="433637C9" w14:textId="77777777" w:rsidR="00DD4E43" w:rsidRPr="00425178" w:rsidRDefault="00DD4E43" w:rsidP="00DD4E43">
      <w:pPr>
        <w:widowControl w:val="0"/>
      </w:pPr>
      <w:r w:rsidRPr="00425178">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1206E075" w14:textId="77777777" w:rsidR="00DD4E43" w:rsidRPr="00425178" w:rsidRDefault="00DD4E43" w:rsidP="00DD4E43">
      <w:pPr>
        <w:widowControl w:val="0"/>
        <w:spacing w:after="0"/>
        <w:ind w:left="4320"/>
      </w:pPr>
      <w:r w:rsidRPr="00425178">
        <w:t>AUTHORIZED SIGNATURE for Bank</w:t>
      </w:r>
    </w:p>
    <w:p w14:paraId="2CDD9217" w14:textId="77777777" w:rsidR="00DD4E43" w:rsidRPr="00425178" w:rsidRDefault="00DD4E43" w:rsidP="00DD4E43">
      <w:pPr>
        <w:widowControl w:val="0"/>
        <w:spacing w:after="0"/>
        <w:ind w:left="4320"/>
      </w:pPr>
    </w:p>
    <w:p w14:paraId="4B3A4EED" w14:textId="77777777" w:rsidR="00DD4E43" w:rsidRPr="00425178" w:rsidRDefault="00DD4E43" w:rsidP="00DD4E43">
      <w:pPr>
        <w:widowControl w:val="0"/>
        <w:spacing w:after="0"/>
        <w:ind w:left="4320"/>
      </w:pPr>
      <w:r w:rsidRPr="00425178">
        <w:t>By</w:t>
      </w:r>
      <w:r w:rsidRPr="00425178">
        <w:tab/>
      </w:r>
      <w:r w:rsidRPr="00425178">
        <w:tab/>
      </w:r>
      <w:r w:rsidRPr="00425178">
        <w:tab/>
      </w:r>
      <w:r w:rsidRPr="00425178">
        <w:tab/>
      </w:r>
      <w:r w:rsidRPr="00425178">
        <w:tab/>
      </w:r>
    </w:p>
    <w:p w14:paraId="16F2BA62" w14:textId="77777777" w:rsidR="00DD4E43" w:rsidRPr="00425178" w:rsidRDefault="00DD4E43" w:rsidP="00DD4E43">
      <w:pPr>
        <w:widowControl w:val="0"/>
        <w:spacing w:after="0"/>
        <w:ind w:left="4320"/>
      </w:pPr>
    </w:p>
    <w:p w14:paraId="78E504BC" w14:textId="77777777" w:rsidR="00DD4E43" w:rsidRPr="00425178" w:rsidRDefault="00DD4E43" w:rsidP="00DD4E43">
      <w:pPr>
        <w:widowControl w:val="0"/>
        <w:spacing w:after="0"/>
        <w:ind w:left="4320"/>
      </w:pPr>
      <w:r w:rsidRPr="00425178">
        <w:t>Name:</w:t>
      </w:r>
      <w:r w:rsidRPr="00425178">
        <w:tab/>
        <w:t>[print name]</w:t>
      </w:r>
      <w:r w:rsidRPr="00425178">
        <w:tab/>
      </w:r>
      <w:r w:rsidRPr="00425178">
        <w:tab/>
      </w:r>
      <w:r w:rsidRPr="00425178">
        <w:tab/>
      </w:r>
      <w:r w:rsidRPr="00425178">
        <w:tab/>
      </w:r>
    </w:p>
    <w:p w14:paraId="04F396EA" w14:textId="77777777" w:rsidR="00DD4E43" w:rsidRPr="00425178" w:rsidRDefault="00DD4E43" w:rsidP="00DD4E43">
      <w:pPr>
        <w:widowControl w:val="0"/>
        <w:spacing w:after="0"/>
        <w:ind w:left="4320"/>
      </w:pPr>
    </w:p>
    <w:p w14:paraId="0FF130CE" w14:textId="77777777" w:rsidR="00DD4E43" w:rsidRPr="00425178" w:rsidRDefault="00DD4E43" w:rsidP="00DD4E43">
      <w:pPr>
        <w:widowControl w:val="0"/>
        <w:spacing w:after="0"/>
        <w:ind w:left="4320"/>
      </w:pPr>
      <w:r w:rsidRPr="00425178">
        <w:t>Title:</w:t>
      </w:r>
      <w:r w:rsidRPr="00425178">
        <w:tab/>
        <w:t>[print title]</w:t>
      </w:r>
      <w:r w:rsidRPr="00425178">
        <w:tab/>
      </w:r>
      <w:r w:rsidRPr="00425178">
        <w:tab/>
      </w:r>
      <w:r w:rsidRPr="00425178">
        <w:tab/>
      </w:r>
      <w:r w:rsidRPr="00425178">
        <w:tab/>
      </w:r>
    </w:p>
    <w:p w14:paraId="32E9FF3E" w14:textId="77777777" w:rsidR="00DD4E43" w:rsidRPr="00425178" w:rsidRDefault="00DD4E43" w:rsidP="00DD4E43">
      <w:pPr>
        <w:widowControl w:val="0"/>
        <w:spacing w:before="240"/>
        <w:ind w:left="4320"/>
        <w:rPr>
          <w:b/>
        </w:rPr>
      </w:pPr>
      <w:r w:rsidRPr="00425178">
        <w:rPr>
          <w:b/>
        </w:rPr>
        <w:br w:type="page"/>
      </w:r>
    </w:p>
    <w:p w14:paraId="55F1AE09" w14:textId="77777777" w:rsidR="00DD4E43" w:rsidRPr="00425178" w:rsidRDefault="00DD4E43" w:rsidP="00DD4E43">
      <w:pPr>
        <w:widowControl w:val="0"/>
        <w:spacing w:before="240"/>
        <w:jc w:val="center"/>
      </w:pPr>
      <w:r w:rsidRPr="00425178">
        <w:rPr>
          <w:b/>
          <w:bCs/>
          <w:u w:val="single"/>
        </w:rPr>
        <w:lastRenderedPageBreak/>
        <w:t>ATTACHMENT A</w:t>
      </w:r>
    </w:p>
    <w:p w14:paraId="33AE782C" w14:textId="77777777" w:rsidR="00DD4E43" w:rsidRPr="00425178" w:rsidRDefault="00DD4E43" w:rsidP="00DD4E43">
      <w:pPr>
        <w:widowControl w:val="0"/>
        <w:jc w:val="center"/>
        <w:rPr>
          <w:color w:val="000000"/>
        </w:rPr>
      </w:pPr>
      <w:r w:rsidRPr="00425178">
        <w:rPr>
          <w:color w:val="000000"/>
        </w:rPr>
        <w:t>DRAWING CERTIFICATE</w:t>
      </w:r>
    </w:p>
    <w:p w14:paraId="4744EED9" w14:textId="77777777" w:rsidR="00DD4E43" w:rsidRPr="00425178" w:rsidRDefault="00DD4E43" w:rsidP="00DD4E43">
      <w:pPr>
        <w:widowControl w:val="0"/>
        <w:rPr>
          <w:color w:val="000000"/>
        </w:rPr>
      </w:pPr>
      <w:r w:rsidRPr="00425178">
        <w:rPr>
          <w:color w:val="000000"/>
        </w:rPr>
        <w:t>TO [ISSUING BANK NAME &amp; ADDRESS]</w:t>
      </w:r>
    </w:p>
    <w:p w14:paraId="3A8BE3E2" w14:textId="77777777" w:rsidR="00DD4E43" w:rsidRPr="00425178" w:rsidRDefault="00DD4E43" w:rsidP="00DD4E43">
      <w:pPr>
        <w:widowControl w:val="0"/>
        <w:ind w:right="1080"/>
        <w:rPr>
          <w:color w:val="000000"/>
        </w:rPr>
      </w:pPr>
      <w:r w:rsidRPr="00425178">
        <w:rPr>
          <w:color w:val="000000"/>
        </w:rPr>
        <w:t>IRREVOCABLE NONTRANSFERABLE STANDBY LETTER OF CREDIT REFERENCE NUMBER: ________________</w:t>
      </w:r>
    </w:p>
    <w:p w14:paraId="23B221E8" w14:textId="77777777" w:rsidR="00DD4E43" w:rsidRPr="00425178" w:rsidRDefault="00DD4E43" w:rsidP="00DD4E43">
      <w:pPr>
        <w:widowControl w:val="0"/>
        <w:rPr>
          <w:color w:val="000000"/>
        </w:rPr>
      </w:pPr>
      <w:r w:rsidRPr="00425178">
        <w:rPr>
          <w:color w:val="000000"/>
        </w:rPr>
        <w:t>DATE: _________</w:t>
      </w:r>
    </w:p>
    <w:p w14:paraId="03CB7BBB" w14:textId="77777777" w:rsidR="00DD4E43" w:rsidRPr="00425178" w:rsidRDefault="00DD4E43" w:rsidP="00DD4E43">
      <w:pPr>
        <w:widowControl w:val="0"/>
        <w:spacing w:before="240"/>
      </w:pPr>
      <w:r w:rsidRPr="00425178">
        <w:t xml:space="preserve">Southern California Edison Company (the “Beneficiary”), demands </w:t>
      </w:r>
      <w:r w:rsidRPr="000F628D">
        <w:rPr>
          <w:b/>
          <w:i/>
          <w:color w:val="0000FF"/>
        </w:rPr>
        <w:t>[Issuing Bank Name]</w:t>
      </w:r>
      <w:r w:rsidRPr="00425178">
        <w:rPr>
          <w:color w:val="FF0000"/>
        </w:rPr>
        <w:t xml:space="preserve"> </w:t>
      </w:r>
      <w:r w:rsidRPr="00425178">
        <w:t>(the “Bank”) payment to the order of the Beneficiary the amount of U.S. $______ (_________ U.S. Dollars), drawn under the Letter of Credit referenced above (the “Letter of Credit”), for the following reason(s) [check applicable provision]:</w:t>
      </w:r>
    </w:p>
    <w:p w14:paraId="30565C1F" w14:textId="77777777" w:rsidR="00DD4E43" w:rsidRPr="00425178" w:rsidRDefault="00DD4E43" w:rsidP="00DD4E43">
      <w:pPr>
        <w:widowControl w:val="0"/>
        <w:spacing w:before="240"/>
      </w:pPr>
      <w:r w:rsidRPr="00425178">
        <w:t>[   ]A.</w:t>
      </w:r>
      <w:r w:rsidRPr="00425178">
        <w:tab/>
        <w:t xml:space="preserve">An Event of Default, as defined in that certain </w:t>
      </w:r>
      <w:r w:rsidRPr="000F628D">
        <w:rPr>
          <w:b/>
          <w:i/>
          <w:color w:val="0000FF"/>
        </w:rPr>
        <w:t>[insert agreement name]</w:t>
      </w:r>
      <w:r w:rsidRPr="00425178">
        <w:rPr>
          <w:color w:val="FF0000"/>
        </w:rPr>
        <w:t xml:space="preserve"> </w:t>
      </w:r>
      <w:r w:rsidRPr="00425178">
        <w:t xml:space="preserve">between </w:t>
      </w:r>
      <w:r w:rsidRPr="000F628D">
        <w:rPr>
          <w:b/>
          <w:i/>
          <w:color w:val="0000FF"/>
        </w:rPr>
        <w:t>[insert counterparty name]</w:t>
      </w:r>
      <w:r w:rsidRPr="00425178">
        <w:t xml:space="preserve"> or its successor (the “Counterparty”) and Beneficiary, dated as of</w:t>
      </w:r>
      <w:r w:rsidRPr="00425178">
        <w:rPr>
          <w:i/>
          <w:iCs/>
          <w:color w:val="0000FF"/>
        </w:rPr>
        <w:t xml:space="preserve"> </w:t>
      </w:r>
      <w:r w:rsidRPr="000F628D">
        <w:rPr>
          <w:b/>
          <w:i/>
          <w:color w:val="0000FF"/>
        </w:rPr>
        <w:t>[Date of Execution]</w:t>
      </w:r>
      <w:r w:rsidRPr="000F628D">
        <w:rPr>
          <w:color w:val="0000FF"/>
        </w:rPr>
        <w:t xml:space="preserve"> </w:t>
      </w:r>
      <w:r w:rsidRPr="00425178">
        <w:t>(as may be amended from time to time) (the “Agreement”) with respect to the Counterparty has occurred and is continuing.</w:t>
      </w:r>
    </w:p>
    <w:p w14:paraId="7C18EB06" w14:textId="77777777" w:rsidR="00DD4E43" w:rsidRPr="00425178" w:rsidRDefault="00DD4E43" w:rsidP="00DD4E43">
      <w:pPr>
        <w:widowControl w:val="0"/>
        <w:spacing w:before="240"/>
      </w:pPr>
      <w:r w:rsidRPr="00425178" w:rsidDel="00E04077">
        <w:t xml:space="preserve"> </w:t>
      </w:r>
      <w:r w:rsidRPr="00425178">
        <w:t>[   ]B.</w:t>
      </w:r>
      <w:r w:rsidRPr="00425178">
        <w:tab/>
        <w:t>The Letter of Credit will expire in fewer than twenty (20) Business Days (as defined in the Agreement) from the date hereof, and the Counterparty or its successor has not provided Beneficiary alternative financial security acceptable to Beneficiary.</w:t>
      </w:r>
    </w:p>
    <w:p w14:paraId="62FD363F" w14:textId="77777777" w:rsidR="00DD4E43" w:rsidRPr="00425178" w:rsidRDefault="00DD4E43" w:rsidP="00DD4E43">
      <w:pPr>
        <w:widowControl w:val="0"/>
        <w:spacing w:before="240"/>
      </w:pPr>
      <w:r w:rsidRPr="00425178">
        <w:t>[   ]C.</w:t>
      </w:r>
      <w:r w:rsidRPr="00425178">
        <w:tab/>
        <w:t>The Beneficiary is entitled to retain all or part of the Development Security (as defined in the Agreement).</w:t>
      </w:r>
    </w:p>
    <w:p w14:paraId="2716EC79" w14:textId="77777777" w:rsidR="00DD4E43" w:rsidRPr="00425178" w:rsidRDefault="00DD4E43" w:rsidP="00DD4E43">
      <w:pPr>
        <w:widowControl w:val="0"/>
        <w:spacing w:before="240"/>
      </w:pPr>
      <w:r w:rsidRPr="00425178">
        <w:t>Unless otherwise provided herein, capitalized terms which are used and not defined herein shall have the meaning given each such term in the Letter of Credit.</w:t>
      </w:r>
    </w:p>
    <w:p w14:paraId="357AB2C7" w14:textId="77777777" w:rsidR="00DD4E43" w:rsidRPr="00425178" w:rsidRDefault="00DD4E43" w:rsidP="00DD4E43">
      <w:pPr>
        <w:widowControl w:val="0"/>
        <w:spacing w:before="240"/>
        <w:ind w:left="2880" w:firstLine="720"/>
      </w:pPr>
      <w:r w:rsidRPr="00425178">
        <w:t>Authorized Signature for Beneficiary:</w:t>
      </w:r>
      <w:r w:rsidRPr="00425178">
        <w:tab/>
      </w:r>
    </w:p>
    <w:p w14:paraId="3F294772" w14:textId="77777777" w:rsidR="00DD4E43" w:rsidRPr="00425178" w:rsidRDefault="00DD4E43" w:rsidP="00DD4E43">
      <w:pPr>
        <w:widowControl w:val="0"/>
        <w:spacing w:before="240"/>
        <w:ind w:left="2880" w:firstLine="720"/>
      </w:pPr>
      <w:r w:rsidRPr="00425178">
        <w:t>SOUTHERN CALIFORNIA EDISON COMPANY</w:t>
      </w:r>
    </w:p>
    <w:p w14:paraId="2DA6C15F" w14:textId="77777777" w:rsidR="00DD4E43" w:rsidRPr="00425178" w:rsidRDefault="00DD4E43" w:rsidP="00DD4E43">
      <w:pPr>
        <w:widowControl w:val="0"/>
        <w:spacing w:before="240"/>
        <w:ind w:left="2880" w:firstLine="720"/>
      </w:pPr>
      <w:r w:rsidRPr="00425178">
        <w:t>By:</w:t>
      </w:r>
    </w:p>
    <w:p w14:paraId="715534FF" w14:textId="77777777" w:rsidR="00DD4E43" w:rsidRPr="00425178" w:rsidRDefault="00DD4E43" w:rsidP="00DD4E43">
      <w:pPr>
        <w:widowControl w:val="0"/>
        <w:spacing w:before="240"/>
        <w:ind w:left="2880" w:firstLine="720"/>
      </w:pPr>
      <w:r w:rsidRPr="00425178">
        <w:t>Name: [print name]</w:t>
      </w:r>
    </w:p>
    <w:p w14:paraId="6CDF1285" w14:textId="77777777" w:rsidR="00DD4E43" w:rsidRPr="00425178" w:rsidRDefault="00DD4E43" w:rsidP="00DD4E43">
      <w:pPr>
        <w:widowControl w:val="0"/>
        <w:spacing w:before="240"/>
        <w:ind w:left="2880" w:firstLine="720"/>
      </w:pPr>
      <w:r w:rsidRPr="00425178">
        <w:t>Title:   [print title]</w:t>
      </w:r>
      <w:r w:rsidRPr="00425178">
        <w:br w:type="page"/>
      </w:r>
    </w:p>
    <w:p w14:paraId="44D66A22" w14:textId="77777777" w:rsidR="00DD4E43" w:rsidRPr="00425178" w:rsidRDefault="00DD4E43" w:rsidP="00DD4E43">
      <w:pPr>
        <w:widowControl w:val="0"/>
        <w:jc w:val="center"/>
        <w:rPr>
          <w:sz w:val="20"/>
        </w:rPr>
      </w:pPr>
      <w:r w:rsidRPr="00425178">
        <w:rPr>
          <w:b/>
          <w:color w:val="000000" w:themeColor="text1"/>
          <w:u w:val="single"/>
        </w:rPr>
        <w:lastRenderedPageBreak/>
        <w:t>ATTACHMENT B</w:t>
      </w:r>
    </w:p>
    <w:p w14:paraId="70B270E4" w14:textId="77777777" w:rsidR="00DD4E43" w:rsidRPr="00425178" w:rsidRDefault="00DD4E43" w:rsidP="00DD4E43">
      <w:pPr>
        <w:widowControl w:val="0"/>
        <w:jc w:val="center"/>
        <w:rPr>
          <w:i/>
          <w:sz w:val="20"/>
        </w:rPr>
      </w:pPr>
      <w:r>
        <w:rPr>
          <w:i/>
          <w:sz w:val="20"/>
        </w:rPr>
        <w:t xml:space="preserve">SIGHT </w:t>
      </w:r>
      <w:r w:rsidRPr="00425178">
        <w:rPr>
          <w:i/>
          <w:sz w:val="20"/>
        </w:rPr>
        <w:t>DRAFT</w:t>
      </w:r>
    </w:p>
    <w:p w14:paraId="08A1D32B" w14:textId="77777777" w:rsidR="00DD4E43" w:rsidRPr="00425178" w:rsidRDefault="00DD4E43" w:rsidP="00DD4E43">
      <w:pPr>
        <w:widowControl w:val="0"/>
        <w:ind w:left="7200"/>
        <w:jc w:val="center"/>
        <w:rPr>
          <w:sz w:val="20"/>
        </w:rPr>
      </w:pPr>
      <w:r w:rsidRPr="00425178">
        <w:rPr>
          <w:sz w:val="20"/>
        </w:rPr>
        <w:t>[INSERT DATE]</w:t>
      </w:r>
    </w:p>
    <w:p w14:paraId="432EC14F" w14:textId="77777777" w:rsidR="00DD4E43" w:rsidRPr="00425178" w:rsidRDefault="00DD4E43" w:rsidP="00DD4E43">
      <w:pPr>
        <w:widowControl w:val="0"/>
        <w:rPr>
          <w:caps/>
          <w:sz w:val="20"/>
        </w:rPr>
      </w:pPr>
      <w:r w:rsidRPr="00425178">
        <w:rPr>
          <w:caps/>
          <w:sz w:val="20"/>
        </w:rPr>
        <w:t>TO:</w:t>
      </w:r>
    </w:p>
    <w:p w14:paraId="73BABF60" w14:textId="77777777" w:rsidR="00DD4E43" w:rsidRPr="00425178" w:rsidRDefault="00DD4E43" w:rsidP="00DD4E43">
      <w:pPr>
        <w:widowControl w:val="0"/>
        <w:rPr>
          <w:caps/>
          <w:sz w:val="20"/>
        </w:rPr>
      </w:pPr>
      <w:r w:rsidRPr="00425178">
        <w:rPr>
          <w:caps/>
          <w:color w:val="000000" w:themeColor="text1"/>
        </w:rPr>
        <w:t>[Issuing bank name &amp; address]</w:t>
      </w:r>
    </w:p>
    <w:p w14:paraId="5E4CB13F" w14:textId="77777777" w:rsidR="00DD4E43" w:rsidRPr="00425178" w:rsidRDefault="00DD4E43" w:rsidP="00DD4E43">
      <w:pPr>
        <w:widowControl w:val="0"/>
        <w:rPr>
          <w:caps/>
          <w:sz w:val="20"/>
        </w:rPr>
      </w:pPr>
      <w:r w:rsidRPr="00425178">
        <w:rPr>
          <w:caps/>
          <w:sz w:val="20"/>
        </w:rPr>
        <w:t xml:space="preserve">               </w:t>
      </w:r>
    </w:p>
    <w:p w14:paraId="3F38A2F7" w14:textId="01DDCEDC" w:rsidR="00DD4E43" w:rsidRPr="00425178" w:rsidRDefault="00DD4E43" w:rsidP="00DD4E43">
      <w:pPr>
        <w:widowControl w:val="0"/>
        <w:rPr>
          <w:caps/>
          <w:sz w:val="20"/>
        </w:rPr>
      </w:pPr>
      <w:r w:rsidRPr="00425178">
        <w:rPr>
          <w:caps/>
          <w:sz w:val="20"/>
        </w:rPr>
        <w:t>PAY AT SIGHT TO THE ORDER OF SOUTHERN CALIFORNIA EDISON COMPANY (the “Beneficiary”) THE AMOUNT OF USD [insert amount] DRAWN UNDER [Issuing Bank Name] IRREVOCABLE NON-TRANSFERABLE STAND</w:t>
      </w:r>
      <w:r w:rsidR="00F26A28">
        <w:rPr>
          <w:caps/>
          <w:sz w:val="20"/>
        </w:rPr>
        <w:t>B</w:t>
      </w:r>
      <w:r w:rsidRPr="00425178">
        <w:rPr>
          <w:caps/>
          <w:sz w:val="20"/>
        </w:rPr>
        <w:t>Y LETTER OF CREDIT NUMBER [insert number] ISSUED ON [insert date].</w:t>
      </w:r>
    </w:p>
    <w:p w14:paraId="7AD0B8D7" w14:textId="77777777" w:rsidR="00DD4E43" w:rsidRPr="00425178" w:rsidRDefault="00DD4E43" w:rsidP="00DD4E43">
      <w:pPr>
        <w:widowControl w:val="0"/>
        <w:rPr>
          <w:caps/>
          <w:sz w:val="20"/>
        </w:rPr>
      </w:pPr>
      <w:r w:rsidRPr="00425178">
        <w:rPr>
          <w:caps/>
          <w:sz w:val="20"/>
        </w:rPr>
        <w:t>FUNDS PAID PURSUANT TO THE PROVISIONS OF THE LETTER OF CREDIT SHALL BE WIRE TRANSFERRED TO THE BENEFICIARY IN ACCORDANCE WITH THE FOLLOWING INSTRUCTIONS:</w:t>
      </w:r>
    </w:p>
    <w:p w14:paraId="34500B83" w14:textId="77777777" w:rsidR="00DD4E43" w:rsidRPr="00425178" w:rsidRDefault="00DD4E43" w:rsidP="00DD4E43">
      <w:pPr>
        <w:widowControl w:val="0"/>
        <w:rPr>
          <w:caps/>
          <w:sz w:val="20"/>
        </w:rPr>
      </w:pPr>
      <w:r w:rsidRPr="00425178">
        <w:rPr>
          <w:caps/>
          <w:sz w:val="20"/>
        </w:rPr>
        <w:t>[insert wiring instruction]</w:t>
      </w:r>
    </w:p>
    <w:p w14:paraId="7DD680B8" w14:textId="77777777" w:rsidR="00DD4E43" w:rsidRPr="00425178" w:rsidRDefault="00DD4E43" w:rsidP="00DD4E43">
      <w:pPr>
        <w:widowControl w:val="0"/>
        <w:jc w:val="center"/>
        <w:rPr>
          <w:caps/>
          <w:sz w:val="20"/>
        </w:rPr>
      </w:pPr>
    </w:p>
    <w:p w14:paraId="291514C5" w14:textId="77777777" w:rsidR="00DD4E43" w:rsidRPr="00425178" w:rsidRDefault="00DD4E43" w:rsidP="00DD4E43">
      <w:pPr>
        <w:widowControl w:val="0"/>
        <w:rPr>
          <w:caps/>
          <w:sz w:val="20"/>
        </w:rPr>
      </w:pPr>
    </w:p>
    <w:p w14:paraId="28CAA235" w14:textId="77777777" w:rsidR="00DD4E43" w:rsidRPr="00425178" w:rsidRDefault="00DD4E43" w:rsidP="00DD4E43">
      <w:pPr>
        <w:widowControl w:val="0"/>
        <w:rPr>
          <w:caps/>
          <w:sz w:val="20"/>
        </w:rPr>
      </w:pPr>
    </w:p>
    <w:p w14:paraId="00BDA087" w14:textId="77777777" w:rsidR="00DD4E43" w:rsidRPr="00425178" w:rsidRDefault="00DD4E43" w:rsidP="00DD4E43">
      <w:pPr>
        <w:widowControl w:val="0"/>
        <w:rPr>
          <w:caps/>
          <w:sz w:val="20"/>
        </w:rPr>
      </w:pPr>
    </w:p>
    <w:p w14:paraId="05C40349" w14:textId="77777777" w:rsidR="00DD4E43" w:rsidRPr="00425178" w:rsidRDefault="00DD4E43" w:rsidP="00DD4E43">
      <w:pPr>
        <w:widowControl w:val="0"/>
        <w:spacing w:after="0"/>
        <w:ind w:left="2880" w:right="446" w:firstLine="720"/>
        <w:rPr>
          <w:caps/>
          <w:sz w:val="20"/>
        </w:rPr>
      </w:pPr>
      <w:r w:rsidRPr="00425178">
        <w:rPr>
          <w:caps/>
          <w:sz w:val="20"/>
        </w:rPr>
        <w:t xml:space="preserve">_______________________________      </w:t>
      </w:r>
    </w:p>
    <w:p w14:paraId="4BBEA963" w14:textId="77777777" w:rsidR="00DD4E43" w:rsidRPr="00425178" w:rsidRDefault="00DD4E43" w:rsidP="00DD4E43">
      <w:pPr>
        <w:widowControl w:val="0"/>
        <w:spacing w:after="0"/>
        <w:ind w:left="3600" w:right="446"/>
        <w:rPr>
          <w:caps/>
          <w:sz w:val="20"/>
        </w:rPr>
      </w:pPr>
      <w:r w:rsidRPr="00425178">
        <w:rPr>
          <w:caps/>
          <w:sz w:val="20"/>
        </w:rPr>
        <w:t>Authorized Signature                                                        Southern California Edison Company</w:t>
      </w:r>
    </w:p>
    <w:p w14:paraId="6C752432" w14:textId="77777777" w:rsidR="00DD4E43" w:rsidRPr="00425178" w:rsidRDefault="00DD4E43" w:rsidP="00DD4E43">
      <w:pPr>
        <w:widowControl w:val="0"/>
        <w:spacing w:after="0"/>
        <w:ind w:left="2880" w:right="446" w:firstLine="720"/>
        <w:rPr>
          <w:caps/>
          <w:sz w:val="20"/>
        </w:rPr>
      </w:pPr>
    </w:p>
    <w:p w14:paraId="64FA7BF6" w14:textId="77777777" w:rsidR="00DD4E43" w:rsidRPr="00425178" w:rsidRDefault="00DD4E43" w:rsidP="00DD4E43">
      <w:pPr>
        <w:widowControl w:val="0"/>
        <w:spacing w:after="0"/>
        <w:ind w:left="2880" w:right="446" w:firstLine="720"/>
        <w:rPr>
          <w:caps/>
          <w:sz w:val="20"/>
        </w:rPr>
      </w:pPr>
      <w:r w:rsidRPr="00425178">
        <w:rPr>
          <w:caps/>
          <w:sz w:val="20"/>
        </w:rPr>
        <w:t>Name: [print name]</w:t>
      </w:r>
    </w:p>
    <w:p w14:paraId="7872787C" w14:textId="77777777" w:rsidR="00DD4E43" w:rsidRPr="00425178" w:rsidRDefault="00DD4E43" w:rsidP="00DD4E43">
      <w:pPr>
        <w:widowControl w:val="0"/>
        <w:ind w:left="2880" w:firstLine="720"/>
        <w:rPr>
          <w:caps/>
          <w:sz w:val="20"/>
        </w:rPr>
      </w:pPr>
      <w:r w:rsidRPr="00425178">
        <w:rPr>
          <w:caps/>
          <w:sz w:val="20"/>
        </w:rPr>
        <w:t>Title:   [print title]</w:t>
      </w:r>
    </w:p>
    <w:p w14:paraId="5A85315E" w14:textId="77777777" w:rsidR="00DD4E43" w:rsidRPr="00425178" w:rsidRDefault="00DD4E43" w:rsidP="00DD4E43">
      <w:pPr>
        <w:widowControl w:val="0"/>
        <w:tabs>
          <w:tab w:val="left" w:pos="4680"/>
          <w:tab w:val="left" w:pos="9360"/>
        </w:tabs>
        <w:rPr>
          <w:color w:val="000000"/>
          <w:u w:val="single"/>
        </w:rPr>
      </w:pPr>
    </w:p>
    <w:p w14:paraId="42C3DAF5" w14:textId="77777777" w:rsidR="00DD4E43" w:rsidRPr="00425178" w:rsidRDefault="00DD4E43" w:rsidP="00DD4E43">
      <w:pPr>
        <w:widowControl w:val="0"/>
        <w:tabs>
          <w:tab w:val="left" w:pos="4680"/>
          <w:tab w:val="left" w:pos="9360"/>
        </w:tabs>
        <w:rPr>
          <w:color w:val="000000"/>
          <w:u w:val="single"/>
        </w:rPr>
      </w:pPr>
    </w:p>
    <w:bookmarkEnd w:id="732"/>
    <w:bookmarkEnd w:id="733"/>
    <w:bookmarkEnd w:id="734"/>
    <w:p w14:paraId="348CAB12" w14:textId="523CE7CB" w:rsidR="00D509A2" w:rsidRDefault="00D509A2" w:rsidP="00561154">
      <w:pPr>
        <w:spacing w:after="0"/>
        <w:jc w:val="center"/>
      </w:pPr>
    </w:p>
    <w:sectPr w:rsidR="00D509A2" w:rsidSect="00144F8F">
      <w:footerReference w:type="default" r:id="rId5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9BD72" w14:textId="77777777" w:rsidR="006D4F8F" w:rsidRDefault="006D4F8F">
      <w:r>
        <w:separator/>
      </w:r>
    </w:p>
  </w:endnote>
  <w:endnote w:type="continuationSeparator" w:id="0">
    <w:p w14:paraId="003C1D55" w14:textId="77777777" w:rsidR="006D4F8F" w:rsidRDefault="006D4F8F">
      <w:r>
        <w:continuationSeparator/>
      </w:r>
    </w:p>
  </w:endnote>
  <w:endnote w:type="continuationNotice" w:id="1">
    <w:p w14:paraId="6BF31C7B" w14:textId="77777777" w:rsidR="006D4F8F" w:rsidRDefault="006D4F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339541"/>
      <w:docPartObj>
        <w:docPartGallery w:val="Page Numbers (Bottom of Page)"/>
        <w:docPartUnique/>
      </w:docPartObj>
    </w:sdtPr>
    <w:sdtEndPr>
      <w:rPr>
        <w:noProof/>
      </w:rPr>
    </w:sdtEndPr>
    <w:sdtContent>
      <w:p w14:paraId="49C27CE1" w14:textId="7796D2ED" w:rsidR="006D4F8F" w:rsidRDefault="006D4F8F">
        <w:pPr>
          <w:pStyle w:val="Footer"/>
          <w:jc w:val="center"/>
        </w:pPr>
        <w:r>
          <w:fldChar w:fldCharType="begin"/>
        </w:r>
        <w:r>
          <w:instrText xml:space="preserve"> PAGE   \* MERGEFORMAT </w:instrText>
        </w:r>
        <w:r>
          <w:fldChar w:fldCharType="separate"/>
        </w:r>
        <w:r w:rsidR="00D700F7">
          <w:rPr>
            <w:noProof/>
          </w:rPr>
          <w:t>vii</w:t>
        </w:r>
        <w:r>
          <w:rPr>
            <w:noProof/>
          </w:rPr>
          <w:fldChar w:fldCharType="end"/>
        </w:r>
      </w:p>
    </w:sdtContent>
  </w:sdt>
  <w:p w14:paraId="453D958F" w14:textId="77777777" w:rsidR="006D4F8F" w:rsidRDefault="006D4F8F" w:rsidP="008F1817">
    <w:pPr>
      <w:pStyle w:val="Footer"/>
      <w:jc w:val="center"/>
      <w:rPr>
        <w:i/>
        <w:sz w:val="19"/>
        <w:szCs w:val="19"/>
      </w:rPr>
    </w:pPr>
    <w:r>
      <w:rPr>
        <w:i/>
        <w:sz w:val="19"/>
        <w:szCs w:val="19"/>
      </w:rPr>
      <w:t>The contents of this document are subject to restrictions on disclosure as set forth herein.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D07C7" w14:textId="77777777" w:rsidR="006D4F8F" w:rsidRDefault="006D4F8F" w:rsidP="00561154">
    <w:pPr>
      <w:pStyle w:val="Footer"/>
      <w:spacing w:after="120"/>
      <w:rPr>
        <w:sz w:val="20"/>
        <w:szCs w:val="20"/>
      </w:rPr>
    </w:pPr>
    <w:r>
      <w:rPr>
        <w:sz w:val="20"/>
        <w:szCs w:val="20"/>
      </w:rPr>
      <w:t>G</w:t>
    </w:r>
  </w:p>
  <w:p w14:paraId="0380387C" w14:textId="4AAF5588" w:rsidR="006D4F8F" w:rsidRDefault="006D4F8F" w:rsidP="0085615B">
    <w:pPr>
      <w:pStyle w:val="Footer"/>
      <w:jc w:val="center"/>
    </w:pPr>
    <w:r>
      <w:t>H-</w:t>
    </w:r>
    <w:r>
      <w:fldChar w:fldCharType="begin"/>
    </w:r>
    <w:r>
      <w:instrText xml:space="preserve"> PAGE   \* MERGEFORMAT </w:instrText>
    </w:r>
    <w:r>
      <w:fldChar w:fldCharType="separate"/>
    </w:r>
    <w:r w:rsidR="00D700F7">
      <w:rPr>
        <w:noProof/>
      </w:rPr>
      <w:t>3</w:t>
    </w:r>
    <w:r>
      <w:rPr>
        <w:noProof/>
      </w:rPr>
      <w:fldChar w:fldCharType="end"/>
    </w:r>
  </w:p>
  <w:p w14:paraId="6903A2B1"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582E" w14:textId="77777777" w:rsidR="006D4F8F" w:rsidRDefault="006D4F8F">
    <w:pPr>
      <w:pStyle w:val="Footer"/>
      <w:spacing w:after="120"/>
      <w:jc w:val="center"/>
      <w:rPr>
        <w:sz w:val="20"/>
        <w:szCs w:val="20"/>
      </w:rPr>
    </w:pPr>
  </w:p>
  <w:p w14:paraId="13C8B9ED" w14:textId="7883E6F5" w:rsidR="006D4F8F" w:rsidRDefault="006D4F8F" w:rsidP="0085615B">
    <w:pPr>
      <w:pStyle w:val="Footer"/>
      <w:jc w:val="center"/>
    </w:pPr>
    <w:r>
      <w:t>I-</w:t>
    </w:r>
    <w:r>
      <w:fldChar w:fldCharType="begin"/>
    </w:r>
    <w:r>
      <w:instrText xml:space="preserve"> PAGE   \* MERGEFORMAT </w:instrText>
    </w:r>
    <w:r>
      <w:fldChar w:fldCharType="separate"/>
    </w:r>
    <w:r w:rsidR="00D700F7">
      <w:rPr>
        <w:noProof/>
      </w:rPr>
      <w:t>2</w:t>
    </w:r>
    <w:r>
      <w:rPr>
        <w:noProof/>
      </w:rPr>
      <w:fldChar w:fldCharType="end"/>
    </w:r>
  </w:p>
  <w:p w14:paraId="16916B14"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C6DD" w14:textId="77777777" w:rsidR="006D4F8F" w:rsidRDefault="006D4F8F">
    <w:pPr>
      <w:pStyle w:val="Footer"/>
      <w:spacing w:after="120"/>
      <w:jc w:val="center"/>
      <w:rPr>
        <w:sz w:val="20"/>
        <w:szCs w:val="20"/>
      </w:rPr>
    </w:pPr>
  </w:p>
  <w:p w14:paraId="1E850885" w14:textId="13AD3C15" w:rsidR="006D4F8F" w:rsidRDefault="006D4F8F" w:rsidP="0085615B">
    <w:pPr>
      <w:pStyle w:val="Footer"/>
      <w:jc w:val="center"/>
    </w:pPr>
    <w:r>
      <w:t>J-</w:t>
    </w:r>
    <w:r>
      <w:fldChar w:fldCharType="begin"/>
    </w:r>
    <w:r>
      <w:instrText xml:space="preserve"> PAGE   \* MERGEFORMAT </w:instrText>
    </w:r>
    <w:r>
      <w:fldChar w:fldCharType="separate"/>
    </w:r>
    <w:r w:rsidR="00D700F7">
      <w:rPr>
        <w:noProof/>
      </w:rPr>
      <w:t>1</w:t>
    </w:r>
    <w:r>
      <w:rPr>
        <w:noProof/>
      </w:rPr>
      <w:fldChar w:fldCharType="end"/>
    </w:r>
  </w:p>
  <w:p w14:paraId="70A49015"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9FA9" w14:textId="77777777" w:rsidR="006D4F8F" w:rsidRDefault="006D4F8F">
    <w:pPr>
      <w:pStyle w:val="Footer"/>
      <w:spacing w:after="120"/>
      <w:jc w:val="center"/>
      <w:rPr>
        <w:sz w:val="20"/>
        <w:szCs w:val="20"/>
      </w:rPr>
    </w:pPr>
  </w:p>
  <w:p w14:paraId="244FE91E" w14:textId="567FD16C" w:rsidR="006D4F8F" w:rsidRDefault="006D4F8F" w:rsidP="0085615B">
    <w:pPr>
      <w:pStyle w:val="Footer"/>
      <w:jc w:val="center"/>
    </w:pPr>
    <w:r>
      <w:t>K-</w:t>
    </w:r>
    <w:r>
      <w:fldChar w:fldCharType="begin"/>
    </w:r>
    <w:r>
      <w:instrText xml:space="preserve"> PAGE   \* MERGEFORMAT </w:instrText>
    </w:r>
    <w:r>
      <w:fldChar w:fldCharType="separate"/>
    </w:r>
    <w:r w:rsidR="00D700F7">
      <w:rPr>
        <w:noProof/>
      </w:rPr>
      <w:t>3</w:t>
    </w:r>
    <w:r>
      <w:rPr>
        <w:noProof/>
      </w:rPr>
      <w:fldChar w:fldCharType="end"/>
    </w:r>
  </w:p>
  <w:p w14:paraId="28AEEBC2"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D8EB" w14:textId="77777777" w:rsidR="006D4F8F" w:rsidRDefault="006D4F8F" w:rsidP="00D87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88B3C6" w14:textId="77777777" w:rsidR="006D4F8F" w:rsidRDefault="006D4F8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F80A" w14:textId="1CDC20DE" w:rsidR="006D4F8F" w:rsidRDefault="006D4F8F" w:rsidP="00D87D0C">
    <w:pPr>
      <w:pStyle w:val="Footer"/>
      <w:framePr w:wrap="around" w:vAnchor="text" w:hAnchor="margin" w:xAlign="center" w:y="1"/>
      <w:rPr>
        <w:rStyle w:val="PageNumber"/>
      </w:rPr>
    </w:pPr>
    <w:r>
      <w:rPr>
        <w:rStyle w:val="PageNumber"/>
      </w:rPr>
      <w:t>L-</w:t>
    </w:r>
    <w:r>
      <w:rPr>
        <w:rStyle w:val="PageNumber"/>
      </w:rPr>
      <w:fldChar w:fldCharType="begin"/>
    </w:r>
    <w:r>
      <w:rPr>
        <w:rStyle w:val="PageNumber"/>
      </w:rPr>
      <w:instrText xml:space="preserve">PAGE  </w:instrText>
    </w:r>
    <w:r>
      <w:rPr>
        <w:rStyle w:val="PageNumber"/>
      </w:rPr>
      <w:fldChar w:fldCharType="separate"/>
    </w:r>
    <w:r w:rsidR="00D700F7">
      <w:rPr>
        <w:rStyle w:val="PageNumber"/>
        <w:noProof/>
      </w:rPr>
      <w:t>1</w:t>
    </w:r>
    <w:r>
      <w:rPr>
        <w:rStyle w:val="PageNumber"/>
      </w:rPr>
      <w:fldChar w:fldCharType="end"/>
    </w:r>
  </w:p>
  <w:p w14:paraId="102476B8" w14:textId="77777777" w:rsidR="006D4F8F" w:rsidRDefault="006D4F8F" w:rsidP="00233D41">
    <w:pPr>
      <w:pStyle w:val="Footer"/>
      <w:spacing w:line="200" w:lineRule="exact"/>
    </w:pPr>
  </w:p>
  <w:p w14:paraId="61EB3793" w14:textId="77777777" w:rsidR="006D4F8F" w:rsidRDefault="006D4F8F" w:rsidP="00233D41">
    <w:pPr>
      <w:pStyle w:val="Footer"/>
      <w:spacing w:line="200" w:lineRule="exact"/>
    </w:pPr>
  </w:p>
  <w:p w14:paraId="17BFEE3A" w14:textId="77777777" w:rsidR="006D4F8F" w:rsidRPr="00C17BBD" w:rsidRDefault="006D4F8F" w:rsidP="00FF157D">
    <w:pPr>
      <w:pStyle w:val="Footer"/>
      <w:jc w:val="center"/>
    </w:pPr>
    <w:r>
      <w:rPr>
        <w:i/>
        <w:sz w:val="19"/>
        <w:szCs w:val="19"/>
      </w:rPr>
      <w:t>The contents of this document are subject to restrictions on disclosure as set forth herein.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657331"/>
      <w:docPartObj>
        <w:docPartGallery w:val="Page Numbers (Bottom of Page)"/>
        <w:docPartUnique/>
      </w:docPartObj>
    </w:sdtPr>
    <w:sdtEndPr>
      <w:rPr>
        <w:noProof/>
      </w:rPr>
    </w:sdtEndPr>
    <w:sdtContent>
      <w:p w14:paraId="182C0F5F" w14:textId="77777777" w:rsidR="006D4F8F" w:rsidRDefault="006D4F8F">
        <w:pPr>
          <w:pStyle w:val="Footer"/>
          <w:jc w:val="center"/>
        </w:pPr>
        <w:r>
          <w:t>L-</w:t>
        </w:r>
        <w:r>
          <w:fldChar w:fldCharType="begin"/>
        </w:r>
        <w:r>
          <w:instrText xml:space="preserve"> PAGE   \* MERGEFORMAT </w:instrText>
        </w:r>
        <w:r>
          <w:fldChar w:fldCharType="separate"/>
        </w:r>
        <w:r>
          <w:rPr>
            <w:noProof/>
          </w:rPr>
          <w:t>1</w:t>
        </w:r>
        <w:r>
          <w:rPr>
            <w:noProof/>
          </w:rPr>
          <w:fldChar w:fldCharType="end"/>
        </w:r>
      </w:p>
    </w:sdtContent>
  </w:sdt>
  <w:p w14:paraId="6D567E09" w14:textId="77777777" w:rsidR="006D4F8F" w:rsidRPr="007146CA" w:rsidRDefault="006D4F8F" w:rsidP="00D075D8">
    <w:pPr>
      <w:pStyle w:val="Footer"/>
      <w:jc w:val="center"/>
      <w:rPr>
        <w:noProof/>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A261" w14:textId="77777777" w:rsidR="006D4F8F" w:rsidRDefault="006D4F8F">
    <w:pPr>
      <w:pStyle w:val="Footer"/>
      <w:spacing w:after="120"/>
      <w:jc w:val="center"/>
      <w:rPr>
        <w:sz w:val="20"/>
        <w:szCs w:val="20"/>
      </w:rPr>
    </w:pPr>
  </w:p>
  <w:p w14:paraId="165F1BE3" w14:textId="26149F37" w:rsidR="006D4F8F" w:rsidRDefault="006D4F8F" w:rsidP="0085615B">
    <w:pPr>
      <w:pStyle w:val="Footer"/>
      <w:jc w:val="center"/>
    </w:pPr>
    <w:r>
      <w:t>M-</w:t>
    </w:r>
    <w:r>
      <w:fldChar w:fldCharType="begin"/>
    </w:r>
    <w:r>
      <w:instrText xml:space="preserve"> PAGE   \* MERGEFORMAT </w:instrText>
    </w:r>
    <w:r>
      <w:fldChar w:fldCharType="separate"/>
    </w:r>
    <w:r w:rsidR="00D700F7">
      <w:rPr>
        <w:noProof/>
      </w:rPr>
      <w:t>1</w:t>
    </w:r>
    <w:r>
      <w:rPr>
        <w:noProof/>
      </w:rPr>
      <w:fldChar w:fldCharType="end"/>
    </w:r>
  </w:p>
  <w:p w14:paraId="59BD933A"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C6B9" w14:textId="77777777" w:rsidR="006D4F8F" w:rsidRDefault="006D4F8F">
    <w:pPr>
      <w:pStyle w:val="Footer"/>
      <w:spacing w:after="120"/>
      <w:jc w:val="center"/>
      <w:rPr>
        <w:sz w:val="20"/>
        <w:szCs w:val="20"/>
      </w:rPr>
    </w:pPr>
  </w:p>
  <w:p w14:paraId="1F396B9E" w14:textId="66D00E15" w:rsidR="006D4F8F" w:rsidRDefault="006D4F8F" w:rsidP="0085615B">
    <w:pPr>
      <w:pStyle w:val="Footer"/>
      <w:jc w:val="center"/>
    </w:pPr>
    <w:r>
      <w:t>N-</w:t>
    </w:r>
    <w:r>
      <w:fldChar w:fldCharType="begin"/>
    </w:r>
    <w:r>
      <w:instrText xml:space="preserve"> PAGE   \* MERGEFORMAT </w:instrText>
    </w:r>
    <w:r>
      <w:fldChar w:fldCharType="separate"/>
    </w:r>
    <w:r w:rsidR="00D700F7">
      <w:rPr>
        <w:noProof/>
      </w:rPr>
      <w:t>2</w:t>
    </w:r>
    <w:r>
      <w:rPr>
        <w:noProof/>
      </w:rPr>
      <w:fldChar w:fldCharType="end"/>
    </w:r>
  </w:p>
  <w:p w14:paraId="78E26004"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086EC" w14:textId="77777777" w:rsidR="006D4F8F" w:rsidRDefault="006D4F8F">
    <w:pPr>
      <w:pStyle w:val="Footer"/>
      <w:spacing w:after="120"/>
      <w:jc w:val="center"/>
      <w:rPr>
        <w:sz w:val="20"/>
        <w:szCs w:val="20"/>
      </w:rPr>
    </w:pPr>
  </w:p>
  <w:p w14:paraId="2104C1D6" w14:textId="3676471A" w:rsidR="006D4F8F" w:rsidRDefault="006D4F8F" w:rsidP="0085615B">
    <w:pPr>
      <w:pStyle w:val="Footer"/>
      <w:jc w:val="center"/>
    </w:pPr>
    <w:r>
      <w:t>O-</w:t>
    </w:r>
    <w:r>
      <w:fldChar w:fldCharType="begin"/>
    </w:r>
    <w:r>
      <w:instrText xml:space="preserve"> PAGE   \* MERGEFORMAT </w:instrText>
    </w:r>
    <w:r>
      <w:fldChar w:fldCharType="separate"/>
    </w:r>
    <w:r w:rsidR="00D700F7">
      <w:rPr>
        <w:noProof/>
      </w:rPr>
      <w:t>2</w:t>
    </w:r>
    <w:r>
      <w:rPr>
        <w:noProof/>
      </w:rPr>
      <w:fldChar w:fldCharType="end"/>
    </w:r>
  </w:p>
  <w:p w14:paraId="4E8CE7C3"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794100"/>
      <w:docPartObj>
        <w:docPartGallery w:val="Page Numbers (Bottom of Page)"/>
        <w:docPartUnique/>
      </w:docPartObj>
    </w:sdtPr>
    <w:sdtEndPr>
      <w:rPr>
        <w:noProof/>
      </w:rPr>
    </w:sdtEndPr>
    <w:sdtContent>
      <w:p w14:paraId="3BF8A81C" w14:textId="7551104C" w:rsidR="006D4F8F" w:rsidRDefault="006D4F8F">
        <w:pPr>
          <w:pStyle w:val="Footer"/>
          <w:jc w:val="center"/>
        </w:pPr>
        <w:r>
          <w:fldChar w:fldCharType="begin"/>
        </w:r>
        <w:r>
          <w:instrText xml:space="preserve"> PAGE   \* MERGEFORMAT </w:instrText>
        </w:r>
        <w:r>
          <w:fldChar w:fldCharType="separate"/>
        </w:r>
        <w:r w:rsidR="00D700F7">
          <w:rPr>
            <w:noProof/>
          </w:rPr>
          <w:t>44</w:t>
        </w:r>
        <w:r>
          <w:rPr>
            <w:noProof/>
          </w:rPr>
          <w:fldChar w:fldCharType="end"/>
        </w:r>
      </w:p>
    </w:sdtContent>
  </w:sdt>
  <w:p w14:paraId="4D5610F0" w14:textId="77777777" w:rsidR="006D4F8F" w:rsidRDefault="006D4F8F"/>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1FF12" w14:textId="77777777" w:rsidR="006D4F8F" w:rsidRDefault="006D4F8F">
    <w:pPr>
      <w:pStyle w:val="Footer"/>
      <w:spacing w:after="120"/>
      <w:jc w:val="center"/>
      <w:rPr>
        <w:sz w:val="20"/>
        <w:szCs w:val="20"/>
      </w:rPr>
    </w:pPr>
  </w:p>
  <w:p w14:paraId="59531C45" w14:textId="3CB7A469" w:rsidR="006D4F8F" w:rsidRDefault="006D4F8F" w:rsidP="0085615B">
    <w:pPr>
      <w:pStyle w:val="Footer"/>
      <w:jc w:val="center"/>
    </w:pPr>
    <w:r>
      <w:t>P-</w:t>
    </w:r>
    <w:r>
      <w:fldChar w:fldCharType="begin"/>
    </w:r>
    <w:r>
      <w:instrText xml:space="preserve"> PAGE   \* MERGEFORMAT </w:instrText>
    </w:r>
    <w:r>
      <w:fldChar w:fldCharType="separate"/>
    </w:r>
    <w:r w:rsidR="00D700F7">
      <w:rPr>
        <w:noProof/>
      </w:rPr>
      <w:t>1</w:t>
    </w:r>
    <w:r>
      <w:rPr>
        <w:noProof/>
      </w:rPr>
      <w:fldChar w:fldCharType="end"/>
    </w:r>
  </w:p>
  <w:p w14:paraId="64706EE3"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3D3D9" w14:textId="77777777" w:rsidR="006D4F8F" w:rsidRDefault="006D4F8F">
    <w:pPr>
      <w:pStyle w:val="Footer"/>
      <w:spacing w:after="120"/>
      <w:jc w:val="center"/>
      <w:rPr>
        <w:sz w:val="20"/>
        <w:szCs w:val="20"/>
      </w:rPr>
    </w:pPr>
  </w:p>
  <w:p w14:paraId="03D32CCA" w14:textId="2FD9EA03" w:rsidR="006D4F8F" w:rsidRDefault="006D4F8F" w:rsidP="0085615B">
    <w:pPr>
      <w:pStyle w:val="Footer"/>
      <w:jc w:val="center"/>
    </w:pPr>
    <w:r>
      <w:t>Q-</w:t>
    </w:r>
    <w:r>
      <w:fldChar w:fldCharType="begin"/>
    </w:r>
    <w:r>
      <w:instrText xml:space="preserve"> PAGE   \* MERGEFORMAT </w:instrText>
    </w:r>
    <w:r>
      <w:fldChar w:fldCharType="separate"/>
    </w:r>
    <w:r w:rsidR="00D700F7">
      <w:rPr>
        <w:noProof/>
      </w:rPr>
      <w:t>4</w:t>
    </w:r>
    <w:r>
      <w:rPr>
        <w:noProof/>
      </w:rPr>
      <w:fldChar w:fldCharType="end"/>
    </w:r>
  </w:p>
  <w:p w14:paraId="5769E5B9"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0038" w14:textId="77777777" w:rsidR="006D4F8F" w:rsidRDefault="006D4F8F">
    <w:pPr>
      <w:pStyle w:val="Footer"/>
      <w:spacing w:after="120"/>
      <w:jc w:val="center"/>
      <w:rPr>
        <w:sz w:val="20"/>
        <w:szCs w:val="20"/>
      </w:rPr>
    </w:pPr>
  </w:p>
  <w:p w14:paraId="285562E6" w14:textId="03EADED0" w:rsidR="006D4F8F" w:rsidRDefault="006D4F8F" w:rsidP="0085615B">
    <w:pPr>
      <w:pStyle w:val="Footer"/>
      <w:jc w:val="center"/>
    </w:pPr>
    <w:r>
      <w:t>R-</w:t>
    </w:r>
    <w:r>
      <w:fldChar w:fldCharType="begin"/>
    </w:r>
    <w:r>
      <w:instrText xml:space="preserve"> PAGE   \* MERGEFORMAT </w:instrText>
    </w:r>
    <w:r>
      <w:fldChar w:fldCharType="separate"/>
    </w:r>
    <w:r w:rsidR="00D700F7">
      <w:rPr>
        <w:noProof/>
      </w:rPr>
      <w:t>20</w:t>
    </w:r>
    <w:r>
      <w:rPr>
        <w:noProof/>
      </w:rPr>
      <w:fldChar w:fldCharType="end"/>
    </w:r>
  </w:p>
  <w:p w14:paraId="6EBFE373"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533425"/>
      <w:docPartObj>
        <w:docPartGallery w:val="Page Numbers (Bottom of Page)"/>
        <w:docPartUnique/>
      </w:docPartObj>
    </w:sdtPr>
    <w:sdtEndPr>
      <w:rPr>
        <w:noProof/>
      </w:rPr>
    </w:sdtEndPr>
    <w:sdtContent>
      <w:p w14:paraId="1FAF83B9" w14:textId="21201736" w:rsidR="006D4F8F" w:rsidRPr="00331F1B" w:rsidRDefault="006D4F8F">
        <w:pPr>
          <w:pStyle w:val="Footer"/>
          <w:jc w:val="center"/>
        </w:pPr>
        <w:r>
          <w:t>S</w:t>
        </w:r>
        <w:r w:rsidRPr="00331F1B">
          <w:t>-</w:t>
        </w:r>
        <w:r w:rsidRPr="00331F1B">
          <w:fldChar w:fldCharType="begin"/>
        </w:r>
        <w:r w:rsidRPr="00331F1B">
          <w:instrText xml:space="preserve"> PAGE   \* MERGEFORMAT </w:instrText>
        </w:r>
        <w:r w:rsidRPr="00331F1B">
          <w:fldChar w:fldCharType="separate"/>
        </w:r>
        <w:r w:rsidR="00D700F7">
          <w:rPr>
            <w:noProof/>
          </w:rPr>
          <w:t>6</w:t>
        </w:r>
        <w:r w:rsidRPr="00331F1B">
          <w:rPr>
            <w:noProof/>
          </w:rPr>
          <w:fldChar w:fldCharType="end"/>
        </w:r>
      </w:p>
    </w:sdtContent>
  </w:sdt>
  <w:p w14:paraId="2B5D07A8" w14:textId="77777777" w:rsidR="006D4F8F" w:rsidRPr="005841C7" w:rsidRDefault="006D4F8F" w:rsidP="00144F8F">
    <w:pPr>
      <w:pStyle w:val="Footer"/>
      <w:ind w:left="90"/>
      <w:jc w:val="center"/>
      <w:rPr>
        <w:noProof/>
      </w:rPr>
    </w:pPr>
    <w:r w:rsidRPr="00331F1B">
      <w:rPr>
        <w:i/>
        <w:iCs/>
        <w:sz w:val="19"/>
        <w:szCs w:val="19"/>
        <w:lang w:val="x-none" w:eastAsia="x-none"/>
      </w:rPr>
      <w:t>The contents of this document are subject to restrictions</w:t>
    </w:r>
    <w:r w:rsidRPr="0005409A">
      <w:rPr>
        <w:i/>
        <w:iCs/>
        <w:sz w:val="19"/>
        <w:szCs w:val="19"/>
        <w:lang w:val="x-none" w:eastAsia="x-none"/>
      </w:rPr>
      <w:t xml:space="preserve"> on disclosure as set forth herein.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5D15" w14:textId="77777777" w:rsidR="006D4F8F" w:rsidRDefault="006D4F8F">
    <w:pPr>
      <w:pStyle w:val="Footer"/>
      <w:spacing w:after="120"/>
      <w:jc w:val="center"/>
      <w:rPr>
        <w:sz w:val="20"/>
        <w:szCs w:val="20"/>
      </w:rPr>
    </w:pPr>
  </w:p>
  <w:p w14:paraId="23DDCBD7" w14:textId="0B74F041" w:rsidR="006D4F8F" w:rsidRDefault="006D4F8F" w:rsidP="0085615B">
    <w:pPr>
      <w:pStyle w:val="Footer"/>
      <w:jc w:val="center"/>
    </w:pPr>
    <w:r>
      <w:t>A-</w:t>
    </w:r>
    <w:r>
      <w:fldChar w:fldCharType="begin"/>
    </w:r>
    <w:r>
      <w:instrText xml:space="preserve"> PAGE   \* MERGEFORMAT </w:instrText>
    </w:r>
    <w:r>
      <w:fldChar w:fldCharType="separate"/>
    </w:r>
    <w:r w:rsidR="00D700F7">
      <w:rPr>
        <w:noProof/>
      </w:rPr>
      <w:t>30</w:t>
    </w:r>
    <w:r>
      <w:rPr>
        <w:noProof/>
      </w:rPr>
      <w:fldChar w:fldCharType="end"/>
    </w:r>
  </w:p>
  <w:p w14:paraId="0EE1CF73"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0210" w14:textId="77777777" w:rsidR="006D4F8F" w:rsidRDefault="006D4F8F">
    <w:pPr>
      <w:pStyle w:val="Footer"/>
      <w:spacing w:after="120"/>
      <w:jc w:val="center"/>
      <w:rPr>
        <w:sz w:val="20"/>
        <w:szCs w:val="20"/>
      </w:rPr>
    </w:pPr>
  </w:p>
  <w:p w14:paraId="38CF294F" w14:textId="4F04B803" w:rsidR="006D4F8F" w:rsidRDefault="006D4F8F" w:rsidP="0085615B">
    <w:pPr>
      <w:pStyle w:val="Footer"/>
      <w:jc w:val="center"/>
    </w:pPr>
    <w:r>
      <w:t>B-</w:t>
    </w:r>
    <w:r>
      <w:fldChar w:fldCharType="begin"/>
    </w:r>
    <w:r>
      <w:instrText xml:space="preserve"> PAGE   \* MERGEFORMAT </w:instrText>
    </w:r>
    <w:r>
      <w:fldChar w:fldCharType="separate"/>
    </w:r>
    <w:r w:rsidR="00D700F7">
      <w:rPr>
        <w:noProof/>
      </w:rPr>
      <w:t>3</w:t>
    </w:r>
    <w:r>
      <w:rPr>
        <w:noProof/>
      </w:rPr>
      <w:fldChar w:fldCharType="end"/>
    </w:r>
  </w:p>
  <w:p w14:paraId="7E707B29"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7068" w14:textId="77777777" w:rsidR="006D4F8F" w:rsidRDefault="006D4F8F">
    <w:pPr>
      <w:pStyle w:val="Footer"/>
      <w:spacing w:after="120"/>
      <w:jc w:val="center"/>
      <w:rPr>
        <w:sz w:val="20"/>
        <w:szCs w:val="20"/>
      </w:rPr>
    </w:pPr>
  </w:p>
  <w:p w14:paraId="171718A8" w14:textId="36AB82E0" w:rsidR="006D4F8F" w:rsidRDefault="006D4F8F" w:rsidP="0085615B">
    <w:pPr>
      <w:pStyle w:val="Footer"/>
      <w:jc w:val="center"/>
    </w:pPr>
    <w:r>
      <w:t>C-</w:t>
    </w:r>
    <w:r>
      <w:fldChar w:fldCharType="begin"/>
    </w:r>
    <w:r>
      <w:instrText xml:space="preserve"> PAGE   \* MERGEFORMAT </w:instrText>
    </w:r>
    <w:r>
      <w:fldChar w:fldCharType="separate"/>
    </w:r>
    <w:r w:rsidR="00D700F7">
      <w:rPr>
        <w:noProof/>
      </w:rPr>
      <w:t>11</w:t>
    </w:r>
    <w:r>
      <w:rPr>
        <w:noProof/>
      </w:rPr>
      <w:fldChar w:fldCharType="end"/>
    </w:r>
  </w:p>
  <w:p w14:paraId="6C199475"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65DAA" w14:textId="77777777" w:rsidR="006D4F8F" w:rsidRDefault="006D4F8F">
    <w:pPr>
      <w:pStyle w:val="Footer"/>
      <w:spacing w:after="120"/>
      <w:jc w:val="center"/>
      <w:rPr>
        <w:sz w:val="20"/>
        <w:szCs w:val="20"/>
      </w:rPr>
    </w:pPr>
  </w:p>
  <w:p w14:paraId="20C41542" w14:textId="5DA90880" w:rsidR="006D4F8F" w:rsidRDefault="006D4F8F" w:rsidP="0085615B">
    <w:pPr>
      <w:pStyle w:val="Footer"/>
      <w:jc w:val="center"/>
    </w:pPr>
    <w:r>
      <w:t>D-</w:t>
    </w:r>
    <w:r>
      <w:fldChar w:fldCharType="begin"/>
    </w:r>
    <w:r>
      <w:instrText xml:space="preserve"> PAGE   \* MERGEFORMAT </w:instrText>
    </w:r>
    <w:r>
      <w:fldChar w:fldCharType="separate"/>
    </w:r>
    <w:r w:rsidR="00D700F7">
      <w:rPr>
        <w:noProof/>
      </w:rPr>
      <w:t>2</w:t>
    </w:r>
    <w:r>
      <w:rPr>
        <w:noProof/>
      </w:rPr>
      <w:fldChar w:fldCharType="end"/>
    </w:r>
  </w:p>
  <w:p w14:paraId="1D7037EE"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2843E" w14:textId="72390753" w:rsidR="006D4F8F" w:rsidRPr="00561154" w:rsidRDefault="006D4F8F" w:rsidP="0085615B">
    <w:pPr>
      <w:pStyle w:val="Footer"/>
      <w:jc w:val="center"/>
      <w:rPr>
        <w:noProof/>
      </w:rPr>
    </w:pPr>
    <w:r w:rsidRPr="00561154">
      <w:t>E-</w:t>
    </w:r>
    <w:r w:rsidRPr="00561154">
      <w:fldChar w:fldCharType="begin"/>
    </w:r>
    <w:r w:rsidRPr="00561154">
      <w:instrText xml:space="preserve"> PAGE   \* MERGEFORMAT </w:instrText>
    </w:r>
    <w:r w:rsidRPr="00561154">
      <w:fldChar w:fldCharType="separate"/>
    </w:r>
    <w:r w:rsidR="00D700F7">
      <w:rPr>
        <w:noProof/>
      </w:rPr>
      <w:t>1</w:t>
    </w:r>
    <w:r w:rsidRPr="00561154">
      <w:rPr>
        <w:noProof/>
      </w:rPr>
      <w:fldChar w:fldCharType="end"/>
    </w:r>
  </w:p>
  <w:p w14:paraId="36A82C24" w14:textId="6CB241A9" w:rsidR="006D4F8F" w:rsidRPr="00561154" w:rsidRDefault="006D4F8F" w:rsidP="0085615B">
    <w:pPr>
      <w:pStyle w:val="Footer"/>
      <w:jc w:val="center"/>
      <w:rPr>
        <w:sz w:val="19"/>
        <w:szCs w:val="19"/>
      </w:rPr>
    </w:pPr>
    <w:r>
      <w:rPr>
        <w:i/>
        <w:sz w:val="19"/>
        <w:szCs w:val="19"/>
      </w:rPr>
      <w:t>The contents of this document are subject to restrictions on disclosure as set forth herein.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AB74E" w14:textId="77777777" w:rsidR="006D4F8F" w:rsidRDefault="006D4F8F">
    <w:pPr>
      <w:pStyle w:val="Footer"/>
      <w:spacing w:after="120"/>
      <w:jc w:val="center"/>
      <w:rPr>
        <w:sz w:val="20"/>
        <w:szCs w:val="20"/>
      </w:rPr>
    </w:pPr>
  </w:p>
  <w:p w14:paraId="1256E808" w14:textId="422D8912" w:rsidR="006D4F8F" w:rsidRDefault="006D4F8F" w:rsidP="0085615B">
    <w:pPr>
      <w:pStyle w:val="Footer"/>
      <w:jc w:val="center"/>
    </w:pPr>
    <w:r>
      <w:t>F-</w:t>
    </w:r>
    <w:r>
      <w:fldChar w:fldCharType="begin"/>
    </w:r>
    <w:r>
      <w:instrText xml:space="preserve"> PAGE   \* MERGEFORMAT </w:instrText>
    </w:r>
    <w:r>
      <w:fldChar w:fldCharType="separate"/>
    </w:r>
    <w:r w:rsidR="00D700F7">
      <w:rPr>
        <w:noProof/>
      </w:rPr>
      <w:t>1</w:t>
    </w:r>
    <w:r>
      <w:rPr>
        <w:noProof/>
      </w:rPr>
      <w:fldChar w:fldCharType="end"/>
    </w:r>
  </w:p>
  <w:p w14:paraId="2B103354"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BE32" w14:textId="053FAB45" w:rsidR="006D4F8F" w:rsidRDefault="006D4F8F" w:rsidP="00561154">
    <w:pPr>
      <w:pStyle w:val="Footer"/>
      <w:spacing w:after="120"/>
      <w:rPr>
        <w:sz w:val="20"/>
        <w:szCs w:val="20"/>
      </w:rPr>
    </w:pPr>
    <w:r>
      <w:rPr>
        <w:sz w:val="20"/>
        <w:szCs w:val="20"/>
      </w:rPr>
      <w:t>G</w:t>
    </w:r>
  </w:p>
  <w:p w14:paraId="615629B4" w14:textId="71EAD3F8" w:rsidR="006D4F8F" w:rsidRDefault="006D4F8F" w:rsidP="0085615B">
    <w:pPr>
      <w:pStyle w:val="Footer"/>
      <w:jc w:val="center"/>
    </w:pPr>
    <w:r>
      <w:t>G-</w:t>
    </w:r>
    <w:r>
      <w:fldChar w:fldCharType="begin"/>
    </w:r>
    <w:r>
      <w:instrText xml:space="preserve"> PAGE   \* MERGEFORMAT </w:instrText>
    </w:r>
    <w:r>
      <w:fldChar w:fldCharType="separate"/>
    </w:r>
    <w:r w:rsidR="00D700F7">
      <w:rPr>
        <w:noProof/>
      </w:rPr>
      <w:t>2</w:t>
    </w:r>
    <w:r>
      <w:rPr>
        <w:noProof/>
      </w:rPr>
      <w:fldChar w:fldCharType="end"/>
    </w:r>
  </w:p>
  <w:p w14:paraId="418ACF4E" w14:textId="77777777" w:rsidR="006D4F8F" w:rsidRPr="0085615B" w:rsidRDefault="006D4F8F" w:rsidP="0085615B">
    <w:pPr>
      <w:pStyle w:val="Footer"/>
      <w:jc w:val="center"/>
      <w:rPr>
        <w:i/>
        <w:sz w:val="19"/>
        <w:szCs w:val="19"/>
      </w:rPr>
    </w:pPr>
    <w:r>
      <w:tab/>
    </w:r>
    <w:r>
      <w:rPr>
        <w:i/>
        <w:sz w:val="19"/>
        <w:szCs w:val="19"/>
      </w:rPr>
      <w:t>The contents of this document are subject to restrictions on disclosure as set forth 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9F9AF" w14:textId="77777777" w:rsidR="006D4F8F" w:rsidRDefault="006D4F8F">
      <w:r>
        <w:separator/>
      </w:r>
    </w:p>
  </w:footnote>
  <w:footnote w:type="continuationSeparator" w:id="0">
    <w:p w14:paraId="5446541B" w14:textId="77777777" w:rsidR="006D4F8F" w:rsidRDefault="006D4F8F">
      <w:r>
        <w:continuationSeparator/>
      </w:r>
    </w:p>
  </w:footnote>
  <w:footnote w:type="continuationNotice" w:id="1">
    <w:p w14:paraId="34B6C029" w14:textId="77777777" w:rsidR="006D4F8F" w:rsidRDefault="006D4F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CB7DE" w14:textId="77777777" w:rsidR="006D4F8F" w:rsidRPr="000E1293" w:rsidRDefault="006D4F8F" w:rsidP="00FF157D">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t xml:space="preserve">  </w:t>
    </w:r>
    <w:r w:rsidRPr="000E1293">
      <w:rPr>
        <w:i/>
        <w:iCs/>
        <w:sz w:val="18"/>
        <w:szCs w:val="18"/>
      </w:rPr>
      <w:t>Confidential Information</w:t>
    </w:r>
  </w:p>
  <w:p w14:paraId="393697FD" w14:textId="2324AE10" w:rsidR="006D4F8F" w:rsidRPr="004E2914" w:rsidRDefault="006D4F8F" w:rsidP="00907F25">
    <w:pPr>
      <w:tabs>
        <w:tab w:val="left" w:pos="6480"/>
        <w:tab w:val="left" w:pos="666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rPr>
      <w:t>ACES 2 RFO</w:t>
    </w:r>
  </w:p>
  <w:p w14:paraId="7E71A4AA" w14:textId="77777777" w:rsidR="006D4F8F" w:rsidRPr="00085D69" w:rsidRDefault="006D4F8F" w:rsidP="0068413C">
    <w:pPr>
      <w:pStyle w:val="TOCTitle"/>
      <w:tabs>
        <w:tab w:val="left" w:pos="6735"/>
      </w:tabs>
      <w:jc w:val="left"/>
      <w:rPr>
        <w:sz w:val="20"/>
      </w:rPr>
    </w:pPr>
    <w:r>
      <w:rPr>
        <w:sz w:val="20"/>
      </w:rPr>
      <w:tab/>
    </w:r>
  </w:p>
  <w:p w14:paraId="68C71334" w14:textId="77777777" w:rsidR="006D4F8F" w:rsidRPr="00EF566B" w:rsidRDefault="006D4F8F" w:rsidP="003B6F8D">
    <w:pPr>
      <w:pStyle w:val="TOCTitle"/>
      <w:ind w:left="2880" w:firstLine="270"/>
      <w:jc w:val="left"/>
    </w:pPr>
    <w:r w:rsidRPr="009F0F03">
      <w:t xml:space="preserve">Table </w:t>
    </w:r>
    <w:r w:rsidRPr="00EF566B">
      <w:t>Of Contents</w:t>
    </w:r>
  </w:p>
  <w:tbl>
    <w:tblPr>
      <w:tblW w:w="9450" w:type="dxa"/>
      <w:tblLayout w:type="fixed"/>
      <w:tblCellMar>
        <w:left w:w="72" w:type="dxa"/>
        <w:right w:w="72" w:type="dxa"/>
      </w:tblCellMar>
      <w:tblLook w:val="0000" w:firstRow="0" w:lastRow="0" w:firstColumn="0" w:lastColumn="0" w:noHBand="0" w:noVBand="0"/>
    </w:tblPr>
    <w:tblGrid>
      <w:gridCol w:w="8640"/>
      <w:gridCol w:w="810"/>
    </w:tblGrid>
    <w:tr w:rsidR="006D4F8F" w14:paraId="43DF097D" w14:textId="77777777" w:rsidTr="00106009">
      <w:trPr>
        <w:cantSplit/>
      </w:trPr>
      <w:tc>
        <w:tcPr>
          <w:tcW w:w="8640" w:type="dxa"/>
        </w:tcPr>
        <w:p w14:paraId="38389F10" w14:textId="77777777" w:rsidR="006D4F8F" w:rsidRPr="00EF566B" w:rsidRDefault="006D4F8F" w:rsidP="003B6F8D">
          <w:pPr>
            <w:pStyle w:val="TOCtable"/>
            <w:suppressLineNumbers/>
          </w:pPr>
          <w:r w:rsidRPr="00EF566B">
            <w:t>Section</w:t>
          </w:r>
        </w:p>
      </w:tc>
      <w:tc>
        <w:tcPr>
          <w:tcW w:w="810" w:type="dxa"/>
        </w:tcPr>
        <w:p w14:paraId="6F3AF53D" w14:textId="77777777" w:rsidR="006D4F8F" w:rsidRDefault="006D4F8F" w:rsidP="003B6F8D">
          <w:pPr>
            <w:pStyle w:val="TOCtable"/>
            <w:suppressLineNumbers/>
            <w:jc w:val="left"/>
          </w:pPr>
          <w:r w:rsidRPr="00EF566B">
            <w:t>Page</w:t>
          </w:r>
          <w:r>
            <w:t xml:space="preserve">              </w:t>
          </w:r>
        </w:p>
      </w:tc>
    </w:tr>
  </w:tbl>
  <w:p w14:paraId="5E7BE2A4" w14:textId="77777777" w:rsidR="006D4F8F" w:rsidRDefault="006D4F8F" w:rsidP="003B6F8D">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D2A4E" w14:textId="77777777" w:rsidR="006D4F8F" w:rsidRPr="000E1293" w:rsidRDefault="006D4F8F" w:rsidP="00FF157D">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t xml:space="preserve">  </w:t>
    </w:r>
    <w:r w:rsidRPr="000E1293">
      <w:rPr>
        <w:i/>
        <w:iCs/>
        <w:sz w:val="18"/>
        <w:szCs w:val="18"/>
      </w:rPr>
      <w:t>Confidential Information</w:t>
    </w:r>
  </w:p>
  <w:p w14:paraId="1C7CCDD3" w14:textId="65B726B9" w:rsidR="006D4F8F" w:rsidRPr="004E2914" w:rsidRDefault="006D4F8F" w:rsidP="00907F25">
    <w:pPr>
      <w:tabs>
        <w:tab w:val="left" w:pos="648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rPr>
      <w:t>ACES 2 RFO</w:t>
    </w:r>
  </w:p>
  <w:p w14:paraId="7AF0E92C" w14:textId="77777777" w:rsidR="006D4F8F" w:rsidRPr="00085D69" w:rsidRDefault="006D4F8F" w:rsidP="00C56DDC">
    <w:pPr>
      <w:pStyle w:val="TOCTitle"/>
      <w:rPr>
        <w:sz w:val="20"/>
      </w:rPr>
    </w:pPr>
  </w:p>
  <w:p w14:paraId="072E2ECE" w14:textId="77777777" w:rsidR="006D4F8F" w:rsidRPr="00EF566B" w:rsidRDefault="006D4F8F" w:rsidP="00C56DDC">
    <w:pPr>
      <w:pStyle w:val="TOCTitle"/>
    </w:pPr>
    <w:r w:rsidRPr="00CC7744">
      <w:t xml:space="preserve">Table Of </w:t>
    </w:r>
    <w:r w:rsidRPr="00EF566B">
      <w:t>Exhibits</w:t>
    </w:r>
  </w:p>
  <w:tbl>
    <w:tblPr>
      <w:tblW w:w="9648" w:type="dxa"/>
      <w:tblLayout w:type="fixed"/>
      <w:tblCellMar>
        <w:left w:w="72" w:type="dxa"/>
        <w:right w:w="72" w:type="dxa"/>
      </w:tblCellMar>
      <w:tblLook w:val="0000" w:firstRow="0" w:lastRow="0" w:firstColumn="0" w:lastColumn="0" w:noHBand="0" w:noVBand="0"/>
    </w:tblPr>
    <w:tblGrid>
      <w:gridCol w:w="9648"/>
    </w:tblGrid>
    <w:tr w:rsidR="006D4F8F" w14:paraId="7E527C6C" w14:textId="77777777" w:rsidTr="00DB7FE0">
      <w:trPr>
        <w:cantSplit/>
      </w:trPr>
      <w:tc>
        <w:tcPr>
          <w:tcW w:w="9648" w:type="dxa"/>
        </w:tcPr>
        <w:p w14:paraId="11C64505" w14:textId="77777777" w:rsidR="006D4F8F" w:rsidRPr="00EF566B" w:rsidRDefault="006D4F8F" w:rsidP="00C56DDC">
          <w:pPr>
            <w:pStyle w:val="TOCtable"/>
            <w:suppressLineNumbers/>
          </w:pPr>
          <w:r>
            <w:t>EXHIBIT</w:t>
          </w:r>
        </w:p>
      </w:tc>
    </w:tr>
  </w:tbl>
  <w:p w14:paraId="3D7C307F" w14:textId="77777777" w:rsidR="006D4F8F" w:rsidRPr="00C56DDC" w:rsidRDefault="006D4F8F" w:rsidP="00C56D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44EF" w14:textId="77777777" w:rsidR="006D4F8F" w:rsidRPr="00B1700B" w:rsidRDefault="006D4F8F" w:rsidP="006342D0">
    <w:pPr>
      <w:pBdr>
        <w:bottom w:val="single" w:sz="24" w:space="1" w:color="000000"/>
      </w:pBdr>
      <w:tabs>
        <w:tab w:val="right" w:pos="9000"/>
      </w:tabs>
      <w:spacing w:after="0"/>
      <w:rPr>
        <w:sz w:val="23"/>
      </w:rPr>
    </w:pPr>
    <w:r w:rsidRPr="00B1700B">
      <w:rPr>
        <w:b/>
        <w:sz w:val="36"/>
      </w:rPr>
      <w:t>Southern California Edison</w:t>
    </w:r>
    <w:r w:rsidRPr="00B1700B">
      <w:rPr>
        <w:sz w:val="20"/>
      </w:rPr>
      <w:tab/>
      <w:t xml:space="preserve">  </w:t>
    </w:r>
    <w:r w:rsidRPr="00B1700B">
      <w:rPr>
        <w:i/>
        <w:sz w:val="18"/>
      </w:rPr>
      <w:t>Confidential Information</w:t>
    </w:r>
  </w:p>
  <w:p w14:paraId="57B84E1A" w14:textId="0C2EEBE2" w:rsidR="006D4F8F" w:rsidRPr="002B6766" w:rsidRDefault="006D4F8F" w:rsidP="00907F25">
    <w:pPr>
      <w:tabs>
        <w:tab w:val="left" w:pos="6480"/>
      </w:tabs>
      <w:spacing w:after="0"/>
      <w:ind w:right="270"/>
      <w:rPr>
        <w:i/>
        <w:iCs/>
        <w:sz w:val="20"/>
      </w:rPr>
    </w:pPr>
    <w:r w:rsidRPr="00B1700B">
      <w:rPr>
        <w:i/>
        <w:iCs/>
        <w:sz w:val="20"/>
      </w:rPr>
      <w:t xml:space="preserve">ID# </w:t>
    </w:r>
    <w:r w:rsidRPr="00B1700B">
      <w:rPr>
        <w:i/>
        <w:iCs/>
        <w:color w:val="0000FF"/>
        <w:sz w:val="20"/>
      </w:rPr>
      <w:t>[Number]</w:t>
    </w:r>
    <w:r w:rsidRPr="00B1700B">
      <w:rPr>
        <w:i/>
        <w:color w:val="0000FF"/>
        <w:sz w:val="20"/>
      </w:rPr>
      <w:t xml:space="preserve">, </w:t>
    </w:r>
    <w:r w:rsidRPr="00B1700B">
      <w:rPr>
        <w:i/>
        <w:iCs/>
        <w:color w:val="0000FF"/>
        <w:sz w:val="20"/>
      </w:rPr>
      <w:t>[Seller’s Name]</w:t>
    </w:r>
    <w:r w:rsidRPr="00B1700B">
      <w:rPr>
        <w:i/>
        <w:iCs/>
        <w:sz w:val="20"/>
      </w:rPr>
      <w:tab/>
    </w:r>
    <w:r>
      <w:rPr>
        <w:i/>
        <w:iCs/>
        <w:color w:val="000000" w:themeColor="text1"/>
        <w:sz w:val="20"/>
      </w:rPr>
      <w:t>ACES 2 RFO</w:t>
    </w:r>
  </w:p>
  <w:p w14:paraId="54992E02" w14:textId="77777777" w:rsidR="006D4F8F" w:rsidRPr="00962B48" w:rsidRDefault="006D4F8F" w:rsidP="006342D0">
    <w:pPr>
      <w:pStyle w:val="Footer"/>
      <w:rPr>
        <w:rStyle w:val="PageNumber"/>
        <w:i/>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84B6" w14:textId="77777777" w:rsidR="006D4F8F" w:rsidRPr="000E1293" w:rsidRDefault="006D4F8F" w:rsidP="00FF157D">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t xml:space="preserve">  </w:t>
    </w:r>
    <w:r w:rsidRPr="000E1293">
      <w:rPr>
        <w:i/>
        <w:iCs/>
        <w:sz w:val="18"/>
        <w:szCs w:val="18"/>
      </w:rPr>
      <w:t>Confidential Information</w:t>
    </w:r>
  </w:p>
  <w:p w14:paraId="33BE1F59" w14:textId="2DB32BE2" w:rsidR="006D4F8F" w:rsidRPr="004E2914" w:rsidRDefault="006D4F8F" w:rsidP="00907F25">
    <w:pPr>
      <w:tabs>
        <w:tab w:val="left" w:pos="648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rPr>
      <w:t>ACES 2 RFO</w:t>
    </w:r>
  </w:p>
  <w:p w14:paraId="1FC55C18" w14:textId="77777777" w:rsidR="006D4F8F" w:rsidRPr="002B6766" w:rsidRDefault="006D4F8F" w:rsidP="00953BB4">
    <w:pPr>
      <w:tabs>
        <w:tab w:val="left" w:pos="720"/>
        <w:tab w:val="left" w:pos="7110"/>
      </w:tabs>
      <w:spacing w:after="0"/>
      <w:ind w:right="270"/>
      <w:rPr>
        <w:i/>
        <w:iCs/>
        <w:sz w:val="20"/>
      </w:rPr>
    </w:pPr>
  </w:p>
  <w:p w14:paraId="716AD87C" w14:textId="77777777" w:rsidR="006D4F8F" w:rsidRDefault="006D4F8F" w:rsidP="008561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3D24" w14:textId="77777777" w:rsidR="006D4F8F" w:rsidRPr="00FF157D" w:rsidRDefault="006D4F8F" w:rsidP="00FF157D">
    <w:pPr>
      <w:pBdr>
        <w:bottom w:val="single" w:sz="24" w:space="1" w:color="000000"/>
      </w:pBdr>
      <w:tabs>
        <w:tab w:val="right" w:pos="9000"/>
      </w:tabs>
      <w:spacing w:after="0"/>
      <w:rPr>
        <w:sz w:val="23"/>
      </w:rPr>
    </w:pPr>
    <w:r w:rsidRPr="00FF157D">
      <w:rPr>
        <w:b/>
        <w:sz w:val="36"/>
      </w:rPr>
      <w:t>Southern California Edison</w:t>
    </w:r>
    <w:r w:rsidRPr="00FF157D">
      <w:rPr>
        <w:sz w:val="20"/>
      </w:rPr>
      <w:tab/>
    </w:r>
    <w:r w:rsidRPr="000E1293">
      <w:rPr>
        <w:sz w:val="20"/>
        <w:szCs w:val="20"/>
      </w:rPr>
      <w:t xml:space="preserve">  </w:t>
    </w:r>
    <w:r w:rsidRPr="00FF157D">
      <w:rPr>
        <w:i/>
        <w:sz w:val="18"/>
      </w:rPr>
      <w:t>Confidential Information</w:t>
    </w:r>
  </w:p>
  <w:p w14:paraId="4C088A4F" w14:textId="4B191E61" w:rsidR="006D4F8F" w:rsidRPr="004E2914" w:rsidRDefault="006D4F8F" w:rsidP="00907F25">
    <w:pPr>
      <w:tabs>
        <w:tab w:val="left" w:pos="648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rPr>
      <w:t>ACES 2 RFO</w:t>
    </w:r>
    <w:r w:rsidRPr="00C17CF5">
      <w:rPr>
        <w:i/>
        <w:iCs/>
        <w:color w:val="000000" w:themeColor="text1"/>
        <w:sz w:val="20"/>
      </w:rPr>
      <w:t xml:space="preserve"> </w:t>
    </w:r>
  </w:p>
  <w:p w14:paraId="7EAED8AE" w14:textId="77777777" w:rsidR="006D4F8F" w:rsidRPr="00477BAF" w:rsidRDefault="006D4F8F" w:rsidP="00477BAF">
    <w:pPr>
      <w:tabs>
        <w:tab w:val="left" w:pos="720"/>
        <w:tab w:val="left" w:pos="7110"/>
      </w:tabs>
      <w:spacing w:after="0"/>
      <w:ind w:right="270"/>
      <w:rPr>
        <w:i/>
        <w:sz w:val="20"/>
      </w:rPr>
    </w:pPr>
  </w:p>
  <w:p w14:paraId="14BB7F34" w14:textId="77777777" w:rsidR="006D4F8F" w:rsidRDefault="006D4F8F" w:rsidP="00D87D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8551" w14:textId="77777777" w:rsidR="006D4F8F" w:rsidRPr="004F4797" w:rsidRDefault="006D4F8F" w:rsidP="00D87D0C">
    <w:pPr>
      <w:pBdr>
        <w:bottom w:val="thinThickSmallGap" w:sz="24" w:space="1" w:color="auto"/>
      </w:pBdr>
      <w:tabs>
        <w:tab w:val="right" w:pos="9360"/>
      </w:tabs>
      <w:rPr>
        <w:sz w:val="20"/>
      </w:rPr>
    </w:pPr>
    <w:r w:rsidRPr="00AE3F01">
      <w:rPr>
        <w:b/>
        <w:bCs/>
        <w:sz w:val="38"/>
        <w:szCs w:val="38"/>
      </w:rPr>
      <w:t>S</w:t>
    </w:r>
    <w:r w:rsidRPr="00AE3F01">
      <w:rPr>
        <w:b/>
        <w:bCs/>
        <w:sz w:val="31"/>
        <w:szCs w:val="31"/>
      </w:rPr>
      <w:t xml:space="preserve">outhern </w:t>
    </w:r>
    <w:r w:rsidRPr="00AE3F01">
      <w:rPr>
        <w:b/>
        <w:bCs/>
        <w:sz w:val="38"/>
        <w:szCs w:val="38"/>
      </w:rPr>
      <w:t>C</w:t>
    </w:r>
    <w:r w:rsidRPr="00AE3F01">
      <w:rPr>
        <w:b/>
        <w:bCs/>
        <w:sz w:val="31"/>
        <w:szCs w:val="31"/>
      </w:rPr>
      <w:t xml:space="preserve">alifornia </w:t>
    </w:r>
    <w:smartTag w:uri="urn:schemas-microsoft-com:office:smarttags" w:element="place">
      <w:r w:rsidRPr="00AE3F01">
        <w:rPr>
          <w:b/>
          <w:bCs/>
          <w:sz w:val="38"/>
          <w:szCs w:val="38"/>
        </w:rPr>
        <w:t>E</w:t>
      </w:r>
      <w:r w:rsidRPr="00AE3F01">
        <w:rPr>
          <w:b/>
          <w:bCs/>
          <w:sz w:val="31"/>
          <w:szCs w:val="31"/>
        </w:rPr>
        <w:t>dison</w:t>
      </w:r>
    </w:smartTag>
    <w:r w:rsidRPr="00AE3F01">
      <w:rPr>
        <w:sz w:val="23"/>
        <w:szCs w:val="23"/>
      </w:rPr>
      <w:tab/>
    </w:r>
    <w:r w:rsidRPr="004F4797">
      <w:rPr>
        <w:i/>
        <w:iCs/>
        <w:sz w:val="20"/>
      </w:rPr>
      <w:t>Confidential Information</w:t>
    </w:r>
  </w:p>
  <w:p w14:paraId="37A2297A" w14:textId="77777777" w:rsidR="006D4F8F" w:rsidRPr="007971DF" w:rsidRDefault="006D4F8F" w:rsidP="00D87D0C">
    <w:pPr>
      <w:rPr>
        <w:i/>
        <w:iCs/>
        <w:sz w:val="16"/>
        <w:szCs w:val="16"/>
      </w:rPr>
    </w:pPr>
    <w:r w:rsidRPr="000F7DE1">
      <w:rPr>
        <w:i/>
        <w:iCs/>
        <w:sz w:val="20"/>
      </w:rPr>
      <w:t>RAP I</w:t>
    </w:r>
    <w:r>
      <w:rPr>
        <w:i/>
        <w:iCs/>
        <w:sz w:val="20"/>
      </w:rPr>
      <w:t xml:space="preserve">D </w:t>
    </w:r>
    <w:r w:rsidRPr="00D852FD">
      <w:rPr>
        <w:i/>
        <w:iCs/>
        <w:sz w:val="20"/>
      </w:rPr>
      <w:t>#</w:t>
    </w:r>
    <w:r w:rsidRPr="00F8368D">
      <w:rPr>
        <w:i/>
        <w:iCs/>
        <w:color w:val="0000FF"/>
        <w:sz w:val="20"/>
        <w:highlight w:val="yellow"/>
      </w:rPr>
      <w:t>[Number]</w:t>
    </w:r>
    <w:r w:rsidRPr="00F8368D">
      <w:rPr>
        <w:iCs/>
        <w:sz w:val="20"/>
        <w:highlight w:val="yellow"/>
      </w:rPr>
      <w:t>,</w:t>
    </w:r>
    <w:r w:rsidRPr="00F8368D">
      <w:rPr>
        <w:i/>
        <w:iCs/>
        <w:sz w:val="20"/>
        <w:highlight w:val="yellow"/>
      </w:rPr>
      <w:t xml:space="preserve"> </w:t>
    </w:r>
    <w:r w:rsidRPr="00F8368D">
      <w:rPr>
        <w:i/>
        <w:iCs/>
        <w:color w:val="0000FF"/>
        <w:sz w:val="20"/>
        <w:highlight w:val="yellow"/>
      </w:rPr>
      <w:t>[Name of Seller]</w:t>
    </w:r>
    <w:bookmarkStart w:id="670" w:name="_GoBack"/>
    <w:bookmarkEnd w:id="670"/>
  </w:p>
  <w:p w14:paraId="631DF7DF" w14:textId="77777777" w:rsidR="006D4F8F" w:rsidRDefault="006D4F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82EE" w14:textId="77777777" w:rsidR="006D4F8F" w:rsidRPr="000E1293" w:rsidRDefault="006D4F8F" w:rsidP="00FF157D">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t xml:space="preserve">  </w:t>
    </w:r>
    <w:r w:rsidRPr="000E1293">
      <w:rPr>
        <w:i/>
        <w:iCs/>
        <w:sz w:val="18"/>
        <w:szCs w:val="18"/>
      </w:rPr>
      <w:t>Confidential Information</w:t>
    </w:r>
  </w:p>
  <w:p w14:paraId="19B4B7A2" w14:textId="575B4D73" w:rsidR="006D4F8F" w:rsidRPr="004E2914" w:rsidRDefault="006D4F8F" w:rsidP="00F62B28">
    <w:pPr>
      <w:tabs>
        <w:tab w:val="left" w:pos="6750"/>
      </w:tabs>
      <w:spacing w:after="0"/>
      <w:ind w:right="270"/>
      <w:rPr>
        <w:i/>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rPr>
      <w:t>ACES 2 RFO</w:t>
    </w:r>
  </w:p>
  <w:p w14:paraId="44F58D28" w14:textId="77777777" w:rsidR="006D4F8F" w:rsidRPr="002B6766" w:rsidRDefault="006D4F8F" w:rsidP="00953BB4">
    <w:pPr>
      <w:tabs>
        <w:tab w:val="left" w:pos="720"/>
        <w:tab w:val="left" w:pos="7110"/>
      </w:tabs>
      <w:spacing w:after="0"/>
      <w:ind w:right="270"/>
      <w:rPr>
        <w:i/>
        <w:iCs/>
        <w:sz w:val="20"/>
      </w:rPr>
    </w:pPr>
  </w:p>
  <w:p w14:paraId="1B350010" w14:textId="77777777" w:rsidR="006D4F8F" w:rsidRDefault="006D4F8F" w:rsidP="00856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D2A858"/>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092666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398AD702"/>
    <w:lvl w:ilvl="0">
      <w:start w:val="1"/>
      <w:numFmt w:val="upperRoman"/>
      <w:lvlText w:val="%1."/>
      <w:lvlJc w:val="left"/>
      <w:pPr>
        <w:ind w:left="0" w:firstLine="0"/>
      </w:pPr>
      <w:rPr>
        <w:rFonts w:hint="default"/>
        <w:u w:val="none"/>
      </w:rPr>
    </w:lvl>
    <w:lvl w:ilvl="1">
      <w:start w:val="1"/>
      <w:numFmt w:val="upperLetter"/>
      <w:lvlText w:val="%2."/>
      <w:lvlJc w:val="left"/>
      <w:pPr>
        <w:ind w:left="720" w:hanging="720"/>
      </w:pPr>
      <w:rPr>
        <w:rFonts w:hint="default"/>
        <w:u w:val="none"/>
      </w:rPr>
    </w:lvl>
    <w:lvl w:ilvl="2">
      <w:start w:val="1"/>
      <w:numFmt w:val="decimal"/>
      <w:lvlText w:val="%3."/>
      <w:lvlJc w:val="left"/>
      <w:pPr>
        <w:ind w:left="1440" w:hanging="720"/>
      </w:pPr>
      <w:rPr>
        <w:rFonts w:hint="default"/>
        <w:u w:val="none"/>
      </w:rPr>
    </w:lvl>
    <w:lvl w:ilvl="3">
      <w:start w:val="1"/>
      <w:numFmt w:val="lowerLetter"/>
      <w:lvlText w:val="%4)"/>
      <w:lvlJc w:val="left"/>
      <w:pPr>
        <w:ind w:left="2160" w:hanging="720"/>
      </w:pPr>
      <w:rPr>
        <w:rFonts w:hint="default"/>
        <w:u w:val="none"/>
      </w:rPr>
    </w:lvl>
    <w:lvl w:ilvl="4">
      <w:start w:val="1"/>
      <w:numFmt w:val="decimal"/>
      <w:lvlText w:val="(%5)"/>
      <w:lvlJc w:val="left"/>
      <w:pPr>
        <w:ind w:left="2880" w:hanging="720"/>
      </w:pPr>
      <w:rPr>
        <w:rFonts w:hint="default"/>
        <w:u w:val="none"/>
      </w:rPr>
    </w:lvl>
    <w:lvl w:ilvl="5">
      <w:start w:val="1"/>
      <w:numFmt w:val="lowerLetter"/>
      <w:lvlText w:val="(%6)"/>
      <w:lvlJc w:val="left"/>
      <w:pPr>
        <w:ind w:left="3600" w:hanging="720"/>
      </w:pPr>
      <w:rPr>
        <w:rFonts w:hint="default"/>
        <w:u w:val="none"/>
      </w:rPr>
    </w:lvl>
    <w:lvl w:ilvl="6">
      <w:start w:val="1"/>
      <w:numFmt w:val="lowerRoman"/>
      <w:lvlText w:val="(%7)"/>
      <w:lvlJc w:val="left"/>
      <w:pPr>
        <w:ind w:left="4320" w:hanging="720"/>
      </w:pPr>
      <w:rPr>
        <w:rFonts w:hint="default"/>
        <w:u w:val="none"/>
      </w:rPr>
    </w:lvl>
    <w:lvl w:ilvl="7">
      <w:start w:val="1"/>
      <w:numFmt w:val="lowerLetter"/>
      <w:lvlText w:val="(%8)"/>
      <w:lvlJc w:val="left"/>
      <w:pPr>
        <w:ind w:left="5040" w:hanging="720"/>
      </w:pPr>
      <w:rPr>
        <w:rFonts w:hint="default"/>
        <w:u w:val="none"/>
      </w:rPr>
    </w:lvl>
    <w:lvl w:ilvl="8">
      <w:start w:val="1"/>
      <w:numFmt w:val="lowerRoman"/>
      <w:lvlText w:val="(%9)"/>
      <w:lvlJc w:val="left"/>
      <w:pPr>
        <w:ind w:left="5760" w:hanging="720"/>
      </w:pPr>
      <w:rPr>
        <w:rFonts w:hint="default"/>
        <w:u w:val="none"/>
      </w:rPr>
    </w:lvl>
  </w:abstractNum>
  <w:abstractNum w:abstractNumId="3" w15:restartNumberingAfterBreak="0">
    <w:nsid w:val="00560C56"/>
    <w:multiLevelType w:val="hybridMultilevel"/>
    <w:tmpl w:val="4420CF68"/>
    <w:lvl w:ilvl="0" w:tplc="04090015">
      <w:start w:val="1"/>
      <w:numFmt w:val="upperLetter"/>
      <w:lvlText w:val="%1."/>
      <w:lvlJc w:val="left"/>
      <w:pPr>
        <w:ind w:left="720" w:hanging="360"/>
      </w:pPr>
    </w:lvl>
    <w:lvl w:ilvl="1" w:tplc="3B22FCBA">
      <w:start w:val="1"/>
      <w:numFmt w:val="upperLetter"/>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A5774"/>
    <w:multiLevelType w:val="hybridMultilevel"/>
    <w:tmpl w:val="A29CB31C"/>
    <w:name w:val="Articles22222"/>
    <w:lvl w:ilvl="0" w:tplc="5B8A297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564E6"/>
    <w:multiLevelType w:val="hybridMultilevel"/>
    <w:tmpl w:val="332EC2D0"/>
    <w:name w:val="Articles52"/>
    <w:lvl w:ilvl="0" w:tplc="320C57D6">
      <w:start w:val="1"/>
      <w:numFmt w:val="decimalZero"/>
      <w:lvlText w:val="2.%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C90D8F"/>
    <w:multiLevelType w:val="hybridMultilevel"/>
    <w:tmpl w:val="9F2CF186"/>
    <w:name w:val="Articles422222322222222"/>
    <w:lvl w:ilvl="0" w:tplc="D9E0DDF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3BC67ED"/>
    <w:multiLevelType w:val="hybridMultilevel"/>
    <w:tmpl w:val="282475D2"/>
    <w:name w:val="Articles17"/>
    <w:lvl w:ilvl="0" w:tplc="ADECC1AA">
      <w:start w:val="1"/>
      <w:numFmt w:val="decimalZero"/>
      <w:lvlText w:val="1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8B66C7"/>
    <w:multiLevelType w:val="hybridMultilevel"/>
    <w:tmpl w:val="0E9E3B58"/>
    <w:name w:val="Articles33222"/>
    <w:lvl w:ilvl="0" w:tplc="3BBACEBE">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51F17CD"/>
    <w:multiLevelType w:val="hybridMultilevel"/>
    <w:tmpl w:val="FE9C4E0C"/>
    <w:name w:val="Articles8"/>
    <w:lvl w:ilvl="0" w:tplc="9C02911A">
      <w:start w:val="1"/>
      <w:numFmt w:val="decimalZero"/>
      <w:lvlText w:val="7.%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5571695"/>
    <w:multiLevelType w:val="hybridMultilevel"/>
    <w:tmpl w:val="9874345C"/>
    <w:name w:val="Articles6"/>
    <w:lvl w:ilvl="0" w:tplc="615A2D70">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5691E"/>
    <w:multiLevelType w:val="hybridMultilevel"/>
    <w:tmpl w:val="811C9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D54EEA"/>
    <w:multiLevelType w:val="hybridMultilevel"/>
    <w:tmpl w:val="B2668164"/>
    <w:name w:val="Articles4222223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EF28F1"/>
    <w:multiLevelType w:val="hybridMultilevel"/>
    <w:tmpl w:val="CE4A935A"/>
    <w:name w:val="Articles4222223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7A610E2"/>
    <w:multiLevelType w:val="hybridMultilevel"/>
    <w:tmpl w:val="76CAB3D6"/>
    <w:name w:val="Articles4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D47C55"/>
    <w:multiLevelType w:val="hybridMultilevel"/>
    <w:tmpl w:val="30D832BE"/>
    <w:name w:val="Articles332222"/>
    <w:lvl w:ilvl="0" w:tplc="8880349C">
      <w:start w:val="1"/>
      <w:numFmt w:val="decimal"/>
      <w:lvlText w:val="2.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170F2F"/>
    <w:multiLevelType w:val="hybridMultilevel"/>
    <w:tmpl w:val="B1A49788"/>
    <w:name w:val="Articles2"/>
    <w:lvl w:ilvl="0" w:tplc="5BCC3110">
      <w:start w:val="1"/>
      <w:numFmt w:val="lowerLetter"/>
      <w:pStyle w:val="BT5"/>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86A7D0E"/>
    <w:multiLevelType w:val="hybridMultilevel"/>
    <w:tmpl w:val="CA5CCBBE"/>
    <w:name w:val="Articles4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75252B"/>
    <w:multiLevelType w:val="hybridMultilevel"/>
    <w:tmpl w:val="2D94F6E4"/>
    <w:name w:val="Articles422222322222422222222224"/>
    <w:lvl w:ilvl="0" w:tplc="D568A56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9722D7"/>
    <w:multiLevelType w:val="hybridMultilevel"/>
    <w:tmpl w:val="B3100458"/>
    <w:name w:val="Articles42222232222242222222222222222222222"/>
    <w:lvl w:ilvl="0" w:tplc="26BA2838">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B6A114D"/>
    <w:multiLevelType w:val="hybridMultilevel"/>
    <w:tmpl w:val="3A7E4826"/>
    <w:lvl w:ilvl="0" w:tplc="BDC0FA66">
      <w:start w:val="1"/>
      <w:numFmt w:val="upperLetter"/>
      <w:lvlText w:val="%1."/>
      <w:lvlJc w:val="left"/>
      <w:pPr>
        <w:tabs>
          <w:tab w:val="num" w:pos="720"/>
        </w:tabs>
        <w:ind w:left="720" w:hanging="720"/>
      </w:pPr>
      <w:rPr>
        <w:rFonts w:ascii="Times New Roman" w:hAnsi="Times New Roman" w:cs="Times New Roman" w:hint="default"/>
        <w:b w:val="0"/>
        <w:bCs w:val="0"/>
        <w:i w:val="0"/>
        <w:iCs w:val="0"/>
        <w:color w:val="000000"/>
        <w:spacing w:val="0"/>
        <w:sz w:val="24"/>
        <w:szCs w:val="24"/>
        <w:u w:val="none"/>
      </w:rPr>
    </w:lvl>
    <w:lvl w:ilvl="1" w:tplc="FFFFFFFF">
      <w:start w:val="1"/>
      <w:numFmt w:val="lowerLetter"/>
      <w:lvlText w:val="%2."/>
      <w:lvlJc w:val="left"/>
      <w:pPr>
        <w:widowControl w:val="0"/>
        <w:tabs>
          <w:tab w:val="num" w:pos="1440"/>
        </w:tabs>
        <w:autoSpaceDE w:val="0"/>
        <w:autoSpaceDN w:val="0"/>
        <w:adjustRightInd w:val="0"/>
        <w:spacing w:before="24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spacing w:before="24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spacing w:before="24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spacing w:before="24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spacing w:before="24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spacing w:before="24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spacing w:before="24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spacing w:before="240"/>
        <w:ind w:left="6480" w:hanging="180"/>
      </w:pPr>
      <w:rPr>
        <w:rFonts w:ascii="Times New Roman" w:hAnsi="Times New Roman" w:cs="Times New Roman"/>
        <w:spacing w:val="0"/>
        <w:sz w:val="24"/>
        <w:szCs w:val="24"/>
      </w:rPr>
    </w:lvl>
  </w:abstractNum>
  <w:abstractNum w:abstractNumId="22" w15:restartNumberingAfterBreak="0">
    <w:nsid w:val="0C553E30"/>
    <w:multiLevelType w:val="hybridMultilevel"/>
    <w:tmpl w:val="27D8DFCE"/>
    <w:name w:val="Articles7"/>
    <w:lvl w:ilvl="0" w:tplc="2A707BE2">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8F6DA5"/>
    <w:multiLevelType w:val="multilevel"/>
    <w:tmpl w:val="959A9ABA"/>
    <w:styleLink w:val="Style2"/>
    <w:lvl w:ilvl="0">
      <w:start w:val="1"/>
      <w:numFmt w:val="lowerLetter"/>
      <w:lvlText w:val="(%1)"/>
      <w:lvlJc w:val="left"/>
      <w:pPr>
        <w:ind w:left="3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4" w15:restartNumberingAfterBreak="0">
    <w:nsid w:val="0E8D785E"/>
    <w:multiLevelType w:val="hybridMultilevel"/>
    <w:tmpl w:val="EA94CD42"/>
    <w:name w:val="Articles4222223222224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0DD2A7A"/>
    <w:multiLevelType w:val="multilevel"/>
    <w:tmpl w:val="D5826650"/>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7"/>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10F70968"/>
    <w:multiLevelType w:val="hybridMultilevel"/>
    <w:tmpl w:val="254C523A"/>
    <w:name w:val="Articles4222223222224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21A178C"/>
    <w:multiLevelType w:val="hybridMultilevel"/>
    <w:tmpl w:val="FD7E95B2"/>
    <w:name w:val="Articles42222232222242222222222222222222232222"/>
    <w:lvl w:ilvl="0" w:tplc="6360E216">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9832C5"/>
    <w:multiLevelType w:val="hybridMultilevel"/>
    <w:tmpl w:val="9DD438F0"/>
    <w:lvl w:ilvl="0" w:tplc="1528E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5E77DB4"/>
    <w:multiLevelType w:val="hybridMultilevel"/>
    <w:tmpl w:val="79925788"/>
    <w:name w:val="Articles422222322222422222"/>
    <w:lvl w:ilvl="0" w:tplc="26BA2838">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67421DF"/>
    <w:multiLevelType w:val="hybridMultilevel"/>
    <w:tmpl w:val="D0CCC7EA"/>
    <w:lvl w:ilvl="0" w:tplc="053E6F88">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1" w15:restartNumberingAfterBreak="0">
    <w:nsid w:val="19EB0F4C"/>
    <w:multiLevelType w:val="hybridMultilevel"/>
    <w:tmpl w:val="233068A2"/>
    <w:name w:val="Articles42222232222243"/>
    <w:lvl w:ilvl="0" w:tplc="330CDA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EF2B23"/>
    <w:multiLevelType w:val="hybridMultilevel"/>
    <w:tmpl w:val="475298BA"/>
    <w:name w:val="Articles4222223222223"/>
    <w:lvl w:ilvl="0" w:tplc="3AD0A9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0572BD"/>
    <w:multiLevelType w:val="hybridMultilevel"/>
    <w:tmpl w:val="F638777C"/>
    <w:name w:val="Articles4"/>
    <w:lvl w:ilvl="0" w:tplc="386601E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E2939D4"/>
    <w:multiLevelType w:val="hybridMultilevel"/>
    <w:tmpl w:val="8DD4A1BC"/>
    <w:name w:val="Articles4222223222224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F3C0998"/>
    <w:multiLevelType w:val="hybridMultilevel"/>
    <w:tmpl w:val="57F23352"/>
    <w:name w:val="Articles262"/>
    <w:lvl w:ilvl="0" w:tplc="E6143D04">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37008D"/>
    <w:multiLevelType w:val="hybridMultilevel"/>
    <w:tmpl w:val="B82E3D68"/>
    <w:name w:val="Articles42222223"/>
    <w:lvl w:ilvl="0" w:tplc="61C672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5E3A1D"/>
    <w:multiLevelType w:val="hybridMultilevel"/>
    <w:tmpl w:val="90546068"/>
    <w:name w:val="Articles42222233"/>
    <w:lvl w:ilvl="0" w:tplc="5B8A2974">
      <w:start w:val="1"/>
      <w:numFmt w:val="lowerLetter"/>
      <w:lvlText w:val="(%1)"/>
      <w:lvlJc w:val="left"/>
      <w:pPr>
        <w:ind w:left="0" w:hanging="360"/>
      </w:pPr>
      <w:rPr>
        <w:rFonts w:hint="default"/>
        <w:b w:val="0"/>
        <w:i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8" w15:restartNumberingAfterBreak="0">
    <w:nsid w:val="215E3AB5"/>
    <w:multiLevelType w:val="hybridMultilevel"/>
    <w:tmpl w:val="EEB8A388"/>
    <w:name w:val="Articles22"/>
    <w:lvl w:ilvl="0" w:tplc="B610FFEA">
      <w:start w:val="1"/>
      <w:numFmt w:val="lowerLetter"/>
      <w:lvlText w:val="(%1)"/>
      <w:lvlJc w:val="left"/>
      <w:pPr>
        <w:ind w:left="1440" w:hanging="360"/>
      </w:pPr>
      <w:rPr>
        <w:rFonts w:hint="default"/>
        <w:b w:val="0"/>
        <w:i w:val="0"/>
      </w:rPr>
    </w:lvl>
    <w:lvl w:ilvl="1" w:tplc="04090019">
      <w:start w:val="1"/>
      <w:numFmt w:val="lowerLetter"/>
      <w:pStyle w:val="Outline0021Body"/>
      <w:lvlText w:val="%2."/>
      <w:lvlJc w:val="left"/>
      <w:pPr>
        <w:ind w:left="1440" w:hanging="360"/>
      </w:pPr>
    </w:lvl>
    <w:lvl w:ilvl="2" w:tplc="0409001B" w:tentative="1">
      <w:start w:val="1"/>
      <w:numFmt w:val="lowerRoman"/>
      <w:pStyle w:val="Outline0022"/>
      <w:lvlText w:val="%3."/>
      <w:lvlJc w:val="right"/>
      <w:pPr>
        <w:ind w:left="2160" w:hanging="180"/>
      </w:pPr>
    </w:lvl>
    <w:lvl w:ilvl="3" w:tplc="0409000F" w:tentative="1">
      <w:start w:val="1"/>
      <w:numFmt w:val="decimal"/>
      <w:pStyle w:val="Outline002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BF4D05"/>
    <w:multiLevelType w:val="hybridMultilevel"/>
    <w:tmpl w:val="17903686"/>
    <w:name w:val="Articles4222223222224222222222242"/>
    <w:lvl w:ilvl="0" w:tplc="6D02589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3F03F9"/>
    <w:multiLevelType w:val="hybridMultilevel"/>
    <w:tmpl w:val="18CEED32"/>
    <w:name w:val="Articles11"/>
    <w:lvl w:ilvl="0" w:tplc="3C2EF8F2">
      <w:start w:val="1"/>
      <w:numFmt w:val="decimalZero"/>
      <w:lvlText w:val="1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50034B"/>
    <w:multiLevelType w:val="hybridMultilevel"/>
    <w:tmpl w:val="E16A4976"/>
    <w:name w:val="Articles9"/>
    <w:lvl w:ilvl="0" w:tplc="FC20E9D2">
      <w:start w:val="1"/>
      <w:numFmt w:val="decimalZero"/>
      <w:lvlText w:val="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710FDD"/>
    <w:multiLevelType w:val="hybridMultilevel"/>
    <w:tmpl w:val="4FEA34CC"/>
    <w:name w:val="Articles4222223222224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2A842C2"/>
    <w:multiLevelType w:val="hybridMultilevel"/>
    <w:tmpl w:val="3B6C1D26"/>
    <w:name w:val="Articles3322"/>
    <w:lvl w:ilvl="0" w:tplc="95A09EBE">
      <w:start w:val="1"/>
      <w:numFmt w:val="decimalZero"/>
      <w:lvlText w:val="2.%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start w:val="1"/>
      <w:numFmt w:val="lowerRoman"/>
      <w:lvlText w:val="%3."/>
      <w:lvlJc w:val="right"/>
      <w:pPr>
        <w:ind w:left="72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49B7FAB"/>
    <w:multiLevelType w:val="multilevel"/>
    <w:tmpl w:val="959A9ABA"/>
    <w:styleLink w:val="Style3"/>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5" w15:restartNumberingAfterBreak="0">
    <w:nsid w:val="254E63DE"/>
    <w:multiLevelType w:val="hybridMultilevel"/>
    <w:tmpl w:val="DE724626"/>
    <w:name w:val="Articles29"/>
    <w:lvl w:ilvl="0" w:tplc="411E8C60">
      <w:start w:val="1"/>
      <w:numFmt w:val="decimalZero"/>
      <w:lvlText w:val="2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EA49B1"/>
    <w:multiLevelType w:val="multilevel"/>
    <w:tmpl w:val="57220A3C"/>
    <w:lvl w:ilvl="0">
      <w:start w:val="1"/>
      <w:numFmt w:val="cardinalText"/>
      <w:pStyle w:val="ArticleOne"/>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7" w15:restartNumberingAfterBreak="0">
    <w:nsid w:val="26751882"/>
    <w:multiLevelType w:val="hybridMultilevel"/>
    <w:tmpl w:val="701AED50"/>
    <w:name w:val="Articles33223"/>
    <w:lvl w:ilvl="0" w:tplc="0A3ACB22">
      <w:start w:val="1"/>
      <w:numFmt w:val="decimalZero"/>
      <w:lvlText w:val="2.%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DB4FEF"/>
    <w:multiLevelType w:val="hybridMultilevel"/>
    <w:tmpl w:val="8CBC6E8A"/>
    <w:name w:val="Articles4222223222224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27AF12D4"/>
    <w:multiLevelType w:val="multilevel"/>
    <w:tmpl w:val="959A9ABA"/>
    <w:styleLink w:val="Style1"/>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50" w15:restartNumberingAfterBreak="0">
    <w:nsid w:val="27F63D32"/>
    <w:multiLevelType w:val="hybridMultilevel"/>
    <w:tmpl w:val="D9C644F2"/>
    <w:name w:val="Articles422222322222422222222222242"/>
    <w:lvl w:ilvl="0" w:tplc="B9A8E91A">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0A4315"/>
    <w:multiLevelType w:val="hybridMultilevel"/>
    <w:tmpl w:val="7B248456"/>
    <w:lvl w:ilvl="0" w:tplc="9D9276C8">
      <w:start w:val="1"/>
      <w:numFmt w:val="decimal"/>
      <w:pStyle w:val="Level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52" w15:restartNumberingAfterBreak="0">
    <w:nsid w:val="29571E2C"/>
    <w:multiLevelType w:val="multilevel"/>
    <w:tmpl w:val="BE08CC7C"/>
    <w:name w:val="Articles23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53" w15:restartNumberingAfterBreak="0">
    <w:nsid w:val="2A0F4AB6"/>
    <w:multiLevelType w:val="hybridMultilevel"/>
    <w:tmpl w:val="25B61F7C"/>
    <w:name w:val="Articles28"/>
    <w:lvl w:ilvl="0" w:tplc="4022D684">
      <w:start w:val="1"/>
      <w:numFmt w:val="decimalZero"/>
      <w:lvlText w:val="2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8B2560"/>
    <w:multiLevelType w:val="multilevel"/>
    <w:tmpl w:val="CA628DAA"/>
    <w:name w:val="Articles23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55" w15:restartNumberingAfterBreak="0">
    <w:nsid w:val="2BA819AD"/>
    <w:multiLevelType w:val="hybridMultilevel"/>
    <w:tmpl w:val="D8E8C0E0"/>
    <w:name w:val="Articles4222223222224222222222222222222223"/>
    <w:lvl w:ilvl="0" w:tplc="1F98803E">
      <w:start w:val="1"/>
      <w:numFmt w:val="lowerLetter"/>
      <w:lvlText w:val="(%1)"/>
      <w:lvlJc w:val="left"/>
      <w:pPr>
        <w:ind w:left="1440" w:hanging="360"/>
      </w:pPr>
      <w:rPr>
        <w:rFonts w:hint="default"/>
        <w:b w:val="0"/>
        <w:i w:val="0"/>
      </w:rPr>
    </w:lvl>
    <w:lvl w:ilvl="1" w:tplc="89F28A52">
      <w:start w:val="1"/>
      <w:numFmt w:val="lowerRoman"/>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4346C9"/>
    <w:multiLevelType w:val="hybridMultilevel"/>
    <w:tmpl w:val="8144B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4F60CE"/>
    <w:multiLevelType w:val="hybridMultilevel"/>
    <w:tmpl w:val="0C686CE2"/>
    <w:name w:val="Articles42222232222242222222222222"/>
    <w:lvl w:ilvl="0" w:tplc="96E6794E">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E343A3C"/>
    <w:multiLevelType w:val="hybridMultilevel"/>
    <w:tmpl w:val="7C7E723A"/>
    <w:name w:val="Articles132"/>
    <w:lvl w:ilvl="0" w:tplc="B9383A6A">
      <w:start w:val="3"/>
      <w:numFmt w:val="decimalZero"/>
      <w:lvlText w:val="1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8733AB"/>
    <w:multiLevelType w:val="hybridMultilevel"/>
    <w:tmpl w:val="AAA893C8"/>
    <w:name w:val="Articles4222223222224"/>
    <w:lvl w:ilvl="0" w:tplc="48182CC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B5249B"/>
    <w:multiLevelType w:val="hybridMultilevel"/>
    <w:tmpl w:val="08A4FC8A"/>
    <w:name w:val="Articles4222222222"/>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301129C9"/>
    <w:multiLevelType w:val="hybridMultilevel"/>
    <w:tmpl w:val="6A0CC18C"/>
    <w:name w:val="Articles42222232222242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2290806"/>
    <w:multiLevelType w:val="hybridMultilevel"/>
    <w:tmpl w:val="0A104D1C"/>
    <w:name w:val="Articles22222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24423CF"/>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33F57812"/>
    <w:multiLevelType w:val="hybridMultilevel"/>
    <w:tmpl w:val="BFF47210"/>
    <w:name w:val="Articles26"/>
    <w:lvl w:ilvl="0" w:tplc="D0DC3724">
      <w:start w:val="1"/>
      <w:numFmt w:val="decimalZero"/>
      <w:lvlText w:val="24.%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1E0AA2"/>
    <w:multiLevelType w:val="hybridMultilevel"/>
    <w:tmpl w:val="FD3C9D82"/>
    <w:name w:val="Articles31"/>
    <w:lvl w:ilvl="0" w:tplc="8618DBE2">
      <w:start w:val="1"/>
      <w:numFmt w:val="decimalZero"/>
      <w:lvlText w:val="2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565A02"/>
    <w:multiLevelType w:val="hybridMultilevel"/>
    <w:tmpl w:val="570AB25C"/>
    <w:name w:val="Articles20"/>
    <w:lvl w:ilvl="0" w:tplc="438A86AE">
      <w:start w:val="1"/>
      <w:numFmt w:val="decimalZero"/>
      <w:lvlText w:val="2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5C5B18"/>
    <w:multiLevelType w:val="multilevel"/>
    <w:tmpl w:val="ADF054FE"/>
    <w:lvl w:ilvl="0">
      <w:start w:val="2"/>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8" w15:restartNumberingAfterBreak="0">
    <w:nsid w:val="35FD740F"/>
    <w:multiLevelType w:val="hybridMultilevel"/>
    <w:tmpl w:val="A12A551E"/>
    <w:name w:val="Articles24"/>
    <w:lvl w:ilvl="0" w:tplc="BC84C30E">
      <w:start w:val="1"/>
      <w:numFmt w:val="decimalZero"/>
      <w:lvlText w:val="2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085EBE"/>
    <w:multiLevelType w:val="hybridMultilevel"/>
    <w:tmpl w:val="C750D2C8"/>
    <w:lvl w:ilvl="0" w:tplc="53787A7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340BBE"/>
    <w:multiLevelType w:val="hybridMultilevel"/>
    <w:tmpl w:val="2EFCDA7A"/>
    <w:name w:val="Articles4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38153838"/>
    <w:multiLevelType w:val="hybridMultilevel"/>
    <w:tmpl w:val="D11A7DE6"/>
    <w:name w:val="Articles332232"/>
    <w:lvl w:ilvl="0" w:tplc="0532C5F2">
      <w:start w:val="1"/>
      <w:numFmt w:val="decimalZero"/>
      <w:lvlText w:val="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87C23BF"/>
    <w:multiLevelType w:val="hybridMultilevel"/>
    <w:tmpl w:val="DA44DD7C"/>
    <w:name w:val="Articles10"/>
    <w:lvl w:ilvl="0" w:tplc="B0C86480">
      <w:start w:val="1"/>
      <w:numFmt w:val="decimalZero"/>
      <w:lvlText w:val="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F370BC"/>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396C3533"/>
    <w:multiLevelType w:val="hybridMultilevel"/>
    <w:tmpl w:val="8144B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715F95"/>
    <w:multiLevelType w:val="hybridMultilevel"/>
    <w:tmpl w:val="02FA9C42"/>
    <w:name w:val="Articles25"/>
    <w:lvl w:ilvl="0" w:tplc="912CB548">
      <w:start w:val="1"/>
      <w:numFmt w:val="decimalZero"/>
      <w:lvlText w:val="2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AA24EC"/>
    <w:multiLevelType w:val="hybridMultilevel"/>
    <w:tmpl w:val="9314F728"/>
    <w:name w:val="Articles4222223222224222222222222222222222222"/>
    <w:lvl w:ilvl="0" w:tplc="6A6400FA">
      <w:start w:val="1"/>
      <w:numFmt w:val="lowerRoman"/>
      <w:lvlText w:val="(%1)"/>
      <w:lvlJc w:val="left"/>
      <w:pPr>
        <w:ind w:left="2880" w:hanging="360"/>
      </w:pPr>
      <w:rPr>
        <w:rFonts w:hint="default"/>
        <w:b w:val="0"/>
        <w:i w:val="0"/>
      </w:rPr>
    </w:lvl>
    <w:lvl w:ilvl="1" w:tplc="7C6840EE">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3D300918"/>
    <w:multiLevelType w:val="hybridMultilevel"/>
    <w:tmpl w:val="675222FE"/>
    <w:lvl w:ilvl="0" w:tplc="BE2E72E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D3303CC"/>
    <w:multiLevelType w:val="hybridMultilevel"/>
    <w:tmpl w:val="AE9074CC"/>
    <w:name w:val="Articles4222223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D9948F8"/>
    <w:multiLevelType w:val="hybridMultilevel"/>
    <w:tmpl w:val="3AA67322"/>
    <w:name w:val="Articles42222232222222"/>
    <w:lvl w:ilvl="0" w:tplc="26BA2838">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6B5933"/>
    <w:multiLevelType w:val="multilevel"/>
    <w:tmpl w:val="959A9ABA"/>
    <w:name w:val="Articles23"/>
    <w:numStyleLink w:val="Style1"/>
  </w:abstractNum>
  <w:abstractNum w:abstractNumId="81" w15:restartNumberingAfterBreak="0">
    <w:nsid w:val="3E784228"/>
    <w:multiLevelType w:val="hybridMultilevel"/>
    <w:tmpl w:val="C1CC49DE"/>
    <w:name w:val="Articles30"/>
    <w:lvl w:ilvl="0" w:tplc="1D2EDB90">
      <w:start w:val="1"/>
      <w:numFmt w:val="decimalZero"/>
      <w:lvlText w:val="2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7243AA"/>
    <w:multiLevelType w:val="hybridMultilevel"/>
    <w:tmpl w:val="E3444D26"/>
    <w:lvl w:ilvl="0" w:tplc="99DE6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D213E8"/>
    <w:multiLevelType w:val="hybridMultilevel"/>
    <w:tmpl w:val="CB867E04"/>
    <w:name w:val="Articles4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912EEC"/>
    <w:multiLevelType w:val="multilevel"/>
    <w:tmpl w:val="9C92FF82"/>
    <w:styleLink w:val="Headings"/>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85" w15:restartNumberingAfterBreak="0">
    <w:nsid w:val="4179072B"/>
    <w:multiLevelType w:val="hybridMultilevel"/>
    <w:tmpl w:val="5DF60924"/>
    <w:name w:val="Articles22222224"/>
    <w:lvl w:ilvl="0" w:tplc="21B45B92">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4206102D"/>
    <w:multiLevelType w:val="multilevel"/>
    <w:tmpl w:val="4C969CD8"/>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87" w15:restartNumberingAfterBreak="0">
    <w:nsid w:val="423817FE"/>
    <w:multiLevelType w:val="hybridMultilevel"/>
    <w:tmpl w:val="568ED6D6"/>
    <w:name w:val="Articles22222222222"/>
    <w:lvl w:ilvl="0" w:tplc="53787A7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3001422"/>
    <w:multiLevelType w:val="hybridMultilevel"/>
    <w:tmpl w:val="CCCEA5FC"/>
    <w:name w:val="Articles222222222222"/>
    <w:lvl w:ilvl="0" w:tplc="CA6AD144">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15:restartNumberingAfterBreak="0">
    <w:nsid w:val="431B15AA"/>
    <w:multiLevelType w:val="hybridMultilevel"/>
    <w:tmpl w:val="2370CFBC"/>
    <w:lvl w:ilvl="0" w:tplc="D82CB5B8">
      <w:start w:val="1"/>
      <w:numFmt w:val="lowerRoman"/>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37512F6"/>
    <w:multiLevelType w:val="multilevel"/>
    <w:tmpl w:val="0470BF8E"/>
    <w:lvl w:ilvl="0">
      <w:start w:val="1"/>
      <w:numFmt w:val="decimal"/>
      <w:pStyle w:val="Article3L1"/>
      <w:lvlText w:val="ARTICLE %1."/>
      <w:lvlJc w:val="center"/>
      <w:pPr>
        <w:tabs>
          <w:tab w:val="num" w:pos="1080"/>
        </w:tabs>
        <w:ind w:left="1080" w:hanging="360"/>
      </w:pPr>
      <w:rPr>
        <w:rFonts w:hint="default"/>
      </w:rPr>
    </w:lvl>
    <w:lvl w:ilvl="1">
      <w:start w:val="1"/>
      <w:numFmt w:val="decimal"/>
      <w:lvlText w:val="2.%2."/>
      <w:lvlJc w:val="left"/>
      <w:pPr>
        <w:tabs>
          <w:tab w:val="num" w:pos="1440"/>
        </w:tabs>
        <w:ind w:left="1512" w:hanging="432"/>
      </w:pPr>
      <w:rPr>
        <w:rFonts w:hint="default"/>
      </w:rPr>
    </w:lvl>
    <w:lvl w:ilvl="2">
      <w:start w:val="1"/>
      <w:numFmt w:val="decimal"/>
      <w:lvlText w:val="%32.%2."/>
      <w:lvlJc w:val="left"/>
      <w:pPr>
        <w:tabs>
          <w:tab w:val="num" w:pos="720"/>
        </w:tabs>
        <w:ind w:left="1944" w:hanging="504"/>
      </w:pPr>
      <w:rPr>
        <w:rFonts w:hint="default"/>
      </w:rPr>
    </w:lvl>
    <w:lvl w:ilvl="3">
      <w:start w:val="1"/>
      <w:numFmt w:val="none"/>
      <w:lvlText w:val="3.1."/>
      <w:lvlJc w:val="left"/>
      <w:pPr>
        <w:tabs>
          <w:tab w:val="num" w:pos="216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none"/>
      <w:isLgl/>
      <w:lvlText w:val="3.1"/>
      <w:lvlJc w:val="left"/>
      <w:pPr>
        <w:tabs>
          <w:tab w:val="num" w:pos="3600"/>
        </w:tabs>
        <w:ind w:left="3456" w:hanging="936"/>
      </w:pPr>
      <w:rPr>
        <w:rFonts w:hint="default"/>
      </w:rPr>
    </w:lvl>
    <w:lvl w:ilvl="6">
      <w:start w:val="1"/>
      <w:numFmt w:val="none"/>
      <w:lvlText w:val="3.1.1."/>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1" w15:restartNumberingAfterBreak="0">
    <w:nsid w:val="44CF7C60"/>
    <w:multiLevelType w:val="hybridMultilevel"/>
    <w:tmpl w:val="72521EBC"/>
    <w:name w:val="Articles4222223222224222222222222422"/>
    <w:lvl w:ilvl="0" w:tplc="E8269584">
      <w:start w:val="1"/>
      <w:numFmt w:val="lowerRoman"/>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4FA5BE6"/>
    <w:multiLevelType w:val="hybridMultilevel"/>
    <w:tmpl w:val="CD0CC7AE"/>
    <w:name w:val="Articles21"/>
    <w:lvl w:ilvl="0" w:tplc="E69226DA">
      <w:start w:val="1"/>
      <w:numFmt w:val="decimalZero"/>
      <w:lvlText w:val="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B21187"/>
    <w:multiLevelType w:val="hybridMultilevel"/>
    <w:tmpl w:val="50DEB9E2"/>
    <w:name w:val="Articles27"/>
    <w:lvl w:ilvl="0" w:tplc="2E6C7170">
      <w:start w:val="1"/>
      <w:numFmt w:val="decimalZero"/>
      <w:lvlText w:val="2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D13152"/>
    <w:multiLevelType w:val="hybridMultilevel"/>
    <w:tmpl w:val="89868514"/>
    <w:name w:val="Articles4222223222224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45E64649"/>
    <w:multiLevelType w:val="hybridMultilevel"/>
    <w:tmpl w:val="25744256"/>
    <w:lvl w:ilvl="0" w:tplc="A7366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47DC0044"/>
    <w:multiLevelType w:val="hybridMultilevel"/>
    <w:tmpl w:val="AA86704A"/>
    <w:name w:val="Articles222222"/>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15:restartNumberingAfterBreak="0">
    <w:nsid w:val="48244AFB"/>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49A16DC0"/>
    <w:multiLevelType w:val="hybridMultilevel"/>
    <w:tmpl w:val="50D8D240"/>
    <w:name w:val="Articles4222223222222232"/>
    <w:lvl w:ilvl="0" w:tplc="16E231F2">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4756D8"/>
    <w:multiLevelType w:val="hybridMultilevel"/>
    <w:tmpl w:val="BC885A3A"/>
    <w:name w:val="Articles32"/>
    <w:lvl w:ilvl="0" w:tplc="470642D2">
      <w:start w:val="1"/>
      <w:numFmt w:val="decimalZero"/>
      <w:lvlText w:val="3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A02FCE"/>
    <w:multiLevelType w:val="hybridMultilevel"/>
    <w:tmpl w:val="38687404"/>
    <w:name w:val="Articles4222223222223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BEE4052"/>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4C5643CD"/>
    <w:multiLevelType w:val="hybridMultilevel"/>
    <w:tmpl w:val="A02A0102"/>
    <w:name w:val="Articles4222223222224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D3D4FCB"/>
    <w:multiLevelType w:val="hybridMultilevel"/>
    <w:tmpl w:val="D64A78FC"/>
    <w:name w:val="Articles422222322222422"/>
    <w:lvl w:ilvl="0" w:tplc="26BA2838">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4" w15:restartNumberingAfterBreak="0">
    <w:nsid w:val="4DA31EE0"/>
    <w:multiLevelType w:val="hybridMultilevel"/>
    <w:tmpl w:val="6F7EAF16"/>
    <w:name w:val="Articles4222223222224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DA326FF"/>
    <w:multiLevelType w:val="hybridMultilevel"/>
    <w:tmpl w:val="9EC80436"/>
    <w:name w:val="Articles4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654B1A"/>
    <w:multiLevelType w:val="hybridMultilevel"/>
    <w:tmpl w:val="B0F08B44"/>
    <w:name w:val="Articles4222223222224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EAC6E0B"/>
    <w:multiLevelType w:val="hybridMultilevel"/>
    <w:tmpl w:val="C6AAFA6E"/>
    <w:name w:val="Articles422222322222422222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8" w15:restartNumberingAfterBreak="0">
    <w:nsid w:val="4F3202C9"/>
    <w:multiLevelType w:val="hybridMultilevel"/>
    <w:tmpl w:val="7CCE54A6"/>
    <w:name w:val="Articles2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373874"/>
    <w:multiLevelType w:val="hybridMultilevel"/>
    <w:tmpl w:val="15886CF6"/>
    <w:name w:val="Articles42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65755A"/>
    <w:multiLevelType w:val="hybridMultilevel"/>
    <w:tmpl w:val="B128C68E"/>
    <w:name w:val="Articles422222223"/>
    <w:lvl w:ilvl="0" w:tplc="9DD0AED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AF7E49"/>
    <w:multiLevelType w:val="hybridMultilevel"/>
    <w:tmpl w:val="4CBAF05C"/>
    <w:name w:val="Articles12"/>
    <w:lvl w:ilvl="0" w:tplc="9A705C60">
      <w:start w:val="1"/>
      <w:numFmt w:val="decimalZero"/>
      <w:lvlText w:val="1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99231E"/>
    <w:multiLevelType w:val="hybridMultilevel"/>
    <w:tmpl w:val="0232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3594740"/>
    <w:multiLevelType w:val="hybridMultilevel"/>
    <w:tmpl w:val="88AA78D0"/>
    <w:name w:val="Articles18"/>
    <w:lvl w:ilvl="0" w:tplc="90DE069A">
      <w:start w:val="1"/>
      <w:numFmt w:val="decimalZero"/>
      <w:lvlText w:val="1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BB6531"/>
    <w:multiLevelType w:val="hybridMultilevel"/>
    <w:tmpl w:val="480662E2"/>
    <w:name w:val="Articles5"/>
    <w:lvl w:ilvl="0" w:tplc="A978FF00">
      <w:start w:val="1"/>
      <w:numFmt w:val="decimalZero"/>
      <w:lvlText w:val="4.%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46152DF"/>
    <w:multiLevelType w:val="hybridMultilevel"/>
    <w:tmpl w:val="F8C8A9FC"/>
    <w:name w:val="Articles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A15DE1"/>
    <w:multiLevelType w:val="multilevel"/>
    <w:tmpl w:val="5A4A63B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7" w15:restartNumberingAfterBreak="0">
    <w:nsid w:val="56721FD0"/>
    <w:multiLevelType w:val="hybridMultilevel"/>
    <w:tmpl w:val="490A6CDC"/>
    <w:lvl w:ilvl="0" w:tplc="6360E216">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6360E216">
      <w:start w:val="1"/>
      <w:numFmt w:val="lowerRoman"/>
      <w:lvlText w:val="(%3)"/>
      <w:lvlJc w:val="lef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79390E"/>
    <w:multiLevelType w:val="hybridMultilevel"/>
    <w:tmpl w:val="2222B5EA"/>
    <w:name w:val="Articles42222232222242222222222224"/>
    <w:lvl w:ilvl="0" w:tplc="6DB8AE48">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B77CBE3A">
      <w:start w:val="1"/>
      <w:numFmt w:val="lowerRoman"/>
      <w:lvlText w:val="(%3)"/>
      <w:lvlJc w:val="left"/>
      <w:pPr>
        <w:ind w:left="2160" w:hanging="180"/>
      </w:pPr>
      <w:rPr>
        <w:rFonts w:hint="default"/>
      </w:rPr>
    </w:lvl>
    <w:lvl w:ilvl="3" w:tplc="F238E3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8B55AE"/>
    <w:multiLevelType w:val="hybridMultilevel"/>
    <w:tmpl w:val="625A9686"/>
    <w:name w:val="Articles4222223222224222222222222222222"/>
    <w:lvl w:ilvl="0" w:tplc="96E6794E">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6B2446F"/>
    <w:multiLevelType w:val="hybridMultilevel"/>
    <w:tmpl w:val="56CA0B0C"/>
    <w:name w:val="Articles33"/>
    <w:lvl w:ilvl="0" w:tplc="4CBC1D58">
      <w:start w:val="1"/>
      <w:numFmt w:val="decimalZero"/>
      <w:lvlText w:val="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C97E3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7F2222D"/>
    <w:multiLevelType w:val="hybridMultilevel"/>
    <w:tmpl w:val="82DA7830"/>
    <w:name w:val="Articles422222322222422222222222222222222322"/>
    <w:lvl w:ilvl="0" w:tplc="CE76359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8C3CD4"/>
    <w:multiLevelType w:val="hybridMultilevel"/>
    <w:tmpl w:val="B882D732"/>
    <w:name w:val="Articles4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695BB6"/>
    <w:multiLevelType w:val="hybridMultilevel"/>
    <w:tmpl w:val="38463BAE"/>
    <w:name w:val="Articles4222223222224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A360791"/>
    <w:multiLevelType w:val="hybridMultilevel"/>
    <w:tmpl w:val="D034DCD8"/>
    <w:name w:val="Articles4222223222224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5D2F1ECE"/>
    <w:multiLevelType w:val="hybridMultilevel"/>
    <w:tmpl w:val="032AB9BA"/>
    <w:name w:val="Articles4222223"/>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D721E2D"/>
    <w:multiLevelType w:val="hybridMultilevel"/>
    <w:tmpl w:val="B1BC00F2"/>
    <w:name w:val="Articles322"/>
    <w:lvl w:ilvl="0" w:tplc="77AC8A78">
      <w:start w:val="7"/>
      <w:numFmt w:val="decimalZero"/>
      <w:lvlText w:val="3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860FC9"/>
    <w:multiLevelType w:val="hybridMultilevel"/>
    <w:tmpl w:val="A178F764"/>
    <w:name w:val="Articles15"/>
    <w:lvl w:ilvl="0" w:tplc="3F44A440">
      <w:start w:val="1"/>
      <w:numFmt w:val="decimalZero"/>
      <w:lvlText w:val="1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6612CC"/>
    <w:multiLevelType w:val="hybridMultilevel"/>
    <w:tmpl w:val="AD6EDEFC"/>
    <w:name w:val="Articles42222232"/>
    <w:lvl w:ilvl="0" w:tplc="5BCC311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0155FE4"/>
    <w:multiLevelType w:val="hybridMultilevel"/>
    <w:tmpl w:val="1576A9F0"/>
    <w:name w:val="Articles2222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500880"/>
    <w:multiLevelType w:val="hybridMultilevel"/>
    <w:tmpl w:val="A86CAD64"/>
    <w:name w:val="Articles4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6B16ED"/>
    <w:multiLevelType w:val="hybridMultilevel"/>
    <w:tmpl w:val="07EAE822"/>
    <w:name w:val="Articles53"/>
    <w:lvl w:ilvl="0" w:tplc="49CA27E0">
      <w:start w:val="1"/>
      <w:numFmt w:val="decimalZero"/>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4A0ECD"/>
    <w:multiLevelType w:val="hybridMultilevel"/>
    <w:tmpl w:val="F57C1BC8"/>
    <w:name w:val="Articles422222322222422222222"/>
    <w:lvl w:ilvl="0" w:tplc="5BCC311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26C0571"/>
    <w:multiLevelType w:val="hybridMultilevel"/>
    <w:tmpl w:val="BEA8D666"/>
    <w:name w:val="Articles3322222"/>
    <w:lvl w:ilvl="0" w:tplc="762C1984">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62E52506"/>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15:restartNumberingAfterBreak="0">
    <w:nsid w:val="639D53A2"/>
    <w:multiLevelType w:val="hybridMultilevel"/>
    <w:tmpl w:val="6C402E96"/>
    <w:name w:val="Articles422222322222422222222223"/>
    <w:lvl w:ilvl="0" w:tplc="D5FE341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D51B65"/>
    <w:multiLevelType w:val="hybridMultilevel"/>
    <w:tmpl w:val="1ED419F6"/>
    <w:name w:val="Articles222222252"/>
    <w:lvl w:ilvl="0" w:tplc="D776669E">
      <w:start w:val="1"/>
      <w:numFmt w:val="lowerLetter"/>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64222713"/>
    <w:multiLevelType w:val="multilevel"/>
    <w:tmpl w:val="01DA6338"/>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39" w15:restartNumberingAfterBreak="0">
    <w:nsid w:val="6616158D"/>
    <w:multiLevelType w:val="hybridMultilevel"/>
    <w:tmpl w:val="D0B2E820"/>
    <w:name w:val="Articles332"/>
    <w:lvl w:ilvl="0" w:tplc="B9A0CA68">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674C1561"/>
    <w:multiLevelType w:val="hybridMultilevel"/>
    <w:tmpl w:val="DD28D70C"/>
    <w:name w:val="Articles4222223222224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7D1050C"/>
    <w:multiLevelType w:val="hybridMultilevel"/>
    <w:tmpl w:val="2F7AA964"/>
    <w:name w:val="Articles422222322222422222222222222"/>
    <w:lvl w:ilvl="0" w:tplc="96E6794E">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7FD27D2"/>
    <w:multiLevelType w:val="multilevel"/>
    <w:tmpl w:val="C9F2DF50"/>
    <w:lvl w:ilvl="0">
      <w:start w:val="1"/>
      <w:numFmt w:val="cardinalText"/>
      <w:pStyle w:val="StyleHeading1ArticleBoldBefore6pt1"/>
      <w:lvlText w:val="ARTICLE %1."/>
      <w:lvlJc w:val="left"/>
      <w:pPr>
        <w:tabs>
          <w:tab w:val="num" w:pos="1440"/>
        </w:tabs>
      </w:pPr>
      <w:rPr>
        <w:rFonts w:cs="Times New Roman" w:hint="default"/>
        <w:b/>
        <w:bCs/>
        <w:i w:val="0"/>
        <w:iCs w:val="0"/>
        <w:caps/>
        <w:sz w:val="24"/>
        <w:szCs w:val="24"/>
      </w:rPr>
    </w:lvl>
    <w:lvl w:ilvl="1">
      <w:start w:val="1"/>
      <w:numFmt w:val="lowerLetter"/>
      <w:lvlText w:val="(%2)"/>
      <w:lvlJc w:val="left"/>
      <w:pPr>
        <w:tabs>
          <w:tab w:val="num" w:pos="720"/>
        </w:tabs>
        <w:ind w:left="720" w:hanging="720"/>
      </w:pPr>
      <w:rPr>
        <w:rFonts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Letter"/>
      <w:lvlText w:val="(%4)"/>
      <w:lvlJc w:val="left"/>
      <w:pPr>
        <w:tabs>
          <w:tab w:val="num" w:pos="2160"/>
        </w:tabs>
        <w:ind w:left="2160" w:hanging="720"/>
      </w:pPr>
      <w:rPr>
        <w:rFonts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3" w15:restartNumberingAfterBreak="0">
    <w:nsid w:val="687B7669"/>
    <w:multiLevelType w:val="hybridMultilevel"/>
    <w:tmpl w:val="6194FADC"/>
    <w:name w:val="Articles16"/>
    <w:lvl w:ilvl="0" w:tplc="804E8F84">
      <w:start w:val="1"/>
      <w:numFmt w:val="decimalZero"/>
      <w:lvlText w:val="1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442471"/>
    <w:multiLevelType w:val="multilevel"/>
    <w:tmpl w:val="B8508044"/>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0"/>
        </w:tabs>
        <w:ind w:left="702" w:hanging="432"/>
      </w:pPr>
      <w:rPr>
        <w:rFonts w:hint="default"/>
        <w:b w:val="0"/>
      </w:rPr>
    </w:lvl>
    <w:lvl w:ilvl="2">
      <w:start w:val="1"/>
      <w:numFmt w:val="lowerLetter"/>
      <w:pStyle w:val="Heading3SCE"/>
      <w:lvlText w:val="(%3)"/>
      <w:lvlJc w:val="left"/>
      <w:pPr>
        <w:tabs>
          <w:tab w:val="num" w:pos="1530"/>
        </w:tabs>
        <w:ind w:left="1314" w:hanging="504"/>
      </w:pPr>
      <w:rPr>
        <w:rFonts w:hint="default"/>
        <w:b w:val="0"/>
        <w:i w:val="0"/>
      </w:rPr>
    </w:lvl>
    <w:lvl w:ilvl="3">
      <w:start w:val="1"/>
      <w:numFmt w:val="lowerRoman"/>
      <w:pStyle w:val="Heading4SCE"/>
      <w:lvlText w:val="(%4)"/>
      <w:lvlJc w:val="left"/>
      <w:pPr>
        <w:tabs>
          <w:tab w:val="num" w:pos="2790"/>
        </w:tabs>
        <w:ind w:left="2718" w:hanging="648"/>
      </w:pPr>
      <w:rPr>
        <w:rFonts w:hint="default"/>
        <w:b w:val="0"/>
        <w:i w:val="0"/>
        <w:sz w:val="24"/>
      </w:rPr>
    </w:lvl>
    <w:lvl w:ilvl="4">
      <w:start w:val="1"/>
      <w:numFmt w:val="upperLetter"/>
      <w:pStyle w:val="Heading5SCE"/>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46" w15:restartNumberingAfterBreak="0">
    <w:nsid w:val="69D60EBF"/>
    <w:multiLevelType w:val="hybridMultilevel"/>
    <w:tmpl w:val="EBB63AFE"/>
    <w:name w:val="Articles2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7" w15:restartNumberingAfterBreak="0">
    <w:nsid w:val="6A2321E0"/>
    <w:multiLevelType w:val="hybridMultilevel"/>
    <w:tmpl w:val="95C88E88"/>
    <w:name w:val="Articles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8" w15:restartNumberingAfterBreak="0">
    <w:nsid w:val="6A3F37E7"/>
    <w:multiLevelType w:val="hybridMultilevel"/>
    <w:tmpl w:val="29925150"/>
    <w:name w:val="Articles522"/>
    <w:lvl w:ilvl="0" w:tplc="0E02E642">
      <w:start w:val="1"/>
      <w:numFmt w:val="decimalZero"/>
      <w:lvlText w:val="3.%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BB24851"/>
    <w:multiLevelType w:val="multilevel"/>
    <w:tmpl w:val="1E5C2DAE"/>
    <w:name w:val="Articles2322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50" w15:restartNumberingAfterBreak="0">
    <w:nsid w:val="6C8D3129"/>
    <w:multiLevelType w:val="hybridMultilevel"/>
    <w:tmpl w:val="64022F1A"/>
    <w:name w:val="Articles42222232222242222222222223"/>
    <w:lvl w:ilvl="0" w:tplc="BB5A215A">
      <w:start w:val="3"/>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DA34CE0"/>
    <w:multiLevelType w:val="hybridMultilevel"/>
    <w:tmpl w:val="D17CFCFE"/>
    <w:name w:val="Articles422222232"/>
    <w:lvl w:ilvl="0" w:tplc="26A4BCF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4E0571"/>
    <w:multiLevelType w:val="multilevel"/>
    <w:tmpl w:val="FAC05ADE"/>
    <w:lvl w:ilvl="0">
      <w:start w:val="1"/>
      <w:numFmt w:val="lowerLetter"/>
      <w:lvlText w:val="(%1)"/>
      <w:lvlJc w:val="left"/>
      <w:pPr>
        <w:tabs>
          <w:tab w:val="num" w:pos="720"/>
        </w:tabs>
        <w:ind w:left="720" w:hanging="720"/>
      </w:pPr>
      <w:rPr>
        <w:rFonts w:hint="default"/>
        <w:b w:val="0"/>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3" w15:restartNumberingAfterBreak="0">
    <w:nsid w:val="6E9E661C"/>
    <w:multiLevelType w:val="hybridMultilevel"/>
    <w:tmpl w:val="FCDE7018"/>
    <w:name w:val="Articles422222322222223"/>
    <w:lvl w:ilvl="0" w:tplc="89F28A52">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011185D"/>
    <w:multiLevelType w:val="hybridMultilevel"/>
    <w:tmpl w:val="17D2216E"/>
    <w:name w:val="Articles422222322222"/>
    <w:lvl w:ilvl="0" w:tplc="0A3ABCA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1103447"/>
    <w:multiLevelType w:val="hybridMultilevel"/>
    <w:tmpl w:val="DB20F6E2"/>
    <w:name w:val="Articles3"/>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pStyle w:val="BIINewL3"/>
      <w:lvlText w:val="%3."/>
      <w:lvlJc w:val="right"/>
      <w:pPr>
        <w:ind w:left="2700" w:hanging="180"/>
      </w:pPr>
    </w:lvl>
    <w:lvl w:ilvl="3" w:tplc="0409000F" w:tentative="1">
      <w:start w:val="1"/>
      <w:numFmt w:val="decimal"/>
      <w:pStyle w:val="BIINewL4"/>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pStyle w:val="BIINewL9"/>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pStyle w:val="Subsection3a"/>
      <w:lvlText w:val="%9."/>
      <w:lvlJc w:val="right"/>
      <w:pPr>
        <w:ind w:left="7020" w:hanging="180"/>
      </w:pPr>
    </w:lvl>
  </w:abstractNum>
  <w:abstractNum w:abstractNumId="156" w15:restartNumberingAfterBreak="0">
    <w:nsid w:val="712A2AE5"/>
    <w:multiLevelType w:val="hybridMultilevel"/>
    <w:tmpl w:val="8144B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21E47CC"/>
    <w:multiLevelType w:val="hybridMultilevel"/>
    <w:tmpl w:val="4C027DCA"/>
    <w:name w:val="Articles422222322223"/>
    <w:lvl w:ilvl="0" w:tplc="062E86A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C362E5"/>
    <w:multiLevelType w:val="hybridMultilevel"/>
    <w:tmpl w:val="90CEBDBC"/>
    <w:name w:val="Articles4222223222224222222222222222222223222"/>
    <w:lvl w:ilvl="0" w:tplc="95BCBD8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3A673FF"/>
    <w:multiLevelType w:val="hybridMultilevel"/>
    <w:tmpl w:val="49C0B440"/>
    <w:name w:val="Articles14"/>
    <w:lvl w:ilvl="0" w:tplc="5184A94C">
      <w:start w:val="1"/>
      <w:numFmt w:val="decimalZero"/>
      <w:lvlText w:val="1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B10C0E"/>
    <w:multiLevelType w:val="multilevel"/>
    <w:tmpl w:val="46F0F60E"/>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61" w15:restartNumberingAfterBreak="0">
    <w:nsid w:val="73BC3E94"/>
    <w:multiLevelType w:val="multilevel"/>
    <w:tmpl w:val="805E0A32"/>
    <w:name w:val="Articles42222232222242222222222222222222232222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2" w15:restartNumberingAfterBreak="0">
    <w:nsid w:val="73E7371B"/>
    <w:multiLevelType w:val="hybridMultilevel"/>
    <w:tmpl w:val="AB464468"/>
    <w:name w:val="Articles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55221EA"/>
    <w:multiLevelType w:val="multilevel"/>
    <w:tmpl w:val="BCCEABBC"/>
    <w:lvl w:ilvl="0">
      <w:start w:val="1"/>
      <w:numFmt w:val="decimal"/>
      <w:lvlText w:val="ARTICLE %1."/>
      <w:lvlJc w:val="left"/>
      <w:pPr>
        <w:ind w:left="1728" w:hanging="1728"/>
      </w:pPr>
      <w:rPr>
        <w:rFonts w:hint="default"/>
      </w:rPr>
    </w:lvl>
    <w:lvl w:ilvl="1">
      <w:start w:val="1"/>
      <w:numFmt w:val="decimalZero"/>
      <w:lvlText w:val="%1.%2"/>
      <w:lvlJc w:val="left"/>
      <w:pPr>
        <w:ind w:left="864" w:hanging="864"/>
      </w:pPr>
      <w:rPr>
        <w:rFonts w:hint="default"/>
      </w:rPr>
    </w:lvl>
    <w:lvl w:ilvl="2">
      <w:start w:val="1"/>
      <w:numFmt w:val="lowerLetter"/>
      <w:lvlText w:val="(%3)"/>
      <w:lvlJc w:val="left"/>
      <w:pPr>
        <w:ind w:left="1728" w:hanging="864"/>
      </w:pPr>
      <w:rPr>
        <w:rFonts w:hint="default"/>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164" w15:restartNumberingAfterBreak="0">
    <w:nsid w:val="7632248E"/>
    <w:multiLevelType w:val="hybridMultilevel"/>
    <w:tmpl w:val="2092E3C0"/>
    <w:name w:val="Articles22222223"/>
    <w:lvl w:ilvl="0" w:tplc="6D60850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73F0D59"/>
    <w:multiLevelType w:val="hybridMultilevel"/>
    <w:tmpl w:val="E960CC50"/>
    <w:name w:val="Articles4222223222224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76C3FF9"/>
    <w:multiLevelType w:val="hybridMultilevel"/>
    <w:tmpl w:val="7A603538"/>
    <w:name w:val="Articles13"/>
    <w:lvl w:ilvl="0" w:tplc="970E58F0">
      <w:start w:val="1"/>
      <w:numFmt w:val="decimalZero"/>
      <w:lvlText w:val="1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92A066F"/>
    <w:multiLevelType w:val="hybridMultilevel"/>
    <w:tmpl w:val="6D32A8A4"/>
    <w:name w:val="Articles34"/>
    <w:lvl w:ilvl="0" w:tplc="E0EC5B22">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79D07F58"/>
    <w:multiLevelType w:val="multilevel"/>
    <w:tmpl w:val="805E0A32"/>
    <w:name w:val="Articles422222322222422222222222222222222322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9" w15:restartNumberingAfterBreak="0">
    <w:nsid w:val="7AF96E29"/>
    <w:multiLevelType w:val="hybridMultilevel"/>
    <w:tmpl w:val="B26E95F4"/>
    <w:name w:val="Articles42222232222242222222222222222222232"/>
    <w:lvl w:ilvl="0" w:tplc="CE763594">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D737183"/>
    <w:multiLevelType w:val="hybridMultilevel"/>
    <w:tmpl w:val="FC5856F8"/>
    <w:name w:val="Articles4222223222224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7DB4484E"/>
    <w:multiLevelType w:val="hybridMultilevel"/>
    <w:tmpl w:val="BB147C1C"/>
    <w:name w:val="Articles22222225"/>
    <w:lvl w:ilvl="0" w:tplc="47785902">
      <w:start w:val="1"/>
      <w:numFmt w:val="lowerLetter"/>
      <w:lvlText w:val="(%1)"/>
      <w:lvlJc w:val="left"/>
      <w:pPr>
        <w:ind w:left="720" w:hanging="360"/>
      </w:pPr>
      <w:rPr>
        <w:rFonts w:hint="default"/>
        <w:b w:val="0"/>
        <w:i w:val="0"/>
      </w:rPr>
    </w:lvl>
    <w:lvl w:ilvl="1" w:tplc="F238E3E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130023"/>
    <w:multiLevelType w:val="hybridMultilevel"/>
    <w:tmpl w:val="FD24E404"/>
    <w:name w:val="Articles422222322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7E9D2280"/>
    <w:multiLevelType w:val="multilevel"/>
    <w:tmpl w:val="52BC6C66"/>
    <w:name w:val="Articles23222"/>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174" w15:restartNumberingAfterBreak="0">
    <w:nsid w:val="7EBB2962"/>
    <w:multiLevelType w:val="hybridMultilevel"/>
    <w:tmpl w:val="C748C16E"/>
    <w:name w:val="Articles19"/>
    <w:lvl w:ilvl="0" w:tplc="0B3A24B0">
      <w:start w:val="1"/>
      <w:numFmt w:val="decimalZero"/>
      <w:lvlText w:val="1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0"/>
  </w:num>
  <w:num w:numId="2">
    <w:abstractNumId w:val="82"/>
  </w:num>
  <w:num w:numId="3">
    <w:abstractNumId w:val="17"/>
  </w:num>
  <w:num w:numId="4">
    <w:abstractNumId w:val="155"/>
  </w:num>
  <w:num w:numId="5">
    <w:abstractNumId w:val="38"/>
  </w:num>
  <w:num w:numId="6">
    <w:abstractNumId w:val="15"/>
  </w:num>
  <w:num w:numId="7">
    <w:abstractNumId w:val="105"/>
  </w:num>
  <w:num w:numId="8">
    <w:abstractNumId w:val="70"/>
  </w:num>
  <w:num w:numId="9">
    <w:abstractNumId w:val="83"/>
  </w:num>
  <w:num w:numId="10">
    <w:abstractNumId w:val="18"/>
  </w:num>
  <w:num w:numId="11">
    <w:abstractNumId w:val="60"/>
  </w:num>
  <w:num w:numId="12">
    <w:abstractNumId w:val="160"/>
  </w:num>
  <w:num w:numId="13">
    <w:abstractNumId w:val="49"/>
  </w:num>
  <w:num w:numId="14">
    <w:abstractNumId w:val="23"/>
  </w:num>
  <w:num w:numId="15">
    <w:abstractNumId w:val="44"/>
  </w:num>
  <w:num w:numId="16">
    <w:abstractNumId w:val="80"/>
    <w:lvlOverride w:ilvl="0">
      <w:lvl w:ilvl="0">
        <w:start w:val="1"/>
        <w:numFmt w:val="lowerLetter"/>
        <w:lvlText w:val="(%1)"/>
        <w:lvlJc w:val="left"/>
        <w:pPr>
          <w:ind w:left="1800" w:hanging="360"/>
        </w:pPr>
        <w:rPr>
          <w:rFonts w:ascii="Times New Roman" w:hAnsi="Times New Roman" w:hint="default"/>
          <w:b w:val="0"/>
          <w:i w:val="0"/>
          <w:sz w:val="24"/>
        </w:rPr>
      </w:lvl>
    </w:lvlOverride>
    <w:lvlOverride w:ilvl="1">
      <w:lvl w:ilvl="1">
        <w:start w:val="1"/>
        <w:numFmt w:val="lowerRoman"/>
        <w:lvlText w:val="(%2)"/>
        <w:lvlJc w:val="left"/>
        <w:pPr>
          <w:ind w:left="2160" w:hanging="720"/>
        </w:pPr>
        <w:rPr>
          <w:rFonts w:hint="default"/>
        </w:rPr>
      </w:lvl>
    </w:lvlOverride>
    <w:lvlOverride w:ilvl="2">
      <w:lvl w:ilvl="2">
        <w:start w:val="1"/>
        <w:numFmt w:val="lowerRoman"/>
        <w:lvlText w:val="%3."/>
        <w:lvlJc w:val="right"/>
        <w:pPr>
          <w:ind w:left="2700" w:hanging="180"/>
        </w:pPr>
        <w:rPr>
          <w:rFonts w:hint="default"/>
        </w:rPr>
      </w:lvl>
    </w:lvlOverride>
    <w:lvlOverride w:ilvl="3">
      <w:lvl w:ilvl="3">
        <w:start w:val="1"/>
        <w:numFmt w:val="decimal"/>
        <w:lvlText w:val="%4."/>
        <w:lvlJc w:val="left"/>
        <w:pPr>
          <w:ind w:left="3420" w:hanging="360"/>
        </w:pPr>
        <w:rPr>
          <w:rFonts w:hint="default"/>
        </w:rPr>
      </w:lvl>
    </w:lvlOverride>
    <w:lvlOverride w:ilvl="4">
      <w:lvl w:ilvl="4">
        <w:start w:val="1"/>
        <w:numFmt w:val="lowerLetter"/>
        <w:lvlText w:val="%5."/>
        <w:lvlJc w:val="left"/>
        <w:pPr>
          <w:ind w:left="4140" w:hanging="360"/>
        </w:pPr>
        <w:rPr>
          <w:rFonts w:hint="default"/>
        </w:rPr>
      </w:lvl>
    </w:lvlOverride>
    <w:lvlOverride w:ilvl="5">
      <w:lvl w:ilvl="5">
        <w:start w:val="1"/>
        <w:numFmt w:val="lowerRoman"/>
        <w:lvlText w:val="%6."/>
        <w:lvlJc w:val="right"/>
        <w:pPr>
          <w:ind w:left="486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300" w:hanging="360"/>
        </w:pPr>
        <w:rPr>
          <w:rFonts w:hint="default"/>
        </w:rPr>
      </w:lvl>
    </w:lvlOverride>
    <w:lvlOverride w:ilvl="8">
      <w:lvl w:ilvl="8">
        <w:start w:val="1"/>
        <w:numFmt w:val="lowerRoman"/>
        <w:lvlText w:val="%9."/>
        <w:lvlJc w:val="right"/>
        <w:pPr>
          <w:ind w:left="7020" w:hanging="180"/>
        </w:pPr>
        <w:rPr>
          <w:rFonts w:hint="default"/>
        </w:rPr>
      </w:lvl>
    </w:lvlOverride>
  </w:num>
  <w:num w:numId="17">
    <w:abstractNumId w:val="126"/>
  </w:num>
  <w:num w:numId="18">
    <w:abstractNumId w:val="37"/>
  </w:num>
  <w:num w:numId="19">
    <w:abstractNumId w:val="13"/>
  </w:num>
  <w:num w:numId="20">
    <w:abstractNumId w:val="78"/>
  </w:num>
  <w:num w:numId="21">
    <w:abstractNumId w:val="14"/>
  </w:num>
  <w:num w:numId="22">
    <w:abstractNumId w:val="154"/>
  </w:num>
  <w:num w:numId="23">
    <w:abstractNumId w:val="79"/>
  </w:num>
  <w:num w:numId="24">
    <w:abstractNumId w:val="6"/>
  </w:num>
  <w:num w:numId="25">
    <w:abstractNumId w:val="32"/>
  </w:num>
  <w:num w:numId="26">
    <w:abstractNumId w:val="59"/>
  </w:num>
  <w:num w:numId="27">
    <w:abstractNumId w:val="34"/>
  </w:num>
  <w:num w:numId="28">
    <w:abstractNumId w:val="140"/>
  </w:num>
  <w:num w:numId="29">
    <w:abstractNumId w:val="133"/>
  </w:num>
  <w:num w:numId="30">
    <w:abstractNumId w:val="107"/>
  </w:num>
  <w:num w:numId="31">
    <w:abstractNumId w:val="24"/>
  </w:num>
  <w:num w:numId="32">
    <w:abstractNumId w:val="141"/>
  </w:num>
  <w:num w:numId="33">
    <w:abstractNumId w:val="104"/>
  </w:num>
  <w:num w:numId="34">
    <w:abstractNumId w:val="170"/>
  </w:num>
  <w:num w:numId="35">
    <w:abstractNumId w:val="119"/>
  </w:num>
  <w:num w:numId="36">
    <w:abstractNumId w:val="102"/>
  </w:num>
  <w:num w:numId="37">
    <w:abstractNumId w:val="124"/>
  </w:num>
  <w:num w:numId="38">
    <w:abstractNumId w:val="61"/>
  </w:num>
  <w:num w:numId="39">
    <w:abstractNumId w:val="20"/>
  </w:num>
  <w:num w:numId="40">
    <w:abstractNumId w:val="165"/>
  </w:num>
  <w:num w:numId="41">
    <w:abstractNumId w:val="76"/>
  </w:num>
  <w:num w:numId="42">
    <w:abstractNumId w:val="0"/>
  </w:num>
  <w:num w:numId="43">
    <w:abstractNumId w:val="46"/>
  </w:num>
  <w:num w:numId="44">
    <w:abstractNumId w:val="7"/>
  </w:num>
  <w:num w:numId="45">
    <w:abstractNumId w:val="51"/>
  </w:num>
  <w:num w:numId="46">
    <w:abstractNumId w:val="1"/>
  </w:num>
  <w:num w:numId="47">
    <w:abstractNumId w:val="69"/>
  </w:num>
  <w:num w:numId="48">
    <w:abstractNumId w:val="28"/>
  </w:num>
  <w:num w:numId="49">
    <w:abstractNumId w:val="89"/>
  </w:num>
  <w:num w:numId="50">
    <w:abstractNumId w:val="3"/>
  </w:num>
  <w:num w:numId="51">
    <w:abstractNumId w:val="130"/>
  </w:num>
  <w:num w:numId="52">
    <w:abstractNumId w:val="112"/>
  </w:num>
  <w:num w:numId="53">
    <w:abstractNumId w:val="86"/>
  </w:num>
  <w:num w:numId="54">
    <w:abstractNumId w:val="67"/>
  </w:num>
  <w:num w:numId="55">
    <w:abstractNumId w:val="21"/>
  </w:num>
  <w:num w:numId="56">
    <w:abstractNumId w:val="168"/>
  </w:num>
  <w:num w:numId="57">
    <w:abstractNumId w:val="135"/>
  </w:num>
  <w:num w:numId="58">
    <w:abstractNumId w:val="101"/>
  </w:num>
  <w:num w:numId="59">
    <w:abstractNumId w:val="142"/>
  </w:num>
  <w:num w:numId="60">
    <w:abstractNumId w:val="36"/>
  </w:num>
  <w:num w:numId="61">
    <w:abstractNumId w:val="151"/>
  </w:num>
  <w:num w:numId="62">
    <w:abstractNumId w:val="25"/>
  </w:num>
  <w:num w:numId="63">
    <w:abstractNumId w:val="19"/>
  </w:num>
  <w:num w:numId="64">
    <w:abstractNumId w:val="39"/>
  </w:num>
  <w:num w:numId="65">
    <w:abstractNumId w:val="118"/>
  </w:num>
  <w:num w:numId="66">
    <w:abstractNumId w:val="50"/>
  </w:num>
  <w:num w:numId="67">
    <w:abstractNumId w:val="91"/>
  </w:num>
  <w:num w:numId="68">
    <w:abstractNumId w:val="54"/>
  </w:num>
  <w:num w:numId="69">
    <w:abstractNumId w:val="52"/>
  </w:num>
  <w:num w:numId="70">
    <w:abstractNumId w:val="31"/>
  </w:num>
  <w:num w:numId="71">
    <w:abstractNumId w:val="153"/>
  </w:num>
  <w:num w:numId="72">
    <w:abstractNumId w:val="98"/>
  </w:num>
  <w:num w:numId="73">
    <w:abstractNumId w:val="55"/>
  </w:num>
  <w:num w:numId="74">
    <w:abstractNumId w:val="134"/>
  </w:num>
  <w:num w:numId="75">
    <w:abstractNumId w:val="138"/>
  </w:num>
  <w:num w:numId="76">
    <w:abstractNumId w:val="110"/>
  </w:num>
  <w:num w:numId="77">
    <w:abstractNumId w:val="173"/>
  </w:num>
  <w:num w:numId="78">
    <w:abstractNumId w:val="149"/>
  </w:num>
  <w:num w:numId="79">
    <w:abstractNumId w:val="157"/>
  </w:num>
  <w:num w:numId="80">
    <w:abstractNumId w:val="169"/>
  </w:num>
  <w:num w:numId="81">
    <w:abstractNumId w:val="122"/>
  </w:num>
  <w:num w:numId="82">
    <w:abstractNumId w:val="158"/>
  </w:num>
  <w:num w:numId="83">
    <w:abstractNumId w:val="116"/>
  </w:num>
  <w:num w:numId="84">
    <w:abstractNumId w:val="97"/>
  </w:num>
  <w:num w:numId="85">
    <w:abstractNumId w:val="117"/>
  </w:num>
  <w:num w:numId="86">
    <w:abstractNumId w:val="152"/>
  </w:num>
  <w:num w:numId="87">
    <w:abstractNumId w:val="145"/>
  </w:num>
  <w:num w:numId="88">
    <w:abstractNumId w:val="163"/>
  </w:num>
  <w:num w:numId="89">
    <w:abstractNumId w:val="163"/>
  </w:num>
  <w:num w:numId="90">
    <w:abstractNumId w:val="163"/>
  </w:num>
  <w:num w:numId="91">
    <w:abstractNumId w:val="163"/>
  </w:num>
  <w:num w:numId="92">
    <w:abstractNumId w:val="163"/>
  </w:num>
  <w:num w:numId="93">
    <w:abstractNumId w:val="163"/>
  </w:num>
  <w:num w:numId="94">
    <w:abstractNumId w:val="163"/>
  </w:num>
  <w:num w:numId="95">
    <w:abstractNumId w:val="73"/>
  </w:num>
  <w:num w:numId="96">
    <w:abstractNumId w:val="163"/>
  </w:num>
  <w:num w:numId="97">
    <w:abstractNumId w:val="163"/>
  </w:num>
  <w:num w:numId="98">
    <w:abstractNumId w:val="163"/>
  </w:num>
  <w:num w:numId="99">
    <w:abstractNumId w:val="163"/>
  </w:num>
  <w:num w:numId="100">
    <w:abstractNumId w:val="163"/>
  </w:num>
  <w:num w:numId="101">
    <w:abstractNumId w:val="51"/>
  </w:num>
  <w:num w:numId="102">
    <w:abstractNumId w:val="163"/>
  </w:num>
  <w:num w:numId="103">
    <w:abstractNumId w:val="163"/>
  </w:num>
  <w:num w:numId="104">
    <w:abstractNumId w:val="163"/>
  </w:num>
  <w:num w:numId="105">
    <w:abstractNumId w:val="144"/>
  </w:num>
  <w:num w:numId="106">
    <w:abstractNumId w:val="163"/>
  </w:num>
  <w:num w:numId="107">
    <w:abstractNumId w:val="163"/>
    <w:lvlOverride w:ilvl="0">
      <w:startOverride w:val="1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7"/>
  </w:num>
  <w:num w:numId="109">
    <w:abstractNumId w:val="163"/>
  </w:num>
  <w:num w:numId="110">
    <w:abstractNumId w:val="121"/>
  </w:num>
  <w:num w:numId="111">
    <w:abstractNumId w:val="84"/>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i w:val="0"/>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1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6"/>
  </w:num>
  <w:num w:numId="114">
    <w:abstractNumId w:val="56"/>
  </w:num>
  <w:num w:numId="115">
    <w:abstractNumId w:val="74"/>
  </w:num>
  <w:num w:numId="116">
    <w:abstractNumId w:val="63"/>
  </w:num>
  <w:num w:numId="1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num>
  <w:num w:numId="1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4"/>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125">
    <w:abstractNumId w:val="84"/>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126">
    <w:abstractNumId w:val="84"/>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127">
    <w:abstractNumId w:val="84"/>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128">
    <w:abstractNumId w:val="84"/>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129">
    <w:abstractNumId w:val="84"/>
    <w:lvlOverride w:ilvl="0">
      <w:startOverride w:val="1"/>
      <w:lvl w:ilvl="0">
        <w:start w:val="1"/>
        <w:numFmt w:val="decimal"/>
        <w:pStyle w:val="Heading1"/>
        <w:lvlText w:val="ARTICLE %1."/>
        <w:lvlJc w:val="left"/>
        <w:pPr>
          <w:ind w:left="1728" w:hanging="1728"/>
        </w:pPr>
        <w:rPr>
          <w:rFonts w:hint="default"/>
        </w:rPr>
      </w:lvl>
    </w:lvlOverride>
    <w:lvlOverride w:ilvl="1">
      <w:startOverride w:val="1"/>
      <w:lvl w:ilvl="1">
        <w:start w:val="1"/>
        <w:numFmt w:val="decimalZero"/>
        <w:pStyle w:val="Heading2"/>
        <w:lvlText w:val="%1.%2"/>
        <w:lvlJc w:val="left"/>
        <w:pPr>
          <w:ind w:left="864" w:hanging="864"/>
        </w:pPr>
        <w:rPr>
          <w:rFonts w:hint="default"/>
        </w:rPr>
      </w:lvl>
    </w:lvlOverride>
    <w:lvlOverride w:ilvl="2">
      <w:startOverride w:val="1"/>
      <w:lvl w:ilvl="2">
        <w:start w:val="1"/>
        <w:numFmt w:val="lowerLetter"/>
        <w:pStyle w:val="Heading3"/>
        <w:lvlText w:val="(%3)"/>
        <w:lvlJc w:val="left"/>
        <w:pPr>
          <w:ind w:left="1728" w:hanging="864"/>
        </w:pPr>
        <w:rPr>
          <w:rFonts w:hint="default"/>
        </w:rPr>
      </w:lvl>
    </w:lvlOverride>
    <w:lvlOverride w:ilvl="3">
      <w:startOverride w:val="1"/>
      <w:lvl w:ilvl="3">
        <w:start w:val="1"/>
        <w:numFmt w:val="lowerRoman"/>
        <w:pStyle w:val="Heading4"/>
        <w:lvlText w:val="(%4)"/>
        <w:lvlJc w:val="left"/>
        <w:pPr>
          <w:ind w:left="2592" w:hanging="864"/>
        </w:pPr>
        <w:rPr>
          <w:rFonts w:hint="default"/>
        </w:rPr>
      </w:lvl>
    </w:lvlOverride>
    <w:lvlOverride w:ilvl="4">
      <w:startOverride w:val="1"/>
      <w:lvl w:ilvl="4">
        <w:start w:val="1"/>
        <w:numFmt w:val="upperLetter"/>
        <w:pStyle w:val="Heading5"/>
        <w:lvlText w:val="(%5)"/>
        <w:lvlJc w:val="left"/>
        <w:pPr>
          <w:ind w:left="3456" w:hanging="864"/>
        </w:pPr>
        <w:rPr>
          <w:rFonts w:hint="default"/>
        </w:rPr>
      </w:lvl>
    </w:lvlOverride>
    <w:lvlOverride w:ilvl="5">
      <w:startOverride w:val="1"/>
      <w:lvl w:ilvl="5">
        <w:start w:val="1"/>
        <w:numFmt w:val="none"/>
        <w:pStyle w:val="Heading6"/>
        <w:lvlText w:val=""/>
        <w:lvlJc w:val="left"/>
        <w:pPr>
          <w:ind w:left="4320" w:hanging="864"/>
        </w:pPr>
        <w:rPr>
          <w:rFonts w:hint="default"/>
        </w:rPr>
      </w:lvl>
    </w:lvlOverride>
    <w:lvlOverride w:ilvl="6">
      <w:startOverride w:val="1"/>
      <w:lvl w:ilvl="6">
        <w:start w:val="1"/>
        <w:numFmt w:val="decimal"/>
        <w:lvlText w:val="%7."/>
        <w:lvlJc w:val="left"/>
        <w:pPr>
          <w:ind w:left="6048" w:hanging="864"/>
        </w:pPr>
        <w:rPr>
          <w:rFonts w:hint="default"/>
        </w:rPr>
      </w:lvl>
    </w:lvlOverride>
    <w:lvlOverride w:ilvl="7">
      <w:startOverride w:val="1"/>
      <w:lvl w:ilvl="7">
        <w:start w:val="1"/>
        <w:numFmt w:val="lowerLetter"/>
        <w:lvlText w:val="%8."/>
        <w:lvlJc w:val="left"/>
        <w:pPr>
          <w:ind w:left="6912" w:hanging="864"/>
        </w:pPr>
        <w:rPr>
          <w:rFonts w:hint="default"/>
        </w:rPr>
      </w:lvl>
    </w:lvlOverride>
    <w:lvlOverride w:ilvl="8">
      <w:startOverride w:val="1"/>
      <w:lvl w:ilvl="8">
        <w:start w:val="1"/>
        <w:numFmt w:val="lowerRoman"/>
        <w:lvlText w:val="%9."/>
        <w:lvlJc w:val="left"/>
        <w:pPr>
          <w:ind w:left="7776" w:hanging="864"/>
        </w:pPr>
        <w:rPr>
          <w:rFonts w:hint="default"/>
        </w:rPr>
      </w:lvl>
    </w:lvlOverride>
  </w:num>
  <w:num w:numId="130">
    <w:abstractNumId w:val="84"/>
  </w:num>
  <w:num w:numId="131">
    <w:abstractNumId w:val="84"/>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132">
    <w:abstractNumId w:val="2"/>
  </w:num>
  <w:num w:numId="133">
    <w:abstractNumId w:val="30"/>
  </w:num>
  <w:num w:numId="134">
    <w:abstractNumId w:val="84"/>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135">
    <w:abstractNumId w:val="95"/>
  </w:num>
  <w:num w:numId="136">
    <w:abstractNumId w:val="84"/>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137">
    <w:abstractNumId w:val="84"/>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138">
    <w:abstractNumId w:val="84"/>
    <w:lvlOverride w:ilvl="0">
      <w:lvl w:ilvl="0">
        <w:start w:val="1"/>
        <w:numFmt w:val="decimal"/>
        <w:pStyle w:val="Heading1"/>
        <w:lvlText w:val="ARTICLE %1."/>
        <w:lvlJc w:val="left"/>
        <w:pPr>
          <w:ind w:left="1728" w:hanging="1728"/>
        </w:pPr>
        <w:rPr>
          <w:rFonts w:hint="default"/>
        </w:rPr>
      </w:lvl>
    </w:lvlOverride>
    <w:lvlOverride w:ilvl="1">
      <w:lvl w:ilvl="1">
        <w:start w:val="1"/>
        <w:numFmt w:val="decimalZero"/>
        <w:pStyle w:val="Heading2"/>
        <w:lvlText w:val="%1.%2"/>
        <w:lvlJc w:val="left"/>
        <w:pPr>
          <w:ind w:left="864" w:hanging="864"/>
        </w:pPr>
        <w:rPr>
          <w:rFonts w:hint="default"/>
        </w:rPr>
      </w:lvl>
    </w:lvlOverride>
    <w:lvlOverride w:ilvl="2">
      <w:lvl w:ilvl="2">
        <w:start w:val="1"/>
        <w:numFmt w:val="lowerLetter"/>
        <w:pStyle w:val="Heading3"/>
        <w:lvlText w:val="(%3)"/>
        <w:lvlJc w:val="left"/>
        <w:pPr>
          <w:ind w:left="1728" w:hanging="864"/>
        </w:pPr>
        <w:rPr>
          <w:rFonts w:hint="default"/>
        </w:rPr>
      </w:lvl>
    </w:lvlOverride>
    <w:lvlOverride w:ilvl="3">
      <w:lvl w:ilvl="3">
        <w:start w:val="1"/>
        <w:numFmt w:val="lowerRoman"/>
        <w:pStyle w:val="Heading4"/>
        <w:lvlText w:val="(%4)"/>
        <w:lvlJc w:val="left"/>
        <w:pPr>
          <w:ind w:left="2592" w:hanging="864"/>
        </w:pPr>
        <w:rPr>
          <w:rFonts w:hint="default"/>
        </w:rPr>
      </w:lvl>
    </w:lvlOverride>
    <w:lvlOverride w:ilvl="4">
      <w:lvl w:ilvl="4">
        <w:start w:val="1"/>
        <w:numFmt w:val="upperLetter"/>
        <w:pStyle w:val="Heading5"/>
        <w:lvlText w:val="(%5)"/>
        <w:lvlJc w:val="left"/>
        <w:pPr>
          <w:ind w:left="3456" w:hanging="864"/>
        </w:pPr>
        <w:rPr>
          <w:rFonts w:hint="default"/>
        </w:rPr>
      </w:lvl>
    </w:lvlOverride>
    <w:lvlOverride w:ilvl="5">
      <w:lvl w:ilvl="5">
        <w:start w:val="1"/>
        <w:numFmt w:val="none"/>
        <w:pStyle w:val="Heading6"/>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144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F3"/>
    <w:rsid w:val="000001AF"/>
    <w:rsid w:val="000005CF"/>
    <w:rsid w:val="00001EB6"/>
    <w:rsid w:val="00004B32"/>
    <w:rsid w:val="00005933"/>
    <w:rsid w:val="00006369"/>
    <w:rsid w:val="0000743F"/>
    <w:rsid w:val="00010A2E"/>
    <w:rsid w:val="0001162D"/>
    <w:rsid w:val="00011BB5"/>
    <w:rsid w:val="00014995"/>
    <w:rsid w:val="00015B4D"/>
    <w:rsid w:val="000172A5"/>
    <w:rsid w:val="00017762"/>
    <w:rsid w:val="0002120A"/>
    <w:rsid w:val="00021999"/>
    <w:rsid w:val="000219CF"/>
    <w:rsid w:val="000236FA"/>
    <w:rsid w:val="00024E85"/>
    <w:rsid w:val="000268AC"/>
    <w:rsid w:val="00030669"/>
    <w:rsid w:val="000314E6"/>
    <w:rsid w:val="0003206C"/>
    <w:rsid w:val="00032138"/>
    <w:rsid w:val="00032336"/>
    <w:rsid w:val="00032E03"/>
    <w:rsid w:val="0003376D"/>
    <w:rsid w:val="000344C0"/>
    <w:rsid w:val="000347AD"/>
    <w:rsid w:val="00036F5A"/>
    <w:rsid w:val="00040211"/>
    <w:rsid w:val="000428ED"/>
    <w:rsid w:val="000445BF"/>
    <w:rsid w:val="00044D0D"/>
    <w:rsid w:val="0004721A"/>
    <w:rsid w:val="00050BBE"/>
    <w:rsid w:val="00051A6C"/>
    <w:rsid w:val="000527AC"/>
    <w:rsid w:val="00053B6D"/>
    <w:rsid w:val="000556BD"/>
    <w:rsid w:val="00055914"/>
    <w:rsid w:val="0005697F"/>
    <w:rsid w:val="00056D40"/>
    <w:rsid w:val="000574C9"/>
    <w:rsid w:val="0006019B"/>
    <w:rsid w:val="00061450"/>
    <w:rsid w:val="000639FC"/>
    <w:rsid w:val="00063E4D"/>
    <w:rsid w:val="0006515D"/>
    <w:rsid w:val="0006645F"/>
    <w:rsid w:val="000670FC"/>
    <w:rsid w:val="000678FD"/>
    <w:rsid w:val="00070781"/>
    <w:rsid w:val="00070D75"/>
    <w:rsid w:val="00071A92"/>
    <w:rsid w:val="0007252A"/>
    <w:rsid w:val="00072A5C"/>
    <w:rsid w:val="00072F86"/>
    <w:rsid w:val="000732B3"/>
    <w:rsid w:val="00073DF0"/>
    <w:rsid w:val="000746AF"/>
    <w:rsid w:val="00074D6F"/>
    <w:rsid w:val="00075B5A"/>
    <w:rsid w:val="00076D2B"/>
    <w:rsid w:val="0007740F"/>
    <w:rsid w:val="00080C04"/>
    <w:rsid w:val="00080C39"/>
    <w:rsid w:val="00081EA5"/>
    <w:rsid w:val="000851EB"/>
    <w:rsid w:val="00086C45"/>
    <w:rsid w:val="00092652"/>
    <w:rsid w:val="00093ABB"/>
    <w:rsid w:val="0009612A"/>
    <w:rsid w:val="00096282"/>
    <w:rsid w:val="000A214B"/>
    <w:rsid w:val="000A43B4"/>
    <w:rsid w:val="000A4EE4"/>
    <w:rsid w:val="000A538C"/>
    <w:rsid w:val="000A5AA8"/>
    <w:rsid w:val="000A62D8"/>
    <w:rsid w:val="000B03C7"/>
    <w:rsid w:val="000B1A65"/>
    <w:rsid w:val="000B1DA5"/>
    <w:rsid w:val="000B1F54"/>
    <w:rsid w:val="000B29F3"/>
    <w:rsid w:val="000B3399"/>
    <w:rsid w:val="000B389D"/>
    <w:rsid w:val="000B39FA"/>
    <w:rsid w:val="000B563D"/>
    <w:rsid w:val="000C1651"/>
    <w:rsid w:val="000C4B07"/>
    <w:rsid w:val="000C59A3"/>
    <w:rsid w:val="000C7B87"/>
    <w:rsid w:val="000D0A41"/>
    <w:rsid w:val="000D1ADB"/>
    <w:rsid w:val="000D31AC"/>
    <w:rsid w:val="000D565D"/>
    <w:rsid w:val="000D59A1"/>
    <w:rsid w:val="000D6281"/>
    <w:rsid w:val="000D666F"/>
    <w:rsid w:val="000D67B8"/>
    <w:rsid w:val="000E1239"/>
    <w:rsid w:val="000E145A"/>
    <w:rsid w:val="000E2ED2"/>
    <w:rsid w:val="000E579A"/>
    <w:rsid w:val="000F35EF"/>
    <w:rsid w:val="000F3745"/>
    <w:rsid w:val="000F3889"/>
    <w:rsid w:val="000F39F8"/>
    <w:rsid w:val="000F40C5"/>
    <w:rsid w:val="000F46F8"/>
    <w:rsid w:val="000F4943"/>
    <w:rsid w:val="000F625E"/>
    <w:rsid w:val="001001A8"/>
    <w:rsid w:val="00102584"/>
    <w:rsid w:val="00103B76"/>
    <w:rsid w:val="00106009"/>
    <w:rsid w:val="00106874"/>
    <w:rsid w:val="00107537"/>
    <w:rsid w:val="00107AEC"/>
    <w:rsid w:val="001106BE"/>
    <w:rsid w:val="0011098A"/>
    <w:rsid w:val="00115E7D"/>
    <w:rsid w:val="00117D53"/>
    <w:rsid w:val="001230FB"/>
    <w:rsid w:val="00123786"/>
    <w:rsid w:val="001240D6"/>
    <w:rsid w:val="00124AD4"/>
    <w:rsid w:val="00124EBB"/>
    <w:rsid w:val="001264D9"/>
    <w:rsid w:val="00126711"/>
    <w:rsid w:val="00127E57"/>
    <w:rsid w:val="00130284"/>
    <w:rsid w:val="00131CEB"/>
    <w:rsid w:val="00131EEE"/>
    <w:rsid w:val="001330E8"/>
    <w:rsid w:val="001331FC"/>
    <w:rsid w:val="00134B6B"/>
    <w:rsid w:val="00134C29"/>
    <w:rsid w:val="00134C4A"/>
    <w:rsid w:val="001358CD"/>
    <w:rsid w:val="00135A3D"/>
    <w:rsid w:val="00140B31"/>
    <w:rsid w:val="00140E2A"/>
    <w:rsid w:val="00141930"/>
    <w:rsid w:val="001433B9"/>
    <w:rsid w:val="00143A5F"/>
    <w:rsid w:val="00144F8F"/>
    <w:rsid w:val="00145E25"/>
    <w:rsid w:val="001463E6"/>
    <w:rsid w:val="00146C8E"/>
    <w:rsid w:val="00152B6F"/>
    <w:rsid w:val="00155494"/>
    <w:rsid w:val="00155A1E"/>
    <w:rsid w:val="001605CA"/>
    <w:rsid w:val="00161678"/>
    <w:rsid w:val="00165EAE"/>
    <w:rsid w:val="0016692E"/>
    <w:rsid w:val="00166EB7"/>
    <w:rsid w:val="00167DE6"/>
    <w:rsid w:val="0017001B"/>
    <w:rsid w:val="00175169"/>
    <w:rsid w:val="00175499"/>
    <w:rsid w:val="0017583C"/>
    <w:rsid w:val="00177B76"/>
    <w:rsid w:val="0018027D"/>
    <w:rsid w:val="0018117E"/>
    <w:rsid w:val="00184659"/>
    <w:rsid w:val="00184870"/>
    <w:rsid w:val="001848FD"/>
    <w:rsid w:val="00186FA2"/>
    <w:rsid w:val="00190BAF"/>
    <w:rsid w:val="00191CD7"/>
    <w:rsid w:val="0019472E"/>
    <w:rsid w:val="00196E94"/>
    <w:rsid w:val="0019707F"/>
    <w:rsid w:val="00197A1F"/>
    <w:rsid w:val="001A03AC"/>
    <w:rsid w:val="001A0730"/>
    <w:rsid w:val="001A17DA"/>
    <w:rsid w:val="001A1CD8"/>
    <w:rsid w:val="001A64AC"/>
    <w:rsid w:val="001A6D0A"/>
    <w:rsid w:val="001B1927"/>
    <w:rsid w:val="001B1A90"/>
    <w:rsid w:val="001B1DA6"/>
    <w:rsid w:val="001B394A"/>
    <w:rsid w:val="001B42C2"/>
    <w:rsid w:val="001B6B8F"/>
    <w:rsid w:val="001B7748"/>
    <w:rsid w:val="001C093A"/>
    <w:rsid w:val="001C1A8F"/>
    <w:rsid w:val="001C1EC1"/>
    <w:rsid w:val="001C281C"/>
    <w:rsid w:val="001C2CA2"/>
    <w:rsid w:val="001C2DFE"/>
    <w:rsid w:val="001C4554"/>
    <w:rsid w:val="001C6F2C"/>
    <w:rsid w:val="001C78CA"/>
    <w:rsid w:val="001C79F8"/>
    <w:rsid w:val="001D29DC"/>
    <w:rsid w:val="001D4101"/>
    <w:rsid w:val="001D4632"/>
    <w:rsid w:val="001D49A7"/>
    <w:rsid w:val="001D5B11"/>
    <w:rsid w:val="001D6128"/>
    <w:rsid w:val="001D625A"/>
    <w:rsid w:val="001D6A38"/>
    <w:rsid w:val="001D6DF8"/>
    <w:rsid w:val="001E217F"/>
    <w:rsid w:val="001E342E"/>
    <w:rsid w:val="001E44F7"/>
    <w:rsid w:val="001E7196"/>
    <w:rsid w:val="001E7D5A"/>
    <w:rsid w:val="001F0025"/>
    <w:rsid w:val="001F0A0B"/>
    <w:rsid w:val="001F46F4"/>
    <w:rsid w:val="001F5027"/>
    <w:rsid w:val="001F7DFB"/>
    <w:rsid w:val="002004D8"/>
    <w:rsid w:val="00202886"/>
    <w:rsid w:val="00202F4B"/>
    <w:rsid w:val="0020681C"/>
    <w:rsid w:val="0020783A"/>
    <w:rsid w:val="0021009D"/>
    <w:rsid w:val="0021099B"/>
    <w:rsid w:val="00212523"/>
    <w:rsid w:val="00212B39"/>
    <w:rsid w:val="002146A6"/>
    <w:rsid w:val="00216AE7"/>
    <w:rsid w:val="00220046"/>
    <w:rsid w:val="00221C9F"/>
    <w:rsid w:val="00222503"/>
    <w:rsid w:val="00223314"/>
    <w:rsid w:val="0022477F"/>
    <w:rsid w:val="00224F48"/>
    <w:rsid w:val="00225ED5"/>
    <w:rsid w:val="002274AB"/>
    <w:rsid w:val="00231C97"/>
    <w:rsid w:val="00232380"/>
    <w:rsid w:val="00233CE0"/>
    <w:rsid w:val="00233D41"/>
    <w:rsid w:val="00233D7A"/>
    <w:rsid w:val="00234190"/>
    <w:rsid w:val="002358DC"/>
    <w:rsid w:val="00236268"/>
    <w:rsid w:val="00236A42"/>
    <w:rsid w:val="002378AF"/>
    <w:rsid w:val="00237E80"/>
    <w:rsid w:val="002406CA"/>
    <w:rsid w:val="00240743"/>
    <w:rsid w:val="00242DC7"/>
    <w:rsid w:val="002436A2"/>
    <w:rsid w:val="002440B3"/>
    <w:rsid w:val="0024493D"/>
    <w:rsid w:val="00244EFE"/>
    <w:rsid w:val="00245FF7"/>
    <w:rsid w:val="0024612D"/>
    <w:rsid w:val="00250103"/>
    <w:rsid w:val="002504F0"/>
    <w:rsid w:val="00250C91"/>
    <w:rsid w:val="0025154B"/>
    <w:rsid w:val="00253227"/>
    <w:rsid w:val="00254533"/>
    <w:rsid w:val="00254C9E"/>
    <w:rsid w:val="00255EF4"/>
    <w:rsid w:val="0025615A"/>
    <w:rsid w:val="00256817"/>
    <w:rsid w:val="00257141"/>
    <w:rsid w:val="00261CDD"/>
    <w:rsid w:val="0026318A"/>
    <w:rsid w:val="00264D69"/>
    <w:rsid w:val="00264D6D"/>
    <w:rsid w:val="00265D7F"/>
    <w:rsid w:val="00266150"/>
    <w:rsid w:val="002664DF"/>
    <w:rsid w:val="00266706"/>
    <w:rsid w:val="00267BB5"/>
    <w:rsid w:val="0027003C"/>
    <w:rsid w:val="002705E9"/>
    <w:rsid w:val="0027364C"/>
    <w:rsid w:val="002749B7"/>
    <w:rsid w:val="0027596A"/>
    <w:rsid w:val="00275DBA"/>
    <w:rsid w:val="00276BF5"/>
    <w:rsid w:val="0027721D"/>
    <w:rsid w:val="0027789B"/>
    <w:rsid w:val="00277D77"/>
    <w:rsid w:val="00280C26"/>
    <w:rsid w:val="002811E3"/>
    <w:rsid w:val="00282B2C"/>
    <w:rsid w:val="00283257"/>
    <w:rsid w:val="0028440E"/>
    <w:rsid w:val="00284732"/>
    <w:rsid w:val="00284BC3"/>
    <w:rsid w:val="002854B9"/>
    <w:rsid w:val="00287303"/>
    <w:rsid w:val="00287C5D"/>
    <w:rsid w:val="00291C66"/>
    <w:rsid w:val="00292479"/>
    <w:rsid w:val="00293060"/>
    <w:rsid w:val="0029308C"/>
    <w:rsid w:val="002939B5"/>
    <w:rsid w:val="002939D7"/>
    <w:rsid w:val="00296C6D"/>
    <w:rsid w:val="002975E3"/>
    <w:rsid w:val="002A0D66"/>
    <w:rsid w:val="002A132A"/>
    <w:rsid w:val="002A1A67"/>
    <w:rsid w:val="002A1AB0"/>
    <w:rsid w:val="002A2283"/>
    <w:rsid w:val="002A2A23"/>
    <w:rsid w:val="002A2FA0"/>
    <w:rsid w:val="002A3E6E"/>
    <w:rsid w:val="002A5579"/>
    <w:rsid w:val="002A6410"/>
    <w:rsid w:val="002A6F3B"/>
    <w:rsid w:val="002B059D"/>
    <w:rsid w:val="002B23E6"/>
    <w:rsid w:val="002B3631"/>
    <w:rsid w:val="002B3ABA"/>
    <w:rsid w:val="002B4516"/>
    <w:rsid w:val="002B485A"/>
    <w:rsid w:val="002B5DC5"/>
    <w:rsid w:val="002B6E5C"/>
    <w:rsid w:val="002B79C0"/>
    <w:rsid w:val="002C0A2E"/>
    <w:rsid w:val="002C0A5C"/>
    <w:rsid w:val="002C290E"/>
    <w:rsid w:val="002C43B4"/>
    <w:rsid w:val="002C5615"/>
    <w:rsid w:val="002C6970"/>
    <w:rsid w:val="002D10C6"/>
    <w:rsid w:val="002D12A6"/>
    <w:rsid w:val="002D2163"/>
    <w:rsid w:val="002D26FA"/>
    <w:rsid w:val="002D3634"/>
    <w:rsid w:val="002D5DBB"/>
    <w:rsid w:val="002D6B2E"/>
    <w:rsid w:val="002E2123"/>
    <w:rsid w:val="002E222E"/>
    <w:rsid w:val="002E37C6"/>
    <w:rsid w:val="002E385B"/>
    <w:rsid w:val="002E490E"/>
    <w:rsid w:val="002E4B6E"/>
    <w:rsid w:val="002E58E1"/>
    <w:rsid w:val="002E7000"/>
    <w:rsid w:val="002E7995"/>
    <w:rsid w:val="002E7EA2"/>
    <w:rsid w:val="002F08F6"/>
    <w:rsid w:val="002F1E97"/>
    <w:rsid w:val="002F33C5"/>
    <w:rsid w:val="002F3735"/>
    <w:rsid w:val="002F378D"/>
    <w:rsid w:val="002F5C7B"/>
    <w:rsid w:val="00300AF3"/>
    <w:rsid w:val="0030137D"/>
    <w:rsid w:val="00303198"/>
    <w:rsid w:val="00303C6B"/>
    <w:rsid w:val="00304405"/>
    <w:rsid w:val="003045AE"/>
    <w:rsid w:val="00304E38"/>
    <w:rsid w:val="00306173"/>
    <w:rsid w:val="003103A7"/>
    <w:rsid w:val="00311D30"/>
    <w:rsid w:val="003128AB"/>
    <w:rsid w:val="0031290F"/>
    <w:rsid w:val="00312F98"/>
    <w:rsid w:val="00313317"/>
    <w:rsid w:val="00316712"/>
    <w:rsid w:val="00317E87"/>
    <w:rsid w:val="00320153"/>
    <w:rsid w:val="00321A7A"/>
    <w:rsid w:val="003237A8"/>
    <w:rsid w:val="0032425B"/>
    <w:rsid w:val="00325237"/>
    <w:rsid w:val="00325B23"/>
    <w:rsid w:val="00326895"/>
    <w:rsid w:val="003268EC"/>
    <w:rsid w:val="00327BEC"/>
    <w:rsid w:val="00327D12"/>
    <w:rsid w:val="00327DD1"/>
    <w:rsid w:val="003301B6"/>
    <w:rsid w:val="00332012"/>
    <w:rsid w:val="003326EA"/>
    <w:rsid w:val="003329B7"/>
    <w:rsid w:val="00332E42"/>
    <w:rsid w:val="00333EBB"/>
    <w:rsid w:val="00334B5C"/>
    <w:rsid w:val="00340AB0"/>
    <w:rsid w:val="00341932"/>
    <w:rsid w:val="00342929"/>
    <w:rsid w:val="0034389D"/>
    <w:rsid w:val="00350A02"/>
    <w:rsid w:val="003526F2"/>
    <w:rsid w:val="003534C8"/>
    <w:rsid w:val="00357F7D"/>
    <w:rsid w:val="00361F61"/>
    <w:rsid w:val="00362F4D"/>
    <w:rsid w:val="003641CE"/>
    <w:rsid w:val="00367C93"/>
    <w:rsid w:val="003704C8"/>
    <w:rsid w:val="00371756"/>
    <w:rsid w:val="003719EB"/>
    <w:rsid w:val="00373318"/>
    <w:rsid w:val="00374229"/>
    <w:rsid w:val="00374886"/>
    <w:rsid w:val="0037500F"/>
    <w:rsid w:val="00376AE5"/>
    <w:rsid w:val="00376C02"/>
    <w:rsid w:val="00381892"/>
    <w:rsid w:val="00381B53"/>
    <w:rsid w:val="00381C2F"/>
    <w:rsid w:val="00381F18"/>
    <w:rsid w:val="003823D1"/>
    <w:rsid w:val="00384941"/>
    <w:rsid w:val="0038582A"/>
    <w:rsid w:val="00385A52"/>
    <w:rsid w:val="0038723D"/>
    <w:rsid w:val="00387BBF"/>
    <w:rsid w:val="00393B60"/>
    <w:rsid w:val="00393E4F"/>
    <w:rsid w:val="00393E77"/>
    <w:rsid w:val="00395073"/>
    <w:rsid w:val="00395714"/>
    <w:rsid w:val="00395BB0"/>
    <w:rsid w:val="00396BD6"/>
    <w:rsid w:val="00396D71"/>
    <w:rsid w:val="003972AA"/>
    <w:rsid w:val="003A0A07"/>
    <w:rsid w:val="003A10EF"/>
    <w:rsid w:val="003A2336"/>
    <w:rsid w:val="003A426B"/>
    <w:rsid w:val="003A475D"/>
    <w:rsid w:val="003A4F88"/>
    <w:rsid w:val="003A5B37"/>
    <w:rsid w:val="003A61A2"/>
    <w:rsid w:val="003B12B2"/>
    <w:rsid w:val="003B1EC6"/>
    <w:rsid w:val="003B3D2A"/>
    <w:rsid w:val="003B6822"/>
    <w:rsid w:val="003B6A5B"/>
    <w:rsid w:val="003B6D54"/>
    <w:rsid w:val="003B6F8D"/>
    <w:rsid w:val="003B7024"/>
    <w:rsid w:val="003B7FC3"/>
    <w:rsid w:val="003C07DC"/>
    <w:rsid w:val="003C102D"/>
    <w:rsid w:val="003C324C"/>
    <w:rsid w:val="003C33C2"/>
    <w:rsid w:val="003C5B70"/>
    <w:rsid w:val="003C6A2C"/>
    <w:rsid w:val="003C7352"/>
    <w:rsid w:val="003C73B4"/>
    <w:rsid w:val="003D0495"/>
    <w:rsid w:val="003D19FD"/>
    <w:rsid w:val="003D22C7"/>
    <w:rsid w:val="003D2498"/>
    <w:rsid w:val="003D30AE"/>
    <w:rsid w:val="003D426C"/>
    <w:rsid w:val="003D4B57"/>
    <w:rsid w:val="003D68B1"/>
    <w:rsid w:val="003D7370"/>
    <w:rsid w:val="003E0757"/>
    <w:rsid w:val="003E196B"/>
    <w:rsid w:val="003E2343"/>
    <w:rsid w:val="003E41CE"/>
    <w:rsid w:val="003E4247"/>
    <w:rsid w:val="003E4F86"/>
    <w:rsid w:val="003E6501"/>
    <w:rsid w:val="003E65A8"/>
    <w:rsid w:val="003E6685"/>
    <w:rsid w:val="003E6815"/>
    <w:rsid w:val="003E6981"/>
    <w:rsid w:val="003E6D8D"/>
    <w:rsid w:val="003E7A9E"/>
    <w:rsid w:val="003F02DC"/>
    <w:rsid w:val="003F24BC"/>
    <w:rsid w:val="003F339B"/>
    <w:rsid w:val="003F3D20"/>
    <w:rsid w:val="003F3DFA"/>
    <w:rsid w:val="003F4C56"/>
    <w:rsid w:val="003F50D1"/>
    <w:rsid w:val="003F6377"/>
    <w:rsid w:val="003F7622"/>
    <w:rsid w:val="003F76FF"/>
    <w:rsid w:val="0040157C"/>
    <w:rsid w:val="00401BE1"/>
    <w:rsid w:val="00402526"/>
    <w:rsid w:val="004033B0"/>
    <w:rsid w:val="00405D34"/>
    <w:rsid w:val="00407159"/>
    <w:rsid w:val="00410B6C"/>
    <w:rsid w:val="004111BA"/>
    <w:rsid w:val="00411924"/>
    <w:rsid w:val="00411FC9"/>
    <w:rsid w:val="00413AA6"/>
    <w:rsid w:val="0041488C"/>
    <w:rsid w:val="00415193"/>
    <w:rsid w:val="00416ACC"/>
    <w:rsid w:val="00421B3B"/>
    <w:rsid w:val="0042253C"/>
    <w:rsid w:val="0042359A"/>
    <w:rsid w:val="004251C1"/>
    <w:rsid w:val="00425AAD"/>
    <w:rsid w:val="00426044"/>
    <w:rsid w:val="0043019B"/>
    <w:rsid w:val="004304DC"/>
    <w:rsid w:val="00431188"/>
    <w:rsid w:val="0043190D"/>
    <w:rsid w:val="00431EC8"/>
    <w:rsid w:val="00432700"/>
    <w:rsid w:val="00433444"/>
    <w:rsid w:val="00434A3B"/>
    <w:rsid w:val="00435E3F"/>
    <w:rsid w:val="00437A87"/>
    <w:rsid w:val="004408C9"/>
    <w:rsid w:val="00440C1C"/>
    <w:rsid w:val="00441388"/>
    <w:rsid w:val="00441921"/>
    <w:rsid w:val="00441AED"/>
    <w:rsid w:val="00441C7A"/>
    <w:rsid w:val="00443FF9"/>
    <w:rsid w:val="00444989"/>
    <w:rsid w:val="00444B61"/>
    <w:rsid w:val="00444B65"/>
    <w:rsid w:val="004455B1"/>
    <w:rsid w:val="00445D12"/>
    <w:rsid w:val="0044688B"/>
    <w:rsid w:val="004478E7"/>
    <w:rsid w:val="00451315"/>
    <w:rsid w:val="00453C38"/>
    <w:rsid w:val="00453CDA"/>
    <w:rsid w:val="00453DC0"/>
    <w:rsid w:val="00456C77"/>
    <w:rsid w:val="00457BA5"/>
    <w:rsid w:val="004603AF"/>
    <w:rsid w:val="004615D4"/>
    <w:rsid w:val="00461820"/>
    <w:rsid w:val="00461C7B"/>
    <w:rsid w:val="0046641D"/>
    <w:rsid w:val="00466847"/>
    <w:rsid w:val="00470039"/>
    <w:rsid w:val="00470795"/>
    <w:rsid w:val="00470FF6"/>
    <w:rsid w:val="004726AE"/>
    <w:rsid w:val="004731D3"/>
    <w:rsid w:val="00473A31"/>
    <w:rsid w:val="004755B2"/>
    <w:rsid w:val="00476490"/>
    <w:rsid w:val="00477BAF"/>
    <w:rsid w:val="00480305"/>
    <w:rsid w:val="004805E9"/>
    <w:rsid w:val="00480B13"/>
    <w:rsid w:val="004826DF"/>
    <w:rsid w:val="00482B73"/>
    <w:rsid w:val="00484686"/>
    <w:rsid w:val="00484997"/>
    <w:rsid w:val="0048567E"/>
    <w:rsid w:val="00486464"/>
    <w:rsid w:val="00487B04"/>
    <w:rsid w:val="00487F1B"/>
    <w:rsid w:val="00487F8F"/>
    <w:rsid w:val="00490212"/>
    <w:rsid w:val="00492AFE"/>
    <w:rsid w:val="0049374A"/>
    <w:rsid w:val="00493A06"/>
    <w:rsid w:val="00493B1A"/>
    <w:rsid w:val="004941D4"/>
    <w:rsid w:val="00494CAC"/>
    <w:rsid w:val="00496FAE"/>
    <w:rsid w:val="00497A6B"/>
    <w:rsid w:val="004A0FCF"/>
    <w:rsid w:val="004A1420"/>
    <w:rsid w:val="004A1A1B"/>
    <w:rsid w:val="004A1CDF"/>
    <w:rsid w:val="004A2082"/>
    <w:rsid w:val="004A297C"/>
    <w:rsid w:val="004A4EC2"/>
    <w:rsid w:val="004B0012"/>
    <w:rsid w:val="004B091B"/>
    <w:rsid w:val="004B181D"/>
    <w:rsid w:val="004B261D"/>
    <w:rsid w:val="004B2F48"/>
    <w:rsid w:val="004B3E58"/>
    <w:rsid w:val="004B5AA3"/>
    <w:rsid w:val="004B6FDF"/>
    <w:rsid w:val="004B71C7"/>
    <w:rsid w:val="004B725D"/>
    <w:rsid w:val="004B7B42"/>
    <w:rsid w:val="004B7C43"/>
    <w:rsid w:val="004B7F54"/>
    <w:rsid w:val="004C03F3"/>
    <w:rsid w:val="004C0EF5"/>
    <w:rsid w:val="004C1332"/>
    <w:rsid w:val="004C220C"/>
    <w:rsid w:val="004C2780"/>
    <w:rsid w:val="004C3902"/>
    <w:rsid w:val="004C5444"/>
    <w:rsid w:val="004D134D"/>
    <w:rsid w:val="004D53E1"/>
    <w:rsid w:val="004D56EA"/>
    <w:rsid w:val="004D5E6A"/>
    <w:rsid w:val="004E1181"/>
    <w:rsid w:val="004E1EE3"/>
    <w:rsid w:val="004E25E7"/>
    <w:rsid w:val="004E3171"/>
    <w:rsid w:val="004E37E1"/>
    <w:rsid w:val="004E7A00"/>
    <w:rsid w:val="004F1EE3"/>
    <w:rsid w:val="004F3404"/>
    <w:rsid w:val="004F3545"/>
    <w:rsid w:val="004F39EA"/>
    <w:rsid w:val="004F3C4D"/>
    <w:rsid w:val="004F4B69"/>
    <w:rsid w:val="004F6664"/>
    <w:rsid w:val="004F674F"/>
    <w:rsid w:val="004F7DD1"/>
    <w:rsid w:val="005006C2"/>
    <w:rsid w:val="005017F9"/>
    <w:rsid w:val="0050248E"/>
    <w:rsid w:val="00502C72"/>
    <w:rsid w:val="00502FC4"/>
    <w:rsid w:val="00504642"/>
    <w:rsid w:val="00511D9B"/>
    <w:rsid w:val="00511FCF"/>
    <w:rsid w:val="00512176"/>
    <w:rsid w:val="0051228E"/>
    <w:rsid w:val="005139E5"/>
    <w:rsid w:val="005147EA"/>
    <w:rsid w:val="005173F5"/>
    <w:rsid w:val="00520BDD"/>
    <w:rsid w:val="00521BE6"/>
    <w:rsid w:val="00521D8C"/>
    <w:rsid w:val="00526FC6"/>
    <w:rsid w:val="00531E49"/>
    <w:rsid w:val="0053308E"/>
    <w:rsid w:val="005355B6"/>
    <w:rsid w:val="00535922"/>
    <w:rsid w:val="00540295"/>
    <w:rsid w:val="00541852"/>
    <w:rsid w:val="005431CB"/>
    <w:rsid w:val="0054379A"/>
    <w:rsid w:val="0054431E"/>
    <w:rsid w:val="00544E01"/>
    <w:rsid w:val="00546E7F"/>
    <w:rsid w:val="00550A10"/>
    <w:rsid w:val="00550CE6"/>
    <w:rsid w:val="00550F51"/>
    <w:rsid w:val="00551F1C"/>
    <w:rsid w:val="005521A9"/>
    <w:rsid w:val="00552F4C"/>
    <w:rsid w:val="0055473A"/>
    <w:rsid w:val="005557F7"/>
    <w:rsid w:val="00556AC8"/>
    <w:rsid w:val="00557682"/>
    <w:rsid w:val="00557D2F"/>
    <w:rsid w:val="00561154"/>
    <w:rsid w:val="0056431F"/>
    <w:rsid w:val="00564EB3"/>
    <w:rsid w:val="00565C23"/>
    <w:rsid w:val="00566737"/>
    <w:rsid w:val="00567C7F"/>
    <w:rsid w:val="00567E8C"/>
    <w:rsid w:val="005710D5"/>
    <w:rsid w:val="005715A0"/>
    <w:rsid w:val="00572E5C"/>
    <w:rsid w:val="0057434E"/>
    <w:rsid w:val="0057485A"/>
    <w:rsid w:val="00574F2F"/>
    <w:rsid w:val="00575626"/>
    <w:rsid w:val="00577606"/>
    <w:rsid w:val="00577992"/>
    <w:rsid w:val="005800E3"/>
    <w:rsid w:val="005818F5"/>
    <w:rsid w:val="00582503"/>
    <w:rsid w:val="00582E5D"/>
    <w:rsid w:val="00583040"/>
    <w:rsid w:val="005832DC"/>
    <w:rsid w:val="00585BE5"/>
    <w:rsid w:val="00587280"/>
    <w:rsid w:val="005906B6"/>
    <w:rsid w:val="00593790"/>
    <w:rsid w:val="005938FA"/>
    <w:rsid w:val="00593B52"/>
    <w:rsid w:val="00594642"/>
    <w:rsid w:val="0059552A"/>
    <w:rsid w:val="00595834"/>
    <w:rsid w:val="00595CE9"/>
    <w:rsid w:val="00595D39"/>
    <w:rsid w:val="005976AF"/>
    <w:rsid w:val="005976E0"/>
    <w:rsid w:val="005A0C2E"/>
    <w:rsid w:val="005A0D26"/>
    <w:rsid w:val="005A1DEF"/>
    <w:rsid w:val="005A3520"/>
    <w:rsid w:val="005A37EB"/>
    <w:rsid w:val="005A6244"/>
    <w:rsid w:val="005A62F8"/>
    <w:rsid w:val="005B089B"/>
    <w:rsid w:val="005B1123"/>
    <w:rsid w:val="005B2625"/>
    <w:rsid w:val="005B3993"/>
    <w:rsid w:val="005B42C2"/>
    <w:rsid w:val="005B55D2"/>
    <w:rsid w:val="005B6632"/>
    <w:rsid w:val="005B68EE"/>
    <w:rsid w:val="005B7BDC"/>
    <w:rsid w:val="005C0DAC"/>
    <w:rsid w:val="005C1365"/>
    <w:rsid w:val="005C1E90"/>
    <w:rsid w:val="005C7874"/>
    <w:rsid w:val="005D251C"/>
    <w:rsid w:val="005D2D2D"/>
    <w:rsid w:val="005D4AFF"/>
    <w:rsid w:val="005D6F2C"/>
    <w:rsid w:val="005D725F"/>
    <w:rsid w:val="005D7BE0"/>
    <w:rsid w:val="005E0BBB"/>
    <w:rsid w:val="005E0C5F"/>
    <w:rsid w:val="005E2157"/>
    <w:rsid w:val="005E3866"/>
    <w:rsid w:val="005E44F5"/>
    <w:rsid w:val="005E55EA"/>
    <w:rsid w:val="005E620A"/>
    <w:rsid w:val="005F2095"/>
    <w:rsid w:val="005F71A6"/>
    <w:rsid w:val="00603ECC"/>
    <w:rsid w:val="00604248"/>
    <w:rsid w:val="00604852"/>
    <w:rsid w:val="0060529D"/>
    <w:rsid w:val="00605914"/>
    <w:rsid w:val="0060683E"/>
    <w:rsid w:val="0060696F"/>
    <w:rsid w:val="00606D06"/>
    <w:rsid w:val="0060773B"/>
    <w:rsid w:val="0061122D"/>
    <w:rsid w:val="00611ABC"/>
    <w:rsid w:val="0061201A"/>
    <w:rsid w:val="006140B8"/>
    <w:rsid w:val="00614B7F"/>
    <w:rsid w:val="006161B1"/>
    <w:rsid w:val="00616C76"/>
    <w:rsid w:val="006170C1"/>
    <w:rsid w:val="0061725F"/>
    <w:rsid w:val="006179DF"/>
    <w:rsid w:val="00617C9B"/>
    <w:rsid w:val="0062137A"/>
    <w:rsid w:val="00623F2D"/>
    <w:rsid w:val="00624458"/>
    <w:rsid w:val="00624BCB"/>
    <w:rsid w:val="00625D6A"/>
    <w:rsid w:val="00631F4F"/>
    <w:rsid w:val="00633AAC"/>
    <w:rsid w:val="00633BDF"/>
    <w:rsid w:val="006342D0"/>
    <w:rsid w:val="0063485C"/>
    <w:rsid w:val="0063537A"/>
    <w:rsid w:val="00636603"/>
    <w:rsid w:val="006376A9"/>
    <w:rsid w:val="00637754"/>
    <w:rsid w:val="00637887"/>
    <w:rsid w:val="00640E07"/>
    <w:rsid w:val="006421B1"/>
    <w:rsid w:val="006422B5"/>
    <w:rsid w:val="00643285"/>
    <w:rsid w:val="00643CE5"/>
    <w:rsid w:val="00644054"/>
    <w:rsid w:val="00644905"/>
    <w:rsid w:val="00647670"/>
    <w:rsid w:val="006512E1"/>
    <w:rsid w:val="0065161B"/>
    <w:rsid w:val="00657568"/>
    <w:rsid w:val="00657650"/>
    <w:rsid w:val="00657DB3"/>
    <w:rsid w:val="00663248"/>
    <w:rsid w:val="00665CDE"/>
    <w:rsid w:val="00666630"/>
    <w:rsid w:val="00667E34"/>
    <w:rsid w:val="00672152"/>
    <w:rsid w:val="0067303F"/>
    <w:rsid w:val="0067313F"/>
    <w:rsid w:val="00673ADF"/>
    <w:rsid w:val="00673CD7"/>
    <w:rsid w:val="00674528"/>
    <w:rsid w:val="0067565B"/>
    <w:rsid w:val="00677408"/>
    <w:rsid w:val="0067786E"/>
    <w:rsid w:val="0068044F"/>
    <w:rsid w:val="00681382"/>
    <w:rsid w:val="0068413C"/>
    <w:rsid w:val="0068489B"/>
    <w:rsid w:val="00685429"/>
    <w:rsid w:val="00686885"/>
    <w:rsid w:val="00690017"/>
    <w:rsid w:val="006901BC"/>
    <w:rsid w:val="0069077C"/>
    <w:rsid w:val="00690F88"/>
    <w:rsid w:val="00690FE9"/>
    <w:rsid w:val="006916F4"/>
    <w:rsid w:val="00691761"/>
    <w:rsid w:val="00691D7B"/>
    <w:rsid w:val="00692E81"/>
    <w:rsid w:val="00692FCA"/>
    <w:rsid w:val="00693537"/>
    <w:rsid w:val="00693BB9"/>
    <w:rsid w:val="006948DE"/>
    <w:rsid w:val="006A0011"/>
    <w:rsid w:val="006A1B0C"/>
    <w:rsid w:val="006A1B78"/>
    <w:rsid w:val="006A1E94"/>
    <w:rsid w:val="006A274A"/>
    <w:rsid w:val="006A299F"/>
    <w:rsid w:val="006A33C3"/>
    <w:rsid w:val="006A387D"/>
    <w:rsid w:val="006A4021"/>
    <w:rsid w:val="006A512D"/>
    <w:rsid w:val="006A5184"/>
    <w:rsid w:val="006A5A59"/>
    <w:rsid w:val="006A5D89"/>
    <w:rsid w:val="006A61DA"/>
    <w:rsid w:val="006A6829"/>
    <w:rsid w:val="006A70AB"/>
    <w:rsid w:val="006B0D52"/>
    <w:rsid w:val="006B1090"/>
    <w:rsid w:val="006B24F7"/>
    <w:rsid w:val="006B3CD9"/>
    <w:rsid w:val="006B3D85"/>
    <w:rsid w:val="006B62A9"/>
    <w:rsid w:val="006B695D"/>
    <w:rsid w:val="006B69ED"/>
    <w:rsid w:val="006B794A"/>
    <w:rsid w:val="006B7AB2"/>
    <w:rsid w:val="006C0A8C"/>
    <w:rsid w:val="006C12F9"/>
    <w:rsid w:val="006C22D6"/>
    <w:rsid w:val="006C2A47"/>
    <w:rsid w:val="006C3B19"/>
    <w:rsid w:val="006C46F9"/>
    <w:rsid w:val="006C4CDE"/>
    <w:rsid w:val="006C63C1"/>
    <w:rsid w:val="006C6CF9"/>
    <w:rsid w:val="006C72D1"/>
    <w:rsid w:val="006D00A4"/>
    <w:rsid w:val="006D31BF"/>
    <w:rsid w:val="006D36F3"/>
    <w:rsid w:val="006D3EE4"/>
    <w:rsid w:val="006D4644"/>
    <w:rsid w:val="006D4F8F"/>
    <w:rsid w:val="006D562A"/>
    <w:rsid w:val="006D77D9"/>
    <w:rsid w:val="006E2833"/>
    <w:rsid w:val="006E2BB0"/>
    <w:rsid w:val="006E2E16"/>
    <w:rsid w:val="006E3D68"/>
    <w:rsid w:val="006E4AFF"/>
    <w:rsid w:val="006E52CD"/>
    <w:rsid w:val="006E63CE"/>
    <w:rsid w:val="006E6664"/>
    <w:rsid w:val="006E7922"/>
    <w:rsid w:val="006F15A5"/>
    <w:rsid w:val="006F41F1"/>
    <w:rsid w:val="006F7324"/>
    <w:rsid w:val="00700CB2"/>
    <w:rsid w:val="007012F2"/>
    <w:rsid w:val="007013D1"/>
    <w:rsid w:val="0070188B"/>
    <w:rsid w:val="007018A2"/>
    <w:rsid w:val="007028A1"/>
    <w:rsid w:val="00702A33"/>
    <w:rsid w:val="00703418"/>
    <w:rsid w:val="007041D2"/>
    <w:rsid w:val="00704EEE"/>
    <w:rsid w:val="007052C6"/>
    <w:rsid w:val="0070558D"/>
    <w:rsid w:val="007068AA"/>
    <w:rsid w:val="00711D5F"/>
    <w:rsid w:val="00711ED5"/>
    <w:rsid w:val="0071264D"/>
    <w:rsid w:val="00713E8A"/>
    <w:rsid w:val="00714315"/>
    <w:rsid w:val="0071673F"/>
    <w:rsid w:val="007169A0"/>
    <w:rsid w:val="00716AAA"/>
    <w:rsid w:val="00717921"/>
    <w:rsid w:val="007208A9"/>
    <w:rsid w:val="00720AE4"/>
    <w:rsid w:val="00720D51"/>
    <w:rsid w:val="00722349"/>
    <w:rsid w:val="00726B3D"/>
    <w:rsid w:val="00726B58"/>
    <w:rsid w:val="00727BD0"/>
    <w:rsid w:val="00730EE4"/>
    <w:rsid w:val="0073153D"/>
    <w:rsid w:val="00732F22"/>
    <w:rsid w:val="00733176"/>
    <w:rsid w:val="007374AA"/>
    <w:rsid w:val="00740602"/>
    <w:rsid w:val="007414DA"/>
    <w:rsid w:val="007415FA"/>
    <w:rsid w:val="00745186"/>
    <w:rsid w:val="007451FE"/>
    <w:rsid w:val="00746801"/>
    <w:rsid w:val="007500B9"/>
    <w:rsid w:val="007506F5"/>
    <w:rsid w:val="00750EF2"/>
    <w:rsid w:val="0075136E"/>
    <w:rsid w:val="00753506"/>
    <w:rsid w:val="00756D76"/>
    <w:rsid w:val="00760424"/>
    <w:rsid w:val="007617EB"/>
    <w:rsid w:val="00761FB2"/>
    <w:rsid w:val="0076215F"/>
    <w:rsid w:val="007626C6"/>
    <w:rsid w:val="00762B03"/>
    <w:rsid w:val="00763F87"/>
    <w:rsid w:val="00765A41"/>
    <w:rsid w:val="0076627D"/>
    <w:rsid w:val="007667DD"/>
    <w:rsid w:val="00767281"/>
    <w:rsid w:val="00771879"/>
    <w:rsid w:val="00771FBF"/>
    <w:rsid w:val="00772C5C"/>
    <w:rsid w:val="0077305F"/>
    <w:rsid w:val="00773707"/>
    <w:rsid w:val="00773760"/>
    <w:rsid w:val="007761B3"/>
    <w:rsid w:val="007778A4"/>
    <w:rsid w:val="007778A5"/>
    <w:rsid w:val="00781570"/>
    <w:rsid w:val="00782726"/>
    <w:rsid w:val="00782D95"/>
    <w:rsid w:val="0078319E"/>
    <w:rsid w:val="0078334A"/>
    <w:rsid w:val="00783680"/>
    <w:rsid w:val="0078725A"/>
    <w:rsid w:val="007875C5"/>
    <w:rsid w:val="007879DB"/>
    <w:rsid w:val="00791DAF"/>
    <w:rsid w:val="00792601"/>
    <w:rsid w:val="007927E9"/>
    <w:rsid w:val="007942C1"/>
    <w:rsid w:val="00794895"/>
    <w:rsid w:val="007960E0"/>
    <w:rsid w:val="007971FC"/>
    <w:rsid w:val="00797475"/>
    <w:rsid w:val="007A13DD"/>
    <w:rsid w:val="007A3113"/>
    <w:rsid w:val="007A521A"/>
    <w:rsid w:val="007A5370"/>
    <w:rsid w:val="007B01E2"/>
    <w:rsid w:val="007B0A2D"/>
    <w:rsid w:val="007B0BB3"/>
    <w:rsid w:val="007B1727"/>
    <w:rsid w:val="007B2289"/>
    <w:rsid w:val="007B3818"/>
    <w:rsid w:val="007B48B3"/>
    <w:rsid w:val="007B493A"/>
    <w:rsid w:val="007C08A3"/>
    <w:rsid w:val="007C166D"/>
    <w:rsid w:val="007C1A72"/>
    <w:rsid w:val="007C2849"/>
    <w:rsid w:val="007C5E89"/>
    <w:rsid w:val="007C62B1"/>
    <w:rsid w:val="007D1833"/>
    <w:rsid w:val="007D1B46"/>
    <w:rsid w:val="007D39C5"/>
    <w:rsid w:val="007D58E3"/>
    <w:rsid w:val="007D67C6"/>
    <w:rsid w:val="007D7581"/>
    <w:rsid w:val="007E0167"/>
    <w:rsid w:val="007E1BBB"/>
    <w:rsid w:val="007E26C8"/>
    <w:rsid w:val="007E51DE"/>
    <w:rsid w:val="007E55C7"/>
    <w:rsid w:val="007E5FDB"/>
    <w:rsid w:val="007E68EB"/>
    <w:rsid w:val="007E7085"/>
    <w:rsid w:val="007E7317"/>
    <w:rsid w:val="007F0C43"/>
    <w:rsid w:val="007F2973"/>
    <w:rsid w:val="007F321A"/>
    <w:rsid w:val="007F5487"/>
    <w:rsid w:val="007F5599"/>
    <w:rsid w:val="007F5B09"/>
    <w:rsid w:val="007F5E13"/>
    <w:rsid w:val="007F62B1"/>
    <w:rsid w:val="00802115"/>
    <w:rsid w:val="00802E94"/>
    <w:rsid w:val="00804C28"/>
    <w:rsid w:val="00805308"/>
    <w:rsid w:val="00805F12"/>
    <w:rsid w:val="00807376"/>
    <w:rsid w:val="00811191"/>
    <w:rsid w:val="00811AA8"/>
    <w:rsid w:val="00812EA4"/>
    <w:rsid w:val="00813F35"/>
    <w:rsid w:val="0081451C"/>
    <w:rsid w:val="00814A18"/>
    <w:rsid w:val="00814DB7"/>
    <w:rsid w:val="00815C0A"/>
    <w:rsid w:val="0081751B"/>
    <w:rsid w:val="0081775D"/>
    <w:rsid w:val="00820A39"/>
    <w:rsid w:val="00821ECF"/>
    <w:rsid w:val="0082228D"/>
    <w:rsid w:val="0082321D"/>
    <w:rsid w:val="008232C5"/>
    <w:rsid w:val="00824D50"/>
    <w:rsid w:val="00824E49"/>
    <w:rsid w:val="00825A0C"/>
    <w:rsid w:val="00825F0A"/>
    <w:rsid w:val="00826274"/>
    <w:rsid w:val="008308B7"/>
    <w:rsid w:val="008334F1"/>
    <w:rsid w:val="00836320"/>
    <w:rsid w:val="008376BD"/>
    <w:rsid w:val="00840DB6"/>
    <w:rsid w:val="008421FB"/>
    <w:rsid w:val="00842DF1"/>
    <w:rsid w:val="00843C01"/>
    <w:rsid w:val="00843DD8"/>
    <w:rsid w:val="0084475D"/>
    <w:rsid w:val="0084576D"/>
    <w:rsid w:val="00845A17"/>
    <w:rsid w:val="00845AF2"/>
    <w:rsid w:val="00846D5E"/>
    <w:rsid w:val="00850ECC"/>
    <w:rsid w:val="00851870"/>
    <w:rsid w:val="008518A7"/>
    <w:rsid w:val="00852AF9"/>
    <w:rsid w:val="00853743"/>
    <w:rsid w:val="008558A8"/>
    <w:rsid w:val="0085615B"/>
    <w:rsid w:val="0085643A"/>
    <w:rsid w:val="008564FD"/>
    <w:rsid w:val="00857380"/>
    <w:rsid w:val="00857D8D"/>
    <w:rsid w:val="00860C59"/>
    <w:rsid w:val="008630E0"/>
    <w:rsid w:val="00863621"/>
    <w:rsid w:val="008637DF"/>
    <w:rsid w:val="00863B6B"/>
    <w:rsid w:val="008643A9"/>
    <w:rsid w:val="00864933"/>
    <w:rsid w:val="008652D7"/>
    <w:rsid w:val="00866F1B"/>
    <w:rsid w:val="00867921"/>
    <w:rsid w:val="00870ABB"/>
    <w:rsid w:val="0087247C"/>
    <w:rsid w:val="00876797"/>
    <w:rsid w:val="00876B6A"/>
    <w:rsid w:val="00877CB4"/>
    <w:rsid w:val="0088014D"/>
    <w:rsid w:val="00880355"/>
    <w:rsid w:val="00880776"/>
    <w:rsid w:val="00881501"/>
    <w:rsid w:val="00881C5F"/>
    <w:rsid w:val="0088213C"/>
    <w:rsid w:val="008830A3"/>
    <w:rsid w:val="008840FF"/>
    <w:rsid w:val="00884170"/>
    <w:rsid w:val="008846F8"/>
    <w:rsid w:val="00885F16"/>
    <w:rsid w:val="0088649D"/>
    <w:rsid w:val="00886791"/>
    <w:rsid w:val="008878C9"/>
    <w:rsid w:val="008903F7"/>
    <w:rsid w:val="008910F8"/>
    <w:rsid w:val="0089176A"/>
    <w:rsid w:val="008923FE"/>
    <w:rsid w:val="00892D32"/>
    <w:rsid w:val="008935BE"/>
    <w:rsid w:val="00897FCC"/>
    <w:rsid w:val="008A05BC"/>
    <w:rsid w:val="008A1FD7"/>
    <w:rsid w:val="008A41A4"/>
    <w:rsid w:val="008A4314"/>
    <w:rsid w:val="008A471A"/>
    <w:rsid w:val="008A59A3"/>
    <w:rsid w:val="008A7199"/>
    <w:rsid w:val="008A7CE8"/>
    <w:rsid w:val="008B04A3"/>
    <w:rsid w:val="008B11E0"/>
    <w:rsid w:val="008B2BAC"/>
    <w:rsid w:val="008B3C43"/>
    <w:rsid w:val="008B4E70"/>
    <w:rsid w:val="008B5509"/>
    <w:rsid w:val="008B5718"/>
    <w:rsid w:val="008B5C6D"/>
    <w:rsid w:val="008B6681"/>
    <w:rsid w:val="008B6B41"/>
    <w:rsid w:val="008C25A0"/>
    <w:rsid w:val="008C5913"/>
    <w:rsid w:val="008C5D97"/>
    <w:rsid w:val="008C7BBC"/>
    <w:rsid w:val="008C7F01"/>
    <w:rsid w:val="008D1A8C"/>
    <w:rsid w:val="008D2A13"/>
    <w:rsid w:val="008D3FF9"/>
    <w:rsid w:val="008D42E7"/>
    <w:rsid w:val="008D7D7A"/>
    <w:rsid w:val="008E0963"/>
    <w:rsid w:val="008E09A5"/>
    <w:rsid w:val="008E1EDE"/>
    <w:rsid w:val="008E2363"/>
    <w:rsid w:val="008E355F"/>
    <w:rsid w:val="008E5482"/>
    <w:rsid w:val="008E6075"/>
    <w:rsid w:val="008E631B"/>
    <w:rsid w:val="008E65AA"/>
    <w:rsid w:val="008E6FCF"/>
    <w:rsid w:val="008F06B8"/>
    <w:rsid w:val="008F09B9"/>
    <w:rsid w:val="008F09FB"/>
    <w:rsid w:val="008F0BF3"/>
    <w:rsid w:val="008F0C84"/>
    <w:rsid w:val="008F12D3"/>
    <w:rsid w:val="008F14ED"/>
    <w:rsid w:val="008F14F3"/>
    <w:rsid w:val="008F1817"/>
    <w:rsid w:val="008F32BB"/>
    <w:rsid w:val="008F6B2F"/>
    <w:rsid w:val="008F7412"/>
    <w:rsid w:val="009008B7"/>
    <w:rsid w:val="00900D01"/>
    <w:rsid w:val="0090146E"/>
    <w:rsid w:val="0090214C"/>
    <w:rsid w:val="00903338"/>
    <w:rsid w:val="009051D2"/>
    <w:rsid w:val="00907F25"/>
    <w:rsid w:val="0091434C"/>
    <w:rsid w:val="00917B6D"/>
    <w:rsid w:val="00917B80"/>
    <w:rsid w:val="00920903"/>
    <w:rsid w:val="00922509"/>
    <w:rsid w:val="009229C2"/>
    <w:rsid w:val="009230FA"/>
    <w:rsid w:val="009232EA"/>
    <w:rsid w:val="0092386C"/>
    <w:rsid w:val="009241EA"/>
    <w:rsid w:val="00925301"/>
    <w:rsid w:val="00925A79"/>
    <w:rsid w:val="00925FF4"/>
    <w:rsid w:val="0092688C"/>
    <w:rsid w:val="009269DC"/>
    <w:rsid w:val="00926B5C"/>
    <w:rsid w:val="00927354"/>
    <w:rsid w:val="009273DF"/>
    <w:rsid w:val="00927BE5"/>
    <w:rsid w:val="0093289A"/>
    <w:rsid w:val="0093313C"/>
    <w:rsid w:val="009353F9"/>
    <w:rsid w:val="00935F48"/>
    <w:rsid w:val="00935F57"/>
    <w:rsid w:val="00941102"/>
    <w:rsid w:val="0094138A"/>
    <w:rsid w:val="009437EB"/>
    <w:rsid w:val="0094561D"/>
    <w:rsid w:val="00945CE0"/>
    <w:rsid w:val="00945DFD"/>
    <w:rsid w:val="00946AC9"/>
    <w:rsid w:val="00953BB4"/>
    <w:rsid w:val="00953E08"/>
    <w:rsid w:val="00956429"/>
    <w:rsid w:val="00956DDC"/>
    <w:rsid w:val="009574C7"/>
    <w:rsid w:val="00960868"/>
    <w:rsid w:val="0096098E"/>
    <w:rsid w:val="009627BE"/>
    <w:rsid w:val="0096331F"/>
    <w:rsid w:val="0096466F"/>
    <w:rsid w:val="0096703B"/>
    <w:rsid w:val="00967217"/>
    <w:rsid w:val="009676F1"/>
    <w:rsid w:val="00971824"/>
    <w:rsid w:val="00971CB8"/>
    <w:rsid w:val="00971DFA"/>
    <w:rsid w:val="009728F7"/>
    <w:rsid w:val="00973C30"/>
    <w:rsid w:val="00974789"/>
    <w:rsid w:val="0097489D"/>
    <w:rsid w:val="00976644"/>
    <w:rsid w:val="009769DD"/>
    <w:rsid w:val="00976B52"/>
    <w:rsid w:val="00976FB2"/>
    <w:rsid w:val="00977C0D"/>
    <w:rsid w:val="0098046F"/>
    <w:rsid w:val="009805F8"/>
    <w:rsid w:val="00982358"/>
    <w:rsid w:val="00982416"/>
    <w:rsid w:val="00982EFF"/>
    <w:rsid w:val="009833DE"/>
    <w:rsid w:val="0098541A"/>
    <w:rsid w:val="00991B76"/>
    <w:rsid w:val="00992FAC"/>
    <w:rsid w:val="009930BB"/>
    <w:rsid w:val="009932A6"/>
    <w:rsid w:val="009945AB"/>
    <w:rsid w:val="0099469E"/>
    <w:rsid w:val="00994D9C"/>
    <w:rsid w:val="009A1328"/>
    <w:rsid w:val="009A3472"/>
    <w:rsid w:val="009A3478"/>
    <w:rsid w:val="009A359B"/>
    <w:rsid w:val="009A427D"/>
    <w:rsid w:val="009A4BA1"/>
    <w:rsid w:val="009A5151"/>
    <w:rsid w:val="009B2ACF"/>
    <w:rsid w:val="009B2E68"/>
    <w:rsid w:val="009B364E"/>
    <w:rsid w:val="009B37A5"/>
    <w:rsid w:val="009B43C6"/>
    <w:rsid w:val="009C00B0"/>
    <w:rsid w:val="009C1531"/>
    <w:rsid w:val="009C1F7F"/>
    <w:rsid w:val="009C2FBB"/>
    <w:rsid w:val="009C31DD"/>
    <w:rsid w:val="009C3D8E"/>
    <w:rsid w:val="009C5017"/>
    <w:rsid w:val="009C613C"/>
    <w:rsid w:val="009C679E"/>
    <w:rsid w:val="009C6DF8"/>
    <w:rsid w:val="009D180A"/>
    <w:rsid w:val="009D23B2"/>
    <w:rsid w:val="009D39DB"/>
    <w:rsid w:val="009D43DC"/>
    <w:rsid w:val="009D5A5F"/>
    <w:rsid w:val="009D7E1C"/>
    <w:rsid w:val="009E05E9"/>
    <w:rsid w:val="009E063B"/>
    <w:rsid w:val="009E077A"/>
    <w:rsid w:val="009E15F8"/>
    <w:rsid w:val="009E1F22"/>
    <w:rsid w:val="009E2A6B"/>
    <w:rsid w:val="009E35F3"/>
    <w:rsid w:val="009E4C69"/>
    <w:rsid w:val="009E4EA7"/>
    <w:rsid w:val="009E5B74"/>
    <w:rsid w:val="009E78D6"/>
    <w:rsid w:val="009F0F03"/>
    <w:rsid w:val="009F38DC"/>
    <w:rsid w:val="009F46DD"/>
    <w:rsid w:val="009F4F73"/>
    <w:rsid w:val="009F720D"/>
    <w:rsid w:val="009F769E"/>
    <w:rsid w:val="00A00509"/>
    <w:rsid w:val="00A01DF3"/>
    <w:rsid w:val="00A02865"/>
    <w:rsid w:val="00A03BBA"/>
    <w:rsid w:val="00A0501D"/>
    <w:rsid w:val="00A05117"/>
    <w:rsid w:val="00A11218"/>
    <w:rsid w:val="00A1362F"/>
    <w:rsid w:val="00A149D2"/>
    <w:rsid w:val="00A14CEB"/>
    <w:rsid w:val="00A15B67"/>
    <w:rsid w:val="00A17835"/>
    <w:rsid w:val="00A17E65"/>
    <w:rsid w:val="00A2187B"/>
    <w:rsid w:val="00A22EFB"/>
    <w:rsid w:val="00A230C9"/>
    <w:rsid w:val="00A23FA0"/>
    <w:rsid w:val="00A247D7"/>
    <w:rsid w:val="00A269EA"/>
    <w:rsid w:val="00A26DC1"/>
    <w:rsid w:val="00A30B57"/>
    <w:rsid w:val="00A3107E"/>
    <w:rsid w:val="00A310C6"/>
    <w:rsid w:val="00A31633"/>
    <w:rsid w:val="00A319DA"/>
    <w:rsid w:val="00A320DF"/>
    <w:rsid w:val="00A320F5"/>
    <w:rsid w:val="00A32144"/>
    <w:rsid w:val="00A36917"/>
    <w:rsid w:val="00A36ECE"/>
    <w:rsid w:val="00A40476"/>
    <w:rsid w:val="00A43577"/>
    <w:rsid w:val="00A43619"/>
    <w:rsid w:val="00A44225"/>
    <w:rsid w:val="00A442A1"/>
    <w:rsid w:val="00A45C54"/>
    <w:rsid w:val="00A45CE3"/>
    <w:rsid w:val="00A50DD6"/>
    <w:rsid w:val="00A50F3A"/>
    <w:rsid w:val="00A50FA7"/>
    <w:rsid w:val="00A5104A"/>
    <w:rsid w:val="00A513A9"/>
    <w:rsid w:val="00A51D34"/>
    <w:rsid w:val="00A52DFC"/>
    <w:rsid w:val="00A52F9E"/>
    <w:rsid w:val="00A53887"/>
    <w:rsid w:val="00A539D7"/>
    <w:rsid w:val="00A5446C"/>
    <w:rsid w:val="00A572B3"/>
    <w:rsid w:val="00A57496"/>
    <w:rsid w:val="00A60B9A"/>
    <w:rsid w:val="00A6128D"/>
    <w:rsid w:val="00A61E03"/>
    <w:rsid w:val="00A62078"/>
    <w:rsid w:val="00A63F8B"/>
    <w:rsid w:val="00A65510"/>
    <w:rsid w:val="00A67F17"/>
    <w:rsid w:val="00A73636"/>
    <w:rsid w:val="00A75F75"/>
    <w:rsid w:val="00A76647"/>
    <w:rsid w:val="00A76AC3"/>
    <w:rsid w:val="00A77784"/>
    <w:rsid w:val="00A778D9"/>
    <w:rsid w:val="00A80240"/>
    <w:rsid w:val="00A80464"/>
    <w:rsid w:val="00A8118B"/>
    <w:rsid w:val="00A8147C"/>
    <w:rsid w:val="00A8164B"/>
    <w:rsid w:val="00A8173A"/>
    <w:rsid w:val="00A820B0"/>
    <w:rsid w:val="00A821B3"/>
    <w:rsid w:val="00A83AF1"/>
    <w:rsid w:val="00A8564D"/>
    <w:rsid w:val="00A85FA3"/>
    <w:rsid w:val="00A87C19"/>
    <w:rsid w:val="00A901BE"/>
    <w:rsid w:val="00A90493"/>
    <w:rsid w:val="00A90FC3"/>
    <w:rsid w:val="00A916E0"/>
    <w:rsid w:val="00A917F2"/>
    <w:rsid w:val="00A91891"/>
    <w:rsid w:val="00A937ED"/>
    <w:rsid w:val="00A94A0D"/>
    <w:rsid w:val="00A953B5"/>
    <w:rsid w:val="00A955DD"/>
    <w:rsid w:val="00A957D3"/>
    <w:rsid w:val="00AA1F44"/>
    <w:rsid w:val="00AA2026"/>
    <w:rsid w:val="00AA242B"/>
    <w:rsid w:val="00AA2976"/>
    <w:rsid w:val="00AA32E9"/>
    <w:rsid w:val="00AA4CFB"/>
    <w:rsid w:val="00AA59BA"/>
    <w:rsid w:val="00AB0BD9"/>
    <w:rsid w:val="00AB370D"/>
    <w:rsid w:val="00AB3BA1"/>
    <w:rsid w:val="00AC1992"/>
    <w:rsid w:val="00AC247E"/>
    <w:rsid w:val="00AC51D3"/>
    <w:rsid w:val="00AC53BA"/>
    <w:rsid w:val="00AC59E8"/>
    <w:rsid w:val="00AD07C9"/>
    <w:rsid w:val="00AD1EB8"/>
    <w:rsid w:val="00AD3513"/>
    <w:rsid w:val="00AD3D73"/>
    <w:rsid w:val="00AD627F"/>
    <w:rsid w:val="00AD767F"/>
    <w:rsid w:val="00AE0773"/>
    <w:rsid w:val="00AE0920"/>
    <w:rsid w:val="00AE0C11"/>
    <w:rsid w:val="00AE1C33"/>
    <w:rsid w:val="00AE2772"/>
    <w:rsid w:val="00AE5EA7"/>
    <w:rsid w:val="00AE678B"/>
    <w:rsid w:val="00AE7EE2"/>
    <w:rsid w:val="00AF0BA6"/>
    <w:rsid w:val="00AF1D08"/>
    <w:rsid w:val="00AF38AF"/>
    <w:rsid w:val="00AF4C60"/>
    <w:rsid w:val="00AF635B"/>
    <w:rsid w:val="00B00ACE"/>
    <w:rsid w:val="00B01F90"/>
    <w:rsid w:val="00B022A3"/>
    <w:rsid w:val="00B03406"/>
    <w:rsid w:val="00B0490C"/>
    <w:rsid w:val="00B04ACE"/>
    <w:rsid w:val="00B058DD"/>
    <w:rsid w:val="00B06A49"/>
    <w:rsid w:val="00B06EAD"/>
    <w:rsid w:val="00B100AC"/>
    <w:rsid w:val="00B10BC1"/>
    <w:rsid w:val="00B11501"/>
    <w:rsid w:val="00B12E6A"/>
    <w:rsid w:val="00B14577"/>
    <w:rsid w:val="00B168E4"/>
    <w:rsid w:val="00B170FF"/>
    <w:rsid w:val="00B22066"/>
    <w:rsid w:val="00B222E1"/>
    <w:rsid w:val="00B23A05"/>
    <w:rsid w:val="00B26DEE"/>
    <w:rsid w:val="00B2711A"/>
    <w:rsid w:val="00B3020D"/>
    <w:rsid w:val="00B30DB9"/>
    <w:rsid w:val="00B31125"/>
    <w:rsid w:val="00B33427"/>
    <w:rsid w:val="00B36355"/>
    <w:rsid w:val="00B36563"/>
    <w:rsid w:val="00B37F94"/>
    <w:rsid w:val="00B428A6"/>
    <w:rsid w:val="00B42D92"/>
    <w:rsid w:val="00B4330E"/>
    <w:rsid w:val="00B46447"/>
    <w:rsid w:val="00B47310"/>
    <w:rsid w:val="00B50356"/>
    <w:rsid w:val="00B51584"/>
    <w:rsid w:val="00B5167F"/>
    <w:rsid w:val="00B5169E"/>
    <w:rsid w:val="00B52208"/>
    <w:rsid w:val="00B53B46"/>
    <w:rsid w:val="00B5496B"/>
    <w:rsid w:val="00B5553B"/>
    <w:rsid w:val="00B5657E"/>
    <w:rsid w:val="00B576E8"/>
    <w:rsid w:val="00B577EB"/>
    <w:rsid w:val="00B57986"/>
    <w:rsid w:val="00B60471"/>
    <w:rsid w:val="00B60D93"/>
    <w:rsid w:val="00B61A07"/>
    <w:rsid w:val="00B63A91"/>
    <w:rsid w:val="00B667C0"/>
    <w:rsid w:val="00B66F2C"/>
    <w:rsid w:val="00B70681"/>
    <w:rsid w:val="00B708F0"/>
    <w:rsid w:val="00B71D3D"/>
    <w:rsid w:val="00B71E7E"/>
    <w:rsid w:val="00B723AD"/>
    <w:rsid w:val="00B767F2"/>
    <w:rsid w:val="00B77B78"/>
    <w:rsid w:val="00B8055E"/>
    <w:rsid w:val="00B82190"/>
    <w:rsid w:val="00B82980"/>
    <w:rsid w:val="00B90915"/>
    <w:rsid w:val="00B939C5"/>
    <w:rsid w:val="00B94321"/>
    <w:rsid w:val="00B943A6"/>
    <w:rsid w:val="00B9488D"/>
    <w:rsid w:val="00B94B28"/>
    <w:rsid w:val="00BA234F"/>
    <w:rsid w:val="00BA2580"/>
    <w:rsid w:val="00BA3A0C"/>
    <w:rsid w:val="00BA6F42"/>
    <w:rsid w:val="00BA7671"/>
    <w:rsid w:val="00BA7743"/>
    <w:rsid w:val="00BB0106"/>
    <w:rsid w:val="00BB07DA"/>
    <w:rsid w:val="00BB249B"/>
    <w:rsid w:val="00BB2EA9"/>
    <w:rsid w:val="00BB3145"/>
    <w:rsid w:val="00BB3597"/>
    <w:rsid w:val="00BB417A"/>
    <w:rsid w:val="00BB4E20"/>
    <w:rsid w:val="00BB509D"/>
    <w:rsid w:val="00BB6E43"/>
    <w:rsid w:val="00BB70E1"/>
    <w:rsid w:val="00BC120E"/>
    <w:rsid w:val="00BC37C8"/>
    <w:rsid w:val="00BC532C"/>
    <w:rsid w:val="00BC5621"/>
    <w:rsid w:val="00BC58B4"/>
    <w:rsid w:val="00BC743C"/>
    <w:rsid w:val="00BD0565"/>
    <w:rsid w:val="00BD0659"/>
    <w:rsid w:val="00BD1080"/>
    <w:rsid w:val="00BD126B"/>
    <w:rsid w:val="00BD32B1"/>
    <w:rsid w:val="00BD3B2C"/>
    <w:rsid w:val="00BD6EAD"/>
    <w:rsid w:val="00BD7B8B"/>
    <w:rsid w:val="00BE4029"/>
    <w:rsid w:val="00BE55F4"/>
    <w:rsid w:val="00BE7CD8"/>
    <w:rsid w:val="00BF00AD"/>
    <w:rsid w:val="00BF04DF"/>
    <w:rsid w:val="00BF0CCA"/>
    <w:rsid w:val="00BF1DE0"/>
    <w:rsid w:val="00BF1FE9"/>
    <w:rsid w:val="00BF2472"/>
    <w:rsid w:val="00BF2990"/>
    <w:rsid w:val="00BF31C7"/>
    <w:rsid w:val="00BF4444"/>
    <w:rsid w:val="00BF5FF2"/>
    <w:rsid w:val="00BF6D3B"/>
    <w:rsid w:val="00BF7060"/>
    <w:rsid w:val="00BF72A4"/>
    <w:rsid w:val="00BF7737"/>
    <w:rsid w:val="00C022E2"/>
    <w:rsid w:val="00C02CDC"/>
    <w:rsid w:val="00C03AB2"/>
    <w:rsid w:val="00C04B68"/>
    <w:rsid w:val="00C04D77"/>
    <w:rsid w:val="00C06B31"/>
    <w:rsid w:val="00C06D5D"/>
    <w:rsid w:val="00C16B64"/>
    <w:rsid w:val="00C20010"/>
    <w:rsid w:val="00C233BC"/>
    <w:rsid w:val="00C24157"/>
    <w:rsid w:val="00C2528E"/>
    <w:rsid w:val="00C25A44"/>
    <w:rsid w:val="00C26DC8"/>
    <w:rsid w:val="00C3038D"/>
    <w:rsid w:val="00C30D42"/>
    <w:rsid w:val="00C30DF6"/>
    <w:rsid w:val="00C32476"/>
    <w:rsid w:val="00C33949"/>
    <w:rsid w:val="00C34784"/>
    <w:rsid w:val="00C35C36"/>
    <w:rsid w:val="00C369AA"/>
    <w:rsid w:val="00C3715A"/>
    <w:rsid w:val="00C401BB"/>
    <w:rsid w:val="00C40C7B"/>
    <w:rsid w:val="00C40E6C"/>
    <w:rsid w:val="00C4210B"/>
    <w:rsid w:val="00C435BA"/>
    <w:rsid w:val="00C43A3E"/>
    <w:rsid w:val="00C43B93"/>
    <w:rsid w:val="00C43FB9"/>
    <w:rsid w:val="00C44D3A"/>
    <w:rsid w:val="00C45400"/>
    <w:rsid w:val="00C46560"/>
    <w:rsid w:val="00C4721B"/>
    <w:rsid w:val="00C47324"/>
    <w:rsid w:val="00C47860"/>
    <w:rsid w:val="00C50021"/>
    <w:rsid w:val="00C56DDC"/>
    <w:rsid w:val="00C56E4F"/>
    <w:rsid w:val="00C571B4"/>
    <w:rsid w:val="00C600E0"/>
    <w:rsid w:val="00C623C3"/>
    <w:rsid w:val="00C623EA"/>
    <w:rsid w:val="00C6318A"/>
    <w:rsid w:val="00C6448E"/>
    <w:rsid w:val="00C64625"/>
    <w:rsid w:val="00C652ED"/>
    <w:rsid w:val="00C66911"/>
    <w:rsid w:val="00C67A98"/>
    <w:rsid w:val="00C70FC9"/>
    <w:rsid w:val="00C72535"/>
    <w:rsid w:val="00C73081"/>
    <w:rsid w:val="00C735CF"/>
    <w:rsid w:val="00C75B05"/>
    <w:rsid w:val="00C75EBD"/>
    <w:rsid w:val="00C76149"/>
    <w:rsid w:val="00C76DEE"/>
    <w:rsid w:val="00C7725B"/>
    <w:rsid w:val="00C77B4F"/>
    <w:rsid w:val="00C77C8B"/>
    <w:rsid w:val="00C810D3"/>
    <w:rsid w:val="00C81A39"/>
    <w:rsid w:val="00C81BA5"/>
    <w:rsid w:val="00C81BE5"/>
    <w:rsid w:val="00C81C1E"/>
    <w:rsid w:val="00C8381F"/>
    <w:rsid w:val="00C83863"/>
    <w:rsid w:val="00C8421F"/>
    <w:rsid w:val="00C84DE3"/>
    <w:rsid w:val="00C8670B"/>
    <w:rsid w:val="00C87924"/>
    <w:rsid w:val="00C90184"/>
    <w:rsid w:val="00C91454"/>
    <w:rsid w:val="00C91CAD"/>
    <w:rsid w:val="00C92F90"/>
    <w:rsid w:val="00C943DA"/>
    <w:rsid w:val="00C96D37"/>
    <w:rsid w:val="00C9771A"/>
    <w:rsid w:val="00C97877"/>
    <w:rsid w:val="00C97F96"/>
    <w:rsid w:val="00CA01C0"/>
    <w:rsid w:val="00CA06DC"/>
    <w:rsid w:val="00CA0771"/>
    <w:rsid w:val="00CA3364"/>
    <w:rsid w:val="00CA37E4"/>
    <w:rsid w:val="00CA4776"/>
    <w:rsid w:val="00CA4DA2"/>
    <w:rsid w:val="00CA50FB"/>
    <w:rsid w:val="00CA51E2"/>
    <w:rsid w:val="00CA5A24"/>
    <w:rsid w:val="00CA60D1"/>
    <w:rsid w:val="00CA72B0"/>
    <w:rsid w:val="00CA7AF7"/>
    <w:rsid w:val="00CB0170"/>
    <w:rsid w:val="00CB043B"/>
    <w:rsid w:val="00CB0C4A"/>
    <w:rsid w:val="00CB1EFF"/>
    <w:rsid w:val="00CB2140"/>
    <w:rsid w:val="00CB3A6F"/>
    <w:rsid w:val="00CB3B86"/>
    <w:rsid w:val="00CB58D8"/>
    <w:rsid w:val="00CB5EE8"/>
    <w:rsid w:val="00CC0BBE"/>
    <w:rsid w:val="00CC25C7"/>
    <w:rsid w:val="00CC3152"/>
    <w:rsid w:val="00CC7744"/>
    <w:rsid w:val="00CD1355"/>
    <w:rsid w:val="00CD147C"/>
    <w:rsid w:val="00CD14FC"/>
    <w:rsid w:val="00CD3B90"/>
    <w:rsid w:val="00CD4321"/>
    <w:rsid w:val="00CD4839"/>
    <w:rsid w:val="00CD5727"/>
    <w:rsid w:val="00CD57BC"/>
    <w:rsid w:val="00CD615E"/>
    <w:rsid w:val="00CE0C67"/>
    <w:rsid w:val="00CE147A"/>
    <w:rsid w:val="00CE23C5"/>
    <w:rsid w:val="00CE4F52"/>
    <w:rsid w:val="00CE5376"/>
    <w:rsid w:val="00CE53DD"/>
    <w:rsid w:val="00CE5F4B"/>
    <w:rsid w:val="00CE6835"/>
    <w:rsid w:val="00CE7DF6"/>
    <w:rsid w:val="00CF0B89"/>
    <w:rsid w:val="00CF10CD"/>
    <w:rsid w:val="00CF7546"/>
    <w:rsid w:val="00CF7578"/>
    <w:rsid w:val="00CF77B9"/>
    <w:rsid w:val="00CF7AE1"/>
    <w:rsid w:val="00CF7B98"/>
    <w:rsid w:val="00D00524"/>
    <w:rsid w:val="00D00EC3"/>
    <w:rsid w:val="00D01030"/>
    <w:rsid w:val="00D01883"/>
    <w:rsid w:val="00D01E0D"/>
    <w:rsid w:val="00D06346"/>
    <w:rsid w:val="00D075D8"/>
    <w:rsid w:val="00D07E46"/>
    <w:rsid w:val="00D10C34"/>
    <w:rsid w:val="00D11828"/>
    <w:rsid w:val="00D11F56"/>
    <w:rsid w:val="00D12C72"/>
    <w:rsid w:val="00D13604"/>
    <w:rsid w:val="00D13678"/>
    <w:rsid w:val="00D13DE6"/>
    <w:rsid w:val="00D159BF"/>
    <w:rsid w:val="00D16E73"/>
    <w:rsid w:val="00D17186"/>
    <w:rsid w:val="00D179FA"/>
    <w:rsid w:val="00D202EC"/>
    <w:rsid w:val="00D21B90"/>
    <w:rsid w:val="00D23377"/>
    <w:rsid w:val="00D268EB"/>
    <w:rsid w:val="00D27845"/>
    <w:rsid w:val="00D2796F"/>
    <w:rsid w:val="00D301A5"/>
    <w:rsid w:val="00D314D3"/>
    <w:rsid w:val="00D3276C"/>
    <w:rsid w:val="00D33150"/>
    <w:rsid w:val="00D33792"/>
    <w:rsid w:val="00D368C3"/>
    <w:rsid w:val="00D374D7"/>
    <w:rsid w:val="00D37849"/>
    <w:rsid w:val="00D42BE1"/>
    <w:rsid w:val="00D42FF4"/>
    <w:rsid w:val="00D442A4"/>
    <w:rsid w:val="00D44A71"/>
    <w:rsid w:val="00D4585A"/>
    <w:rsid w:val="00D462AA"/>
    <w:rsid w:val="00D46AEC"/>
    <w:rsid w:val="00D506A6"/>
    <w:rsid w:val="00D509A2"/>
    <w:rsid w:val="00D52327"/>
    <w:rsid w:val="00D52820"/>
    <w:rsid w:val="00D5325A"/>
    <w:rsid w:val="00D547BB"/>
    <w:rsid w:val="00D55637"/>
    <w:rsid w:val="00D5567B"/>
    <w:rsid w:val="00D5646C"/>
    <w:rsid w:val="00D568AD"/>
    <w:rsid w:val="00D56ADA"/>
    <w:rsid w:val="00D56BD0"/>
    <w:rsid w:val="00D631E6"/>
    <w:rsid w:val="00D645AB"/>
    <w:rsid w:val="00D6496A"/>
    <w:rsid w:val="00D650E6"/>
    <w:rsid w:val="00D66581"/>
    <w:rsid w:val="00D672C3"/>
    <w:rsid w:val="00D67912"/>
    <w:rsid w:val="00D700F7"/>
    <w:rsid w:val="00D705D5"/>
    <w:rsid w:val="00D71344"/>
    <w:rsid w:val="00D72B2C"/>
    <w:rsid w:val="00D73186"/>
    <w:rsid w:val="00D76591"/>
    <w:rsid w:val="00D76C53"/>
    <w:rsid w:val="00D772C1"/>
    <w:rsid w:val="00D776C7"/>
    <w:rsid w:val="00D807C3"/>
    <w:rsid w:val="00D809D9"/>
    <w:rsid w:val="00D81EE5"/>
    <w:rsid w:val="00D82AFE"/>
    <w:rsid w:val="00D82B48"/>
    <w:rsid w:val="00D842FE"/>
    <w:rsid w:val="00D845DE"/>
    <w:rsid w:val="00D849CA"/>
    <w:rsid w:val="00D849F2"/>
    <w:rsid w:val="00D84E82"/>
    <w:rsid w:val="00D8575F"/>
    <w:rsid w:val="00D86212"/>
    <w:rsid w:val="00D87550"/>
    <w:rsid w:val="00D87D0C"/>
    <w:rsid w:val="00D900EB"/>
    <w:rsid w:val="00D909BD"/>
    <w:rsid w:val="00D90EDE"/>
    <w:rsid w:val="00D91696"/>
    <w:rsid w:val="00D95D52"/>
    <w:rsid w:val="00D95DD6"/>
    <w:rsid w:val="00DA030E"/>
    <w:rsid w:val="00DA1FA8"/>
    <w:rsid w:val="00DA28BC"/>
    <w:rsid w:val="00DA2E97"/>
    <w:rsid w:val="00DA4F8E"/>
    <w:rsid w:val="00DA5487"/>
    <w:rsid w:val="00DA7317"/>
    <w:rsid w:val="00DB2282"/>
    <w:rsid w:val="00DB32B0"/>
    <w:rsid w:val="00DB4DC5"/>
    <w:rsid w:val="00DB4ED8"/>
    <w:rsid w:val="00DB5FB7"/>
    <w:rsid w:val="00DB6071"/>
    <w:rsid w:val="00DB7E1C"/>
    <w:rsid w:val="00DB7FE0"/>
    <w:rsid w:val="00DC011E"/>
    <w:rsid w:val="00DC0953"/>
    <w:rsid w:val="00DC0B45"/>
    <w:rsid w:val="00DC25C5"/>
    <w:rsid w:val="00DC300C"/>
    <w:rsid w:val="00DC3369"/>
    <w:rsid w:val="00DC6241"/>
    <w:rsid w:val="00DC639F"/>
    <w:rsid w:val="00DC6D2D"/>
    <w:rsid w:val="00DD1F59"/>
    <w:rsid w:val="00DD474F"/>
    <w:rsid w:val="00DD499A"/>
    <w:rsid w:val="00DD4CA6"/>
    <w:rsid w:val="00DD4E43"/>
    <w:rsid w:val="00DD59C5"/>
    <w:rsid w:val="00DD6D8B"/>
    <w:rsid w:val="00DE04CA"/>
    <w:rsid w:val="00DE0F46"/>
    <w:rsid w:val="00DE20E4"/>
    <w:rsid w:val="00DE2D19"/>
    <w:rsid w:val="00DE2D77"/>
    <w:rsid w:val="00DE329F"/>
    <w:rsid w:val="00DE3CF7"/>
    <w:rsid w:val="00DE5837"/>
    <w:rsid w:val="00DE5956"/>
    <w:rsid w:val="00DE6164"/>
    <w:rsid w:val="00DE6722"/>
    <w:rsid w:val="00DE74E5"/>
    <w:rsid w:val="00DE7B62"/>
    <w:rsid w:val="00DE7FF9"/>
    <w:rsid w:val="00DF050D"/>
    <w:rsid w:val="00DF0B4B"/>
    <w:rsid w:val="00DF31B9"/>
    <w:rsid w:val="00DF3A85"/>
    <w:rsid w:val="00DF4E9A"/>
    <w:rsid w:val="00DF768C"/>
    <w:rsid w:val="00DF7EB6"/>
    <w:rsid w:val="00E003CF"/>
    <w:rsid w:val="00E03995"/>
    <w:rsid w:val="00E04D89"/>
    <w:rsid w:val="00E05368"/>
    <w:rsid w:val="00E0715A"/>
    <w:rsid w:val="00E07B5F"/>
    <w:rsid w:val="00E11061"/>
    <w:rsid w:val="00E111F6"/>
    <w:rsid w:val="00E11B36"/>
    <w:rsid w:val="00E12016"/>
    <w:rsid w:val="00E12178"/>
    <w:rsid w:val="00E12813"/>
    <w:rsid w:val="00E1565A"/>
    <w:rsid w:val="00E21476"/>
    <w:rsid w:val="00E228C9"/>
    <w:rsid w:val="00E246C5"/>
    <w:rsid w:val="00E308CC"/>
    <w:rsid w:val="00E30FDF"/>
    <w:rsid w:val="00E3232D"/>
    <w:rsid w:val="00E33429"/>
    <w:rsid w:val="00E335BC"/>
    <w:rsid w:val="00E33735"/>
    <w:rsid w:val="00E33CBA"/>
    <w:rsid w:val="00E33EDE"/>
    <w:rsid w:val="00E340CB"/>
    <w:rsid w:val="00E355AC"/>
    <w:rsid w:val="00E358F0"/>
    <w:rsid w:val="00E3729B"/>
    <w:rsid w:val="00E373DB"/>
    <w:rsid w:val="00E401A4"/>
    <w:rsid w:val="00E403C6"/>
    <w:rsid w:val="00E421E1"/>
    <w:rsid w:val="00E435BE"/>
    <w:rsid w:val="00E43A77"/>
    <w:rsid w:val="00E44F02"/>
    <w:rsid w:val="00E4518B"/>
    <w:rsid w:val="00E452D3"/>
    <w:rsid w:val="00E50892"/>
    <w:rsid w:val="00E50E9F"/>
    <w:rsid w:val="00E51A24"/>
    <w:rsid w:val="00E523E4"/>
    <w:rsid w:val="00E5312A"/>
    <w:rsid w:val="00E54169"/>
    <w:rsid w:val="00E56708"/>
    <w:rsid w:val="00E572EA"/>
    <w:rsid w:val="00E60840"/>
    <w:rsid w:val="00E60B1A"/>
    <w:rsid w:val="00E60CB4"/>
    <w:rsid w:val="00E61AC9"/>
    <w:rsid w:val="00E61C70"/>
    <w:rsid w:val="00E633DC"/>
    <w:rsid w:val="00E638D9"/>
    <w:rsid w:val="00E64C9D"/>
    <w:rsid w:val="00E64E17"/>
    <w:rsid w:val="00E64ECD"/>
    <w:rsid w:val="00E65183"/>
    <w:rsid w:val="00E663E4"/>
    <w:rsid w:val="00E666D9"/>
    <w:rsid w:val="00E668CE"/>
    <w:rsid w:val="00E66EA5"/>
    <w:rsid w:val="00E71CB9"/>
    <w:rsid w:val="00E72701"/>
    <w:rsid w:val="00E72A90"/>
    <w:rsid w:val="00E775B4"/>
    <w:rsid w:val="00E805BD"/>
    <w:rsid w:val="00E80A7F"/>
    <w:rsid w:val="00E81A00"/>
    <w:rsid w:val="00E821CB"/>
    <w:rsid w:val="00E864AC"/>
    <w:rsid w:val="00E8690D"/>
    <w:rsid w:val="00E9160C"/>
    <w:rsid w:val="00E91966"/>
    <w:rsid w:val="00E9499A"/>
    <w:rsid w:val="00E954A2"/>
    <w:rsid w:val="00E95856"/>
    <w:rsid w:val="00E95B1B"/>
    <w:rsid w:val="00E96826"/>
    <w:rsid w:val="00E97023"/>
    <w:rsid w:val="00EA30F5"/>
    <w:rsid w:val="00EA3965"/>
    <w:rsid w:val="00EA397D"/>
    <w:rsid w:val="00EA5B2B"/>
    <w:rsid w:val="00EA7E7E"/>
    <w:rsid w:val="00EB2B06"/>
    <w:rsid w:val="00EB40B9"/>
    <w:rsid w:val="00EB4516"/>
    <w:rsid w:val="00EB62CC"/>
    <w:rsid w:val="00EC0D25"/>
    <w:rsid w:val="00EC223A"/>
    <w:rsid w:val="00EC2CC2"/>
    <w:rsid w:val="00EC4854"/>
    <w:rsid w:val="00EC7A78"/>
    <w:rsid w:val="00EC7D19"/>
    <w:rsid w:val="00ED0713"/>
    <w:rsid w:val="00ED1BF7"/>
    <w:rsid w:val="00ED4E7B"/>
    <w:rsid w:val="00ED7461"/>
    <w:rsid w:val="00ED76A7"/>
    <w:rsid w:val="00ED7777"/>
    <w:rsid w:val="00EE0F51"/>
    <w:rsid w:val="00EE287F"/>
    <w:rsid w:val="00EE2B13"/>
    <w:rsid w:val="00EE5F28"/>
    <w:rsid w:val="00EE70DC"/>
    <w:rsid w:val="00EF07DC"/>
    <w:rsid w:val="00EF14CB"/>
    <w:rsid w:val="00EF5156"/>
    <w:rsid w:val="00EF566B"/>
    <w:rsid w:val="00EF63AC"/>
    <w:rsid w:val="00EF64EB"/>
    <w:rsid w:val="00EF72B4"/>
    <w:rsid w:val="00EF7CDE"/>
    <w:rsid w:val="00F00115"/>
    <w:rsid w:val="00F0143B"/>
    <w:rsid w:val="00F0147B"/>
    <w:rsid w:val="00F04B4A"/>
    <w:rsid w:val="00F04DB8"/>
    <w:rsid w:val="00F06C20"/>
    <w:rsid w:val="00F0757C"/>
    <w:rsid w:val="00F10504"/>
    <w:rsid w:val="00F14887"/>
    <w:rsid w:val="00F14F0E"/>
    <w:rsid w:val="00F14F81"/>
    <w:rsid w:val="00F209C9"/>
    <w:rsid w:val="00F218D7"/>
    <w:rsid w:val="00F21D4D"/>
    <w:rsid w:val="00F22D20"/>
    <w:rsid w:val="00F24A40"/>
    <w:rsid w:val="00F26A28"/>
    <w:rsid w:val="00F27344"/>
    <w:rsid w:val="00F2735B"/>
    <w:rsid w:val="00F277CC"/>
    <w:rsid w:val="00F27B8F"/>
    <w:rsid w:val="00F27D33"/>
    <w:rsid w:val="00F30111"/>
    <w:rsid w:val="00F30390"/>
    <w:rsid w:val="00F3094C"/>
    <w:rsid w:val="00F31A3E"/>
    <w:rsid w:val="00F34EE6"/>
    <w:rsid w:val="00F35867"/>
    <w:rsid w:val="00F36008"/>
    <w:rsid w:val="00F36A0B"/>
    <w:rsid w:val="00F4004D"/>
    <w:rsid w:val="00F402D6"/>
    <w:rsid w:val="00F414EE"/>
    <w:rsid w:val="00F41F3B"/>
    <w:rsid w:val="00F4309C"/>
    <w:rsid w:val="00F438DA"/>
    <w:rsid w:val="00F43B02"/>
    <w:rsid w:val="00F46C4C"/>
    <w:rsid w:val="00F50016"/>
    <w:rsid w:val="00F50A2B"/>
    <w:rsid w:val="00F518C3"/>
    <w:rsid w:val="00F53002"/>
    <w:rsid w:val="00F533D8"/>
    <w:rsid w:val="00F53CF4"/>
    <w:rsid w:val="00F56E5E"/>
    <w:rsid w:val="00F600EE"/>
    <w:rsid w:val="00F601D5"/>
    <w:rsid w:val="00F618A4"/>
    <w:rsid w:val="00F61A4F"/>
    <w:rsid w:val="00F62355"/>
    <w:rsid w:val="00F62A2A"/>
    <w:rsid w:val="00F62B28"/>
    <w:rsid w:val="00F636FF"/>
    <w:rsid w:val="00F648C1"/>
    <w:rsid w:val="00F65801"/>
    <w:rsid w:val="00F6586D"/>
    <w:rsid w:val="00F6680F"/>
    <w:rsid w:val="00F669A0"/>
    <w:rsid w:val="00F77538"/>
    <w:rsid w:val="00F807E2"/>
    <w:rsid w:val="00F81558"/>
    <w:rsid w:val="00F8268E"/>
    <w:rsid w:val="00F82F39"/>
    <w:rsid w:val="00F8550B"/>
    <w:rsid w:val="00F86224"/>
    <w:rsid w:val="00F86599"/>
    <w:rsid w:val="00F90150"/>
    <w:rsid w:val="00F94419"/>
    <w:rsid w:val="00F94632"/>
    <w:rsid w:val="00F94662"/>
    <w:rsid w:val="00F95CD0"/>
    <w:rsid w:val="00FA13A3"/>
    <w:rsid w:val="00FA3545"/>
    <w:rsid w:val="00FA392F"/>
    <w:rsid w:val="00FA3F09"/>
    <w:rsid w:val="00FA4090"/>
    <w:rsid w:val="00FA44F3"/>
    <w:rsid w:val="00FA501B"/>
    <w:rsid w:val="00FA6A88"/>
    <w:rsid w:val="00FA76F7"/>
    <w:rsid w:val="00FB0BC5"/>
    <w:rsid w:val="00FB25CD"/>
    <w:rsid w:val="00FB2F26"/>
    <w:rsid w:val="00FB420F"/>
    <w:rsid w:val="00FB43A0"/>
    <w:rsid w:val="00FC0CC5"/>
    <w:rsid w:val="00FC0E1E"/>
    <w:rsid w:val="00FC15BC"/>
    <w:rsid w:val="00FC4483"/>
    <w:rsid w:val="00FC6B74"/>
    <w:rsid w:val="00FD06AB"/>
    <w:rsid w:val="00FD0DA6"/>
    <w:rsid w:val="00FD0DFA"/>
    <w:rsid w:val="00FD0EDB"/>
    <w:rsid w:val="00FD14DD"/>
    <w:rsid w:val="00FD1859"/>
    <w:rsid w:val="00FD3131"/>
    <w:rsid w:val="00FD3824"/>
    <w:rsid w:val="00FD473A"/>
    <w:rsid w:val="00FD4882"/>
    <w:rsid w:val="00FE06DB"/>
    <w:rsid w:val="00FE2274"/>
    <w:rsid w:val="00FE2F67"/>
    <w:rsid w:val="00FE4539"/>
    <w:rsid w:val="00FE491A"/>
    <w:rsid w:val="00FF157D"/>
    <w:rsid w:val="00FF2329"/>
    <w:rsid w:val="00FF795B"/>
    <w:rsid w:val="00FF7D96"/>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26625"/>
    <o:shapelayout v:ext="edit">
      <o:idmap v:ext="edit" data="1"/>
    </o:shapelayout>
  </w:shapeDefaults>
  <w:decimalSymbol w:val="."/>
  <w:listSeparator w:val=","/>
  <w14:docId w14:val="74C63E28"/>
  <w15:docId w15:val="{76735DF0-1FF7-45ED-B3DE-313CE7D1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4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26"/>
    <w:pPr>
      <w:spacing w:after="200" w:line="276" w:lineRule="auto"/>
      <w:ind w:left="0"/>
    </w:pPr>
    <w:rPr>
      <w:rFonts w:eastAsiaTheme="minorHAnsi"/>
      <w:sz w:val="24"/>
      <w:szCs w:val="24"/>
    </w:rPr>
  </w:style>
  <w:style w:type="paragraph" w:styleId="Heading1">
    <w:name w:val="heading 1"/>
    <w:next w:val="Normal"/>
    <w:link w:val="Heading1Char"/>
    <w:uiPriority w:val="9"/>
    <w:qFormat/>
    <w:rsid w:val="00550F51"/>
    <w:pPr>
      <w:keepNext/>
      <w:keepLines/>
      <w:numPr>
        <w:numId w:val="111"/>
      </w:numPr>
      <w:spacing w:before="240"/>
      <w:outlineLvl w:val="0"/>
    </w:pPr>
    <w:rPr>
      <w:rFonts w:ascii="Times New Roman Bold" w:eastAsiaTheme="majorEastAsia" w:hAnsi="Times New Roman Bold" w:cstheme="majorBidi"/>
      <w:b/>
      <w:caps/>
      <w:color w:val="000000" w:themeColor="text1"/>
      <w:sz w:val="24"/>
      <w:szCs w:val="32"/>
    </w:rPr>
  </w:style>
  <w:style w:type="paragraph" w:styleId="Heading2">
    <w:name w:val="heading 2"/>
    <w:basedOn w:val="Heading1"/>
    <w:next w:val="Normal"/>
    <w:link w:val="Heading2Char"/>
    <w:uiPriority w:val="9"/>
    <w:unhideWhenUsed/>
    <w:qFormat/>
    <w:rsid w:val="00220046"/>
    <w:pPr>
      <w:numPr>
        <w:ilvl w:val="1"/>
      </w:numPr>
      <w:outlineLvl w:val="1"/>
    </w:pPr>
    <w:rPr>
      <w:rFonts w:ascii="Times New Roman" w:hAnsi="Times New Roman"/>
      <w:b w:val="0"/>
      <w:caps w:val="0"/>
      <w:szCs w:val="26"/>
      <w:u w:val="single"/>
    </w:rPr>
  </w:style>
  <w:style w:type="paragraph" w:styleId="Heading3">
    <w:name w:val="heading 3"/>
    <w:basedOn w:val="Heading2"/>
    <w:next w:val="Normal"/>
    <w:link w:val="Heading3Char"/>
    <w:uiPriority w:val="9"/>
    <w:unhideWhenUsed/>
    <w:qFormat/>
    <w:rsid w:val="009B2ACF"/>
    <w:pPr>
      <w:keepNext w:val="0"/>
      <w:keepLines w:val="0"/>
      <w:numPr>
        <w:ilvl w:val="2"/>
      </w:numPr>
      <w:outlineLvl w:val="2"/>
    </w:pPr>
    <w:rPr>
      <w:u w:val="none"/>
    </w:rPr>
  </w:style>
  <w:style w:type="paragraph" w:styleId="Heading4">
    <w:name w:val="heading 4"/>
    <w:basedOn w:val="Heading3"/>
    <w:next w:val="Normal"/>
    <w:link w:val="Heading4Char"/>
    <w:uiPriority w:val="9"/>
    <w:unhideWhenUsed/>
    <w:qFormat/>
    <w:rsid w:val="00897FCC"/>
    <w:pPr>
      <w:numPr>
        <w:ilvl w:val="3"/>
      </w:numPr>
      <w:outlineLvl w:val="3"/>
    </w:pPr>
    <w:rPr>
      <w:iCs/>
    </w:rPr>
  </w:style>
  <w:style w:type="paragraph" w:styleId="Heading5">
    <w:name w:val="heading 5"/>
    <w:basedOn w:val="Heading4"/>
    <w:next w:val="Normal"/>
    <w:link w:val="Heading5Char"/>
    <w:uiPriority w:val="9"/>
    <w:unhideWhenUsed/>
    <w:qFormat/>
    <w:rsid w:val="00220046"/>
    <w:pPr>
      <w:numPr>
        <w:ilvl w:val="4"/>
      </w:numPr>
      <w:outlineLvl w:val="4"/>
    </w:pPr>
  </w:style>
  <w:style w:type="paragraph" w:styleId="Heading6">
    <w:name w:val="heading 6"/>
    <w:basedOn w:val="Heading5"/>
    <w:next w:val="Heading6Text"/>
    <w:link w:val="Heading6Char"/>
    <w:uiPriority w:val="99"/>
    <w:qFormat/>
    <w:pPr>
      <w:numPr>
        <w:ilvl w:val="5"/>
      </w:numPr>
      <w:outlineLvl w:val="5"/>
    </w:pPr>
    <w:rPr>
      <w:bCs/>
      <w:szCs w:val="24"/>
    </w:rPr>
  </w:style>
  <w:style w:type="paragraph" w:styleId="Heading7">
    <w:name w:val="heading 7"/>
    <w:basedOn w:val="Heading6"/>
    <w:next w:val="Heading7Text"/>
    <w:qFormat/>
    <w:pPr>
      <w:ind w:hanging="360"/>
      <w:outlineLvl w:val="6"/>
    </w:pPr>
  </w:style>
  <w:style w:type="paragraph" w:styleId="Heading8">
    <w:name w:val="heading 8"/>
    <w:basedOn w:val="Heading7"/>
    <w:next w:val="Heading8Text"/>
    <w:qFormat/>
    <w:pPr>
      <w:outlineLvl w:val="7"/>
    </w:pPr>
    <w:rPr>
      <w:iCs w:val="0"/>
    </w:rPr>
  </w:style>
  <w:style w:type="paragraph" w:styleId="Heading9">
    <w:name w:val="heading 9"/>
    <w:basedOn w:val="Heading8"/>
    <w:next w:val="Heading9Text"/>
    <w:qFormat/>
    <w:pPr>
      <w:ind w:hanging="18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qFormat/>
    <w:rsid w:val="00575626"/>
    <w:pPr>
      <w:spacing w:before="240" w:after="240" w:line="240" w:lineRule="auto"/>
    </w:pPr>
  </w:style>
  <w:style w:type="paragraph" w:customStyle="1" w:styleId="Heading2Text">
    <w:name w:val="Heading 2 Text"/>
    <w:aliases w:val="h2t"/>
    <w:link w:val="Heading2TextChar"/>
    <w:qFormat/>
    <w:rsid w:val="00220046"/>
    <w:pPr>
      <w:spacing w:before="240"/>
      <w:ind w:left="864"/>
    </w:pPr>
    <w:rPr>
      <w:rFonts w:eastAsiaTheme="majorEastAsia" w:cstheme="majorBidi"/>
      <w:color w:val="000000" w:themeColor="text1"/>
      <w:sz w:val="24"/>
      <w:szCs w:val="26"/>
    </w:rPr>
  </w:style>
  <w:style w:type="paragraph" w:customStyle="1" w:styleId="Heading3Text">
    <w:name w:val="Heading 3 Text"/>
    <w:basedOn w:val="Normal"/>
    <w:qFormat/>
    <w:rsid w:val="00575626"/>
    <w:pPr>
      <w:spacing w:before="240" w:after="240" w:line="240" w:lineRule="auto"/>
      <w:ind w:left="1728"/>
    </w:pPr>
  </w:style>
  <w:style w:type="paragraph" w:customStyle="1" w:styleId="Heading4Text">
    <w:name w:val="Heading 4 Text"/>
    <w:basedOn w:val="Normal"/>
    <w:qFormat/>
    <w:rsid w:val="00575626"/>
    <w:pPr>
      <w:spacing w:before="240" w:after="240" w:line="240" w:lineRule="auto"/>
      <w:ind w:left="2592"/>
    </w:pPr>
  </w:style>
  <w:style w:type="paragraph" w:customStyle="1" w:styleId="Heading5Text">
    <w:name w:val="Heading 5 Text"/>
    <w:basedOn w:val="Normal"/>
    <w:qFormat/>
    <w:rsid w:val="00575626"/>
    <w:pPr>
      <w:spacing w:before="240" w:after="240" w:line="240" w:lineRule="auto"/>
      <w:ind w:left="3456"/>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4Text"/>
    <w:pPr>
      <w:ind w:left="4680"/>
    </w:pPr>
  </w:style>
  <w:style w:type="paragraph" w:styleId="TOC1">
    <w:name w:val="toc 1"/>
    <w:basedOn w:val="Normal"/>
    <w:next w:val="Normal"/>
    <w:autoRedefine/>
    <w:uiPriority w:val="39"/>
    <w:rsid w:val="00DD474F"/>
    <w:pPr>
      <w:tabs>
        <w:tab w:val="left" w:pos="1350"/>
        <w:tab w:val="right" w:leader="dot" w:pos="10070"/>
      </w:tabs>
      <w:spacing w:after="120"/>
      <w:ind w:left="1350" w:right="450" w:hanging="1350"/>
    </w:pPr>
    <w:rPr>
      <w:rFonts w:eastAsiaTheme="minorEastAsia"/>
      <w:caps/>
    </w:rPr>
  </w:style>
  <w:style w:type="paragraph" w:styleId="TOC2">
    <w:name w:val="toc 2"/>
    <w:basedOn w:val="Normal"/>
    <w:next w:val="Normal"/>
    <w:autoRedefine/>
    <w:uiPriority w:val="39"/>
    <w:rsid w:val="003B6D54"/>
    <w:pPr>
      <w:tabs>
        <w:tab w:val="left" w:pos="1350"/>
        <w:tab w:val="right" w:leader="dot" w:pos="10070"/>
      </w:tabs>
      <w:ind w:left="1267" w:right="446" w:hanging="720"/>
    </w:p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rPr>
      <w:caps/>
    </w:rPr>
  </w:style>
  <w:style w:type="paragraph" w:styleId="TOC5">
    <w:name w:val="toc 5"/>
    <w:basedOn w:val="Normal"/>
    <w:next w:val="Normal"/>
    <w:autoRedefine/>
    <w:uiPriority w:val="39"/>
    <w:pPr>
      <w:ind w:left="960"/>
    </w:pPr>
    <w:rPr>
      <w:cap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link w:val="Header"/>
    <w:uiPriority w:val="99"/>
    <w:rPr>
      <w:sz w:val="24"/>
      <w:szCs w:val="24"/>
    </w:rPr>
  </w:style>
  <w:style w:type="character" w:customStyle="1" w:styleId="DeltaViewInsertion">
    <w:name w:val="DeltaView Insertion"/>
    <w:uiPriority w:val="99"/>
    <w:rPr>
      <w:b/>
      <w:bCs/>
      <w:spacing w:val="0"/>
      <w:u w:val="double"/>
    </w:rPr>
  </w:style>
  <w:style w:type="paragraph" w:styleId="BodyTextIndent3">
    <w:name w:val="Body Text Indent 3"/>
    <w:basedOn w:val="Normal"/>
    <w:link w:val="BodyTextIndent3Char"/>
    <w:rPr>
      <w:rFonts w:cs="Arial"/>
      <w:szCs w:val="20"/>
    </w:rPr>
  </w:style>
  <w:style w:type="character" w:customStyle="1" w:styleId="BodyTextIndent3Char">
    <w:name w:val="Body Text Indent 3 Char"/>
    <w:basedOn w:val="DefaultParagraphFont"/>
    <w:link w:val="BodyTextIndent3"/>
    <w:rPr>
      <w:rFonts w:cs="Arial"/>
      <w:sz w:val="24"/>
    </w:rPr>
  </w:style>
  <w:style w:type="character" w:customStyle="1" w:styleId="DeltaViewMoveDestination">
    <w:name w:val="DeltaView Move Destination"/>
    <w:uiPriority w:val="99"/>
    <w:rPr>
      <w:color w:val="00C000"/>
      <w:spacing w:val="0"/>
      <w:u w:val="double"/>
    </w:rPr>
  </w:style>
  <w:style w:type="character" w:customStyle="1" w:styleId="BodyTextIndent2Char">
    <w:name w:val="Body Text Indent 2 Char"/>
    <w:rPr>
      <w:rFonts w:ascii="Arial" w:hAnsi="Arial" w:cs="Arial"/>
      <w:lang w:val="en-US" w:eastAsia="en-US"/>
    </w:rPr>
  </w:style>
  <w:style w:type="numbering" w:customStyle="1" w:styleId="Style1">
    <w:name w:val="Style1"/>
    <w:uiPriority w:val="99"/>
    <w:pPr>
      <w:numPr>
        <w:numId w:val="13"/>
      </w:numPr>
    </w:pPr>
  </w:style>
  <w:style w:type="numbering" w:customStyle="1" w:styleId="Style2">
    <w:name w:val="Style2"/>
    <w:uiPriority w:val="99"/>
    <w:pPr>
      <w:numPr>
        <w:numId w:val="14"/>
      </w:numPr>
    </w:pPr>
  </w:style>
  <w:style w:type="numbering" w:customStyle="1" w:styleId="Style3">
    <w:name w:val="Style3"/>
    <w:uiPriority w:val="99"/>
    <w:pPr>
      <w:numPr>
        <w:numId w:val="15"/>
      </w:numPr>
    </w:pPr>
  </w:style>
  <w:style w:type="paragraph" w:customStyle="1" w:styleId="10101">
    <w:name w:val="1.01.01"/>
    <w:basedOn w:val="Normal"/>
    <w:link w:val="10101Char"/>
    <w:pPr>
      <w:ind w:left="2160" w:hanging="1440"/>
    </w:pPr>
    <w:rPr>
      <w:szCs w:val="20"/>
    </w:rPr>
  </w:style>
  <w:style w:type="character" w:customStyle="1" w:styleId="10101Char">
    <w:name w:val="1.01.01 Char"/>
    <w:link w:val="10101"/>
    <w:rPr>
      <w:sz w:val="24"/>
    </w:rPr>
  </w:style>
  <w:style w:type="paragraph" w:styleId="BodyText">
    <w:name w:val="Body Text"/>
    <w:aliases w:val="s1"/>
    <w:basedOn w:val="Normal"/>
    <w:link w:val="BodyTextChar"/>
    <w:unhideWhenUsed/>
    <w:pPr>
      <w:spacing w:after="120"/>
    </w:pPr>
  </w:style>
  <w:style w:type="character" w:customStyle="1" w:styleId="BodyTextChar">
    <w:name w:val="Body Text Char"/>
    <w:aliases w:val="s1 Char"/>
    <w:basedOn w:val="DefaultParagraphFont"/>
    <w:link w:val="BodyText"/>
    <w:uiPriority w:val="99"/>
    <w:rPr>
      <w:sz w:val="24"/>
      <w:szCs w:val="24"/>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2">
    <w:name w:val="Body Text Indent 2"/>
    <w:basedOn w:val="Normal"/>
    <w:link w:val="BodyTextIndent2Char1"/>
    <w:unhideWhenUsed/>
    <w:pPr>
      <w:spacing w:after="120" w:line="480" w:lineRule="auto"/>
      <w:ind w:left="360"/>
    </w:pPr>
  </w:style>
  <w:style w:type="character" w:customStyle="1" w:styleId="BodyTextIndent2Char1">
    <w:name w:val="Body Text Indent 2 Char1"/>
    <w:basedOn w:val="DefaultParagraphFont"/>
    <w:link w:val="BodyTextIndent2"/>
    <w:uiPriority w:val="99"/>
    <w:semiHidden/>
    <w:rPr>
      <w:sz w:val="24"/>
      <w:szCs w:val="24"/>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pPr>
      <w:tabs>
        <w:tab w:val="left" w:pos="360"/>
      </w:tabs>
      <w:spacing w:after="0"/>
      <w:ind w:left="360" w:hanging="360"/>
    </w:pPr>
    <w:rPr>
      <w:sz w:val="20"/>
      <w:szCs w:val="20"/>
    </w:rPr>
  </w:style>
  <w:style w:type="character" w:customStyle="1" w:styleId="FootnoteTextChar">
    <w:name w:val="Footnote Text Char"/>
    <w:basedOn w:val="DefaultParagraphFont"/>
    <w:link w:val="FootnoteText"/>
    <w:semiHidden/>
  </w:style>
  <w:style w:type="paragraph" w:customStyle="1" w:styleId="AppendixText">
    <w:name w:val="Appendix Text"/>
    <w:basedOn w:val="Normal"/>
    <w:pPr>
      <w:spacing w:after="0" w:line="480" w:lineRule="atLeast"/>
      <w:ind w:firstLine="720"/>
    </w:pPr>
    <w:rPr>
      <w:szCs w:val="20"/>
    </w:rPr>
  </w:style>
  <w:style w:type="paragraph" w:customStyle="1" w:styleId="AppendixTitle">
    <w:name w:val="Appendix Title"/>
    <w:basedOn w:val="Normal"/>
    <w:next w:val="AppendixText"/>
    <w:pPr>
      <w:spacing w:after="0" w:line="480" w:lineRule="atLeast"/>
      <w:jc w:val="center"/>
    </w:pPr>
    <w:rPr>
      <w:b/>
      <w:sz w:val="26"/>
      <w:szCs w:val="20"/>
    </w:rPr>
  </w:style>
  <w:style w:type="paragraph" w:customStyle="1" w:styleId="Attachments">
    <w:name w:val="Attachments"/>
    <w:basedOn w:val="Normal"/>
    <w:pPr>
      <w:spacing w:before="720" w:after="0" w:line="240" w:lineRule="atLeast"/>
    </w:pPr>
    <w:rPr>
      <w:sz w:val="16"/>
      <w:szCs w:val="20"/>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jc w:val="both"/>
    </w:pPr>
    <w:rPr>
      <w:b/>
      <w:snapToGrid w:val="0"/>
      <w:sz w:val="18"/>
      <w:szCs w:val="20"/>
    </w:rPr>
  </w:style>
  <w:style w:type="paragraph" w:customStyle="1" w:styleId="BCC">
    <w:name w:val="BCC"/>
    <w:basedOn w:val="Normal"/>
    <w:next w:val="Normal"/>
    <w:pPr>
      <w:keepLines/>
      <w:pageBreakBefore/>
      <w:spacing w:before="240" w:after="0"/>
      <w:ind w:left="576" w:hanging="576"/>
    </w:pPr>
    <w:rPr>
      <w:szCs w:val="20"/>
    </w:rPr>
  </w:style>
  <w:style w:type="paragraph" w:styleId="BlockText">
    <w:name w:val="Block Text"/>
    <w:aliases w:val="blk"/>
    <w:basedOn w:val="Normal"/>
    <w:pPr>
      <w:spacing w:after="0"/>
      <w:ind w:left="840" w:right="-360"/>
    </w:pPr>
    <w:rPr>
      <w:szCs w:val="20"/>
    </w:rPr>
  </w:style>
  <w:style w:type="paragraph" w:customStyle="1" w:styleId="Box">
    <w:name w:val="Box"/>
    <w:basedOn w:val="Normal"/>
    <w:pPr>
      <w:spacing w:after="0"/>
      <w:jc w:val="center"/>
    </w:pPr>
    <w:rPr>
      <w:b/>
      <w:szCs w:val="20"/>
    </w:rPr>
  </w:style>
  <w:style w:type="paragraph" w:customStyle="1" w:styleId="BriefText">
    <w:name w:val="Brief Text"/>
    <w:basedOn w:val="Normal"/>
    <w:pPr>
      <w:spacing w:after="0" w:line="480" w:lineRule="exact"/>
    </w:pPr>
    <w:rPr>
      <w:szCs w:val="20"/>
    </w:rPr>
  </w:style>
  <w:style w:type="paragraph" w:styleId="Caption">
    <w:name w:val="caption"/>
    <w:aliases w:val="TableNumber"/>
    <w:basedOn w:val="Normal"/>
    <w:qFormat/>
    <w:pPr>
      <w:keepNext/>
      <w:keepLines/>
      <w:spacing w:before="120" w:after="0" w:line="480" w:lineRule="atLeast"/>
      <w:jc w:val="center"/>
    </w:pPr>
    <w:rPr>
      <w:b/>
      <w:i/>
      <w:sz w:val="26"/>
      <w:szCs w:val="20"/>
    </w:rPr>
  </w:style>
  <w:style w:type="paragraph" w:customStyle="1" w:styleId="cc">
    <w:name w:val="cc:"/>
    <w:basedOn w:val="Normal"/>
    <w:next w:val="Normal"/>
    <w:pPr>
      <w:spacing w:before="240" w:after="0" w:line="480" w:lineRule="atLeast"/>
      <w:ind w:left="446" w:hanging="446"/>
    </w:pPr>
    <w:rPr>
      <w:szCs w:val="20"/>
    </w:rPr>
  </w:style>
  <w:style w:type="paragraph" w:customStyle="1" w:styleId="LetterText">
    <w:name w:val="Letter Text"/>
    <w:basedOn w:val="Normal"/>
    <w:pPr>
      <w:spacing w:before="240" w:after="0"/>
      <w:ind w:firstLine="1440"/>
    </w:pPr>
    <w:rPr>
      <w:szCs w:val="20"/>
    </w:r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after="0" w:line="480" w:lineRule="atLeast"/>
    </w:pPr>
    <w:rPr>
      <w:b/>
      <w:color w:val="0000FF"/>
      <w:szCs w:val="20"/>
    </w:rPr>
  </w:style>
  <w:style w:type="paragraph" w:customStyle="1" w:styleId="ChapterTitle">
    <w:name w:val="Chapter Title"/>
    <w:basedOn w:val="Normal"/>
    <w:pPr>
      <w:spacing w:before="240" w:after="480" w:line="240" w:lineRule="atLeast"/>
      <w:jc w:val="center"/>
    </w:pPr>
    <w:rPr>
      <w:b/>
      <w:sz w:val="28"/>
      <w:szCs w:val="20"/>
    </w:rPr>
  </w:style>
  <w:style w:type="paragraph" w:styleId="Closing">
    <w:name w:val="Closing"/>
    <w:basedOn w:val="Normal"/>
    <w:link w:val="ClosingChar"/>
    <w:pPr>
      <w:keepNext/>
      <w:spacing w:before="480" w:after="0"/>
      <w:ind w:left="3960"/>
    </w:pPr>
    <w:rPr>
      <w:szCs w:val="20"/>
    </w:rPr>
  </w:style>
  <w:style w:type="character" w:customStyle="1" w:styleId="ClosingChar">
    <w:name w:val="Closing Char"/>
    <w:basedOn w:val="DefaultParagraphFont"/>
    <w:link w:val="Closing"/>
    <w:rPr>
      <w:sz w:val="24"/>
    </w:r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uiPriority w:val="99"/>
    <w:rPr>
      <w:color w:val="0000FF"/>
      <w:u w:val="double"/>
    </w:rPr>
  </w:style>
  <w:style w:type="paragraph" w:styleId="CommentText">
    <w:name w:val="annotation text"/>
    <w:basedOn w:val="FootnoteText"/>
    <w:link w:val="CommentTextChar"/>
    <w:uiPriority w:val="99"/>
    <w:pPr>
      <w:ind w:firstLine="720"/>
    </w:pPr>
    <w:rPr>
      <w:color w:val="0000FF"/>
    </w:rPr>
  </w:style>
  <w:style w:type="character" w:customStyle="1" w:styleId="CommentTextChar">
    <w:name w:val="Comment Text Char"/>
    <w:basedOn w:val="DefaultParagraphFont"/>
    <w:link w:val="CommentText"/>
    <w:uiPriority w:val="99"/>
    <w:rPr>
      <w:color w:val="0000FF"/>
    </w:rPr>
  </w:style>
  <w:style w:type="paragraph" w:styleId="Date">
    <w:name w:val="Date"/>
    <w:basedOn w:val="Normal"/>
    <w:next w:val="Normal"/>
    <w:link w:val="DateChar"/>
    <w:pPr>
      <w:spacing w:before="480" w:after="0" w:line="480" w:lineRule="exact"/>
    </w:pPr>
    <w:rPr>
      <w:szCs w:val="20"/>
    </w:rPr>
  </w:style>
  <w:style w:type="character" w:customStyle="1" w:styleId="DateChar">
    <w:name w:val="Date Char"/>
    <w:basedOn w:val="DefaultParagraphFont"/>
    <w:link w:val="Date"/>
    <w:rPr>
      <w:rFonts w:eastAsiaTheme="minorHAnsi"/>
      <w:sz w:val="24"/>
    </w:rPr>
  </w:style>
  <w:style w:type="paragraph" w:customStyle="1" w:styleId="Enclosure">
    <w:name w:val="Enclosure"/>
    <w:basedOn w:val="Normal"/>
    <w:next w:val="Normal"/>
    <w:pPr>
      <w:keepNext/>
      <w:keepLines/>
      <w:spacing w:before="120" w:after="120" w:line="240" w:lineRule="atLeast"/>
      <w:jc w:val="both"/>
    </w:pPr>
    <w:rPr>
      <w:kern w:val="18"/>
      <w:szCs w:val="20"/>
    </w:rPr>
  </w:style>
  <w:style w:type="paragraph" w:customStyle="1" w:styleId="EXHIBITHEAD">
    <w:name w:val="EXHIBITHEAD"/>
    <w:basedOn w:val="Heading1"/>
    <w:pPr>
      <w:keepNext w:val="0"/>
      <w:tabs>
        <w:tab w:val="left" w:pos="1080"/>
      </w:tabs>
      <w:spacing w:after="0" w:line="480" w:lineRule="atLeast"/>
      <w:outlineLvl w:val="9"/>
    </w:pPr>
    <w:rPr>
      <w:rFonts w:ascii="Times New Roman" w:hAnsi="Times New Roman" w:cs="Times New Roman"/>
      <w:color w:val="0000FF"/>
      <w:szCs w:val="24"/>
    </w:rPr>
  </w:style>
  <w:style w:type="paragraph" w:customStyle="1" w:styleId="FigToc1">
    <w:name w:val="FigToc1"/>
    <w:basedOn w:val="Normal"/>
    <w:pPr>
      <w:tabs>
        <w:tab w:val="right" w:leader="hyphen" w:pos="10080"/>
      </w:tabs>
      <w:spacing w:after="0" w:line="480" w:lineRule="atLeast"/>
    </w:pPr>
    <w:rPr>
      <w:szCs w:val="20"/>
    </w:rPr>
  </w:style>
  <w:style w:type="paragraph" w:customStyle="1" w:styleId="FigureTitle">
    <w:name w:val="Figure Title"/>
    <w:basedOn w:val="Normal"/>
    <w:pPr>
      <w:keepNext/>
      <w:keepLines/>
      <w:suppressLineNumbers/>
      <w:spacing w:before="360"/>
      <w:jc w:val="center"/>
    </w:pPr>
    <w:rPr>
      <w:b/>
      <w:i/>
      <w:sz w:val="26"/>
      <w:szCs w:val="20"/>
    </w:rPr>
  </w:style>
  <w:style w:type="paragraph" w:customStyle="1" w:styleId="FilingTitle">
    <w:name w:val="Filing Title"/>
    <w:basedOn w:val="Normal"/>
    <w:pPr>
      <w:suppressLineNumbers/>
      <w:spacing w:after="120"/>
      <w:jc w:val="center"/>
    </w:pPr>
    <w:rPr>
      <w:b/>
      <w:sz w:val="32"/>
      <w:szCs w:val="20"/>
    </w:rPr>
  </w:style>
  <w:style w:type="character" w:customStyle="1" w:styleId="FooterPageNum">
    <w:name w:val="FooterPageNum"/>
    <w:rPr>
      <w:rFonts w:ascii="NewCenturySchlbk" w:hAnsi="NewCenturySchlbk"/>
      <w:sz w:val="20"/>
    </w:rPr>
  </w:style>
  <w:style w:type="paragraph" w:customStyle="1" w:styleId="heading10">
    <w:name w:val="heading 1+"/>
    <w:basedOn w:val="Heading1"/>
    <w:pPr>
      <w:keepNext w:val="0"/>
      <w:tabs>
        <w:tab w:val="num" w:pos="360"/>
        <w:tab w:val="left" w:pos="1080"/>
      </w:tabs>
      <w:spacing w:after="0"/>
      <w:ind w:left="0"/>
      <w:outlineLvl w:val="9"/>
    </w:pPr>
    <w:rPr>
      <w:rFonts w:ascii="Times New Roman" w:hAnsi="Times New Roman" w:cs="Times New Roman"/>
      <w:color w:val="0000FF"/>
      <w:szCs w:val="24"/>
    </w:rPr>
  </w:style>
  <w:style w:type="paragraph" w:styleId="Index1">
    <w:name w:val="index 1"/>
    <w:basedOn w:val="Normal"/>
    <w:next w:val="Index2"/>
    <w:autoRedefine/>
    <w:semiHidden/>
    <w:pPr>
      <w:keepNext/>
      <w:keepLines/>
      <w:spacing w:before="240" w:after="0" w:line="240" w:lineRule="atLeast"/>
      <w:jc w:val="center"/>
    </w:pPr>
    <w:rPr>
      <w:b/>
      <w:szCs w:val="20"/>
    </w:rPr>
  </w:style>
  <w:style w:type="paragraph" w:styleId="Index2">
    <w:name w:val="index 2"/>
    <w:basedOn w:val="Normal"/>
    <w:autoRedefine/>
    <w:semiHidden/>
    <w:pPr>
      <w:keepNext/>
      <w:keepLines/>
      <w:tabs>
        <w:tab w:val="right" w:leader="dot" w:pos="8640"/>
      </w:tabs>
      <w:spacing w:before="120" w:after="0" w:line="240" w:lineRule="atLeast"/>
      <w:ind w:left="360" w:right="1440" w:hanging="360"/>
    </w:pPr>
    <w:rPr>
      <w:szCs w:val="20"/>
    </w:rPr>
  </w:style>
  <w:style w:type="paragraph" w:styleId="Index3">
    <w:name w:val="index 3"/>
    <w:basedOn w:val="Normal"/>
    <w:autoRedefine/>
    <w:semiHidden/>
    <w:pPr>
      <w:tabs>
        <w:tab w:val="left" w:pos="720"/>
        <w:tab w:val="right" w:leader="dot" w:pos="8640"/>
      </w:tabs>
      <w:spacing w:after="0" w:line="240" w:lineRule="exact"/>
      <w:ind w:left="360" w:right="1440"/>
    </w:pPr>
    <w:rPr>
      <w:szCs w:val="20"/>
    </w:rPr>
  </w:style>
  <w:style w:type="paragraph" w:styleId="Index4">
    <w:name w:val="index 4"/>
    <w:basedOn w:val="Normal"/>
    <w:next w:val="Normal"/>
    <w:autoRedefine/>
    <w:semiHidden/>
    <w:pPr>
      <w:spacing w:after="0"/>
      <w:ind w:left="1080"/>
    </w:pPr>
    <w:rPr>
      <w:szCs w:val="20"/>
    </w:rPr>
  </w:style>
  <w:style w:type="paragraph" w:styleId="Index5">
    <w:name w:val="index 5"/>
    <w:basedOn w:val="Normal"/>
    <w:next w:val="Normal"/>
    <w:autoRedefine/>
    <w:semiHidden/>
    <w:pPr>
      <w:spacing w:after="0"/>
      <w:ind w:left="1440"/>
    </w:pPr>
    <w:rPr>
      <w:szCs w:val="20"/>
    </w:rPr>
  </w:style>
  <w:style w:type="paragraph" w:styleId="Index6">
    <w:name w:val="index 6"/>
    <w:basedOn w:val="Normal"/>
    <w:next w:val="Normal"/>
    <w:autoRedefine/>
    <w:semiHidden/>
    <w:pPr>
      <w:spacing w:after="0"/>
      <w:ind w:left="1800"/>
    </w:pPr>
    <w:rPr>
      <w:szCs w:val="20"/>
    </w:rPr>
  </w:style>
  <w:style w:type="paragraph" w:styleId="Index7">
    <w:name w:val="index 7"/>
    <w:basedOn w:val="Normal"/>
    <w:next w:val="Normal"/>
    <w:autoRedefine/>
    <w:semiHidden/>
    <w:pPr>
      <w:spacing w:after="0"/>
      <w:ind w:left="2160"/>
    </w:pPr>
    <w:rPr>
      <w:szCs w:val="20"/>
    </w:rPr>
  </w:style>
  <w:style w:type="paragraph" w:styleId="IndexHeading">
    <w:name w:val="index heading"/>
    <w:basedOn w:val="Normal"/>
    <w:next w:val="Index1"/>
    <w:semiHidden/>
    <w:pPr>
      <w:spacing w:after="0"/>
    </w:pPr>
    <w:rPr>
      <w:szCs w:val="20"/>
    </w:rPr>
  </w:style>
  <w:style w:type="paragraph" w:customStyle="1" w:styleId="InsideAddress">
    <w:name w:val="Inside Address"/>
    <w:basedOn w:val="Normal"/>
    <w:pPr>
      <w:spacing w:after="0" w:line="480" w:lineRule="exact"/>
    </w:pPr>
    <w:rPr>
      <w:color w:val="FF0000"/>
      <w:szCs w:val="20"/>
    </w:rPr>
  </w:style>
  <w:style w:type="paragraph" w:customStyle="1" w:styleId="InterrogResponse">
    <w:name w:val="Interrog Response"/>
    <w:basedOn w:val="Normal"/>
    <w:pPr>
      <w:spacing w:after="0" w:line="480" w:lineRule="exact"/>
    </w:pPr>
    <w:rPr>
      <w:b/>
      <w:szCs w:val="20"/>
    </w:rPr>
  </w:style>
  <w:style w:type="paragraph" w:customStyle="1" w:styleId="Interrogatory">
    <w:name w:val="Interrogatory"/>
    <w:basedOn w:val="Normal"/>
    <w:next w:val="Heading1Text"/>
    <w:pPr>
      <w:spacing w:after="0" w:line="480" w:lineRule="exact"/>
    </w:pPr>
    <w:rPr>
      <w:b/>
      <w:szCs w:val="20"/>
    </w:rPr>
  </w:style>
  <w:style w:type="paragraph" w:customStyle="1" w:styleId="Interrogatory1">
    <w:name w:val="Interrogatory 1"/>
    <w:basedOn w:val="Normal"/>
    <w:next w:val="Normal"/>
    <w:pPr>
      <w:keepNext/>
      <w:keepLines/>
      <w:spacing w:before="240" w:after="0"/>
    </w:pPr>
    <w:rPr>
      <w:b/>
      <w:szCs w:val="20"/>
      <w:u w:val="single"/>
    </w:rPr>
  </w:style>
  <w:style w:type="paragraph" w:customStyle="1" w:styleId="Interrogatory1Text">
    <w:name w:val="Interrogatory 1 Text"/>
    <w:basedOn w:val="Normal"/>
    <w:pPr>
      <w:spacing w:after="0" w:line="480" w:lineRule="exact"/>
      <w:ind w:firstLine="720"/>
    </w:pPr>
    <w:rPr>
      <w:szCs w:val="20"/>
    </w:r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ind w:left="1325" w:right="-360" w:hanging="1296"/>
    </w:pPr>
    <w:rPr>
      <w:b/>
      <w:szCs w:val="20"/>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after="0" w:line="14400" w:lineRule="exact"/>
    </w:pPr>
    <w:rPr>
      <w:szCs w:val="20"/>
    </w:rPr>
  </w:style>
  <w:style w:type="character" w:styleId="LineNumber">
    <w:name w:val="line number"/>
    <w:basedOn w:val="DefaultParagraphFont"/>
  </w:style>
  <w:style w:type="paragraph" w:customStyle="1" w:styleId="List1">
    <w:name w:val="List 1"/>
    <w:aliases w:val="L1"/>
    <w:basedOn w:val="Normal"/>
    <w:pPr>
      <w:spacing w:after="0"/>
      <w:ind w:hanging="720"/>
    </w:pPr>
    <w:rPr>
      <w:szCs w:val="20"/>
    </w:r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line="240" w:lineRule="atLeast"/>
      <w:jc w:val="both"/>
    </w:pPr>
    <w:rPr>
      <w:caps/>
      <w:kern w:val="18"/>
      <w:szCs w:val="20"/>
    </w:rPr>
  </w:style>
  <w:style w:type="paragraph" w:customStyle="1" w:styleId="Memo">
    <w:name w:val="Memo"/>
    <w:basedOn w:val="Normal"/>
    <w:autoRedefine/>
    <w:pPr>
      <w:spacing w:before="480" w:after="360"/>
      <w:ind w:right="-360"/>
    </w:pPr>
    <w:rPr>
      <w:b/>
      <w:sz w:val="28"/>
      <w:szCs w:val="20"/>
    </w:rPr>
  </w:style>
  <w:style w:type="paragraph" w:customStyle="1" w:styleId="MemoText">
    <w:name w:val="Memo Text"/>
    <w:basedOn w:val="Normal"/>
    <w:pPr>
      <w:spacing w:before="240" w:after="0"/>
      <w:ind w:right="-360"/>
    </w:pPr>
    <w:rPr>
      <w:szCs w:val="20"/>
    </w:rPr>
  </w:style>
  <w:style w:type="paragraph" w:styleId="NormalIndent">
    <w:name w:val="Normal Indent"/>
    <w:basedOn w:val="Normal"/>
    <w:pPr>
      <w:spacing w:after="0"/>
      <w:ind w:firstLine="1440"/>
    </w:pPr>
    <w:rPr>
      <w:szCs w:val="20"/>
    </w:rPr>
  </w:style>
  <w:style w:type="paragraph" w:styleId="PlainText">
    <w:name w:val="Plain Text"/>
    <w:basedOn w:val="Normal"/>
    <w:link w:val="PlainTextChar"/>
    <w:pPr>
      <w:spacing w:after="0"/>
    </w:pPr>
    <w:rPr>
      <w:szCs w:val="20"/>
    </w:rPr>
  </w:style>
  <w:style w:type="character" w:customStyle="1" w:styleId="PlainTextChar">
    <w:name w:val="Plain Text Char"/>
    <w:basedOn w:val="DefaultParagraphFont"/>
    <w:link w:val="PlainText"/>
    <w:rPr>
      <w:rFonts w:eastAsiaTheme="minorHAnsi"/>
      <w:sz w:val="24"/>
    </w:rPr>
  </w:style>
  <w:style w:type="paragraph" w:customStyle="1" w:styleId="PleadingText">
    <w:name w:val="Pleading Text"/>
    <w:basedOn w:val="Normal"/>
    <w:pPr>
      <w:spacing w:after="0" w:line="480" w:lineRule="exact"/>
    </w:pPr>
    <w:rPr>
      <w:szCs w:val="20"/>
    </w:rPr>
  </w:style>
  <w:style w:type="paragraph" w:customStyle="1" w:styleId="Quote1">
    <w:name w:val="Quote 1"/>
    <w:basedOn w:val="Normal"/>
    <w:pPr>
      <w:spacing w:before="240" w:after="0"/>
      <w:ind w:left="1440" w:right="1440"/>
    </w:pPr>
    <w:rPr>
      <w:szCs w:val="20"/>
    </w:r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after="0" w:line="240" w:lineRule="atLeast"/>
      <w:ind w:left="1440"/>
    </w:pPr>
    <w:rPr>
      <w:szCs w:val="20"/>
    </w:rPr>
  </w:style>
  <w:style w:type="paragraph" w:customStyle="1" w:styleId="Re">
    <w:name w:val="Re:"/>
    <w:basedOn w:val="Normal"/>
    <w:next w:val="Normal"/>
    <w:pPr>
      <w:spacing w:before="480" w:after="0"/>
    </w:pPr>
    <w:rPr>
      <w:snapToGrid w:val="0"/>
      <w:szCs w:val="20"/>
    </w:rPr>
  </w:style>
  <w:style w:type="paragraph" w:customStyle="1" w:styleId="ReferenceInitials">
    <w:name w:val="Reference Initials"/>
    <w:basedOn w:val="Normal"/>
    <w:next w:val="Enclosure"/>
    <w:pPr>
      <w:keepNext/>
      <w:spacing w:before="220" w:after="0" w:line="240" w:lineRule="atLeast"/>
    </w:pPr>
    <w:rPr>
      <w:kern w:val="18"/>
      <w:szCs w:val="20"/>
    </w:rPr>
  </w:style>
  <w:style w:type="paragraph" w:customStyle="1" w:styleId="ReferenceLine">
    <w:name w:val="Reference Line"/>
    <w:basedOn w:val="Normal"/>
    <w:next w:val="MailingInstructions"/>
    <w:pPr>
      <w:keepNext/>
      <w:spacing w:line="240" w:lineRule="atLeast"/>
    </w:pPr>
    <w:rPr>
      <w:kern w:val="18"/>
      <w:szCs w:val="20"/>
    </w:rPr>
  </w:style>
  <w:style w:type="paragraph" w:customStyle="1" w:styleId="RegardingCaption">
    <w:name w:val="Regarding Caption"/>
    <w:basedOn w:val="Normal"/>
    <w:pPr>
      <w:keepLines/>
      <w:pBdr>
        <w:bottom w:val="single" w:sz="6" w:space="22" w:color="auto"/>
      </w:pBdr>
      <w:ind w:left="1325" w:right="-360" w:hanging="1296"/>
    </w:pPr>
    <w:rPr>
      <w:b/>
      <w:szCs w:val="20"/>
    </w:rPr>
  </w:style>
  <w:style w:type="paragraph" w:customStyle="1" w:styleId="ReturnAddress">
    <w:name w:val="Return Address"/>
    <w:pPr>
      <w:framePr w:w="8640" w:h="1440" w:hSpace="187" w:vSpace="187" w:wrap="notBeside" w:vAnchor="page" w:hAnchor="margin" w:xAlign="center" w:yAlign="bottom" w:anchorLock="1"/>
      <w:tabs>
        <w:tab w:val="left" w:pos="2160"/>
      </w:tabs>
      <w:spacing w:after="0" w:line="240" w:lineRule="atLeast"/>
      <w:ind w:left="0"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line="240" w:lineRule="atLeast"/>
      <w:jc w:val="center"/>
    </w:pPr>
    <w:rPr>
      <w:rFonts w:ascii="NewCenturySchlbk" w:hAnsi="NewCenturySchlbk"/>
      <w:szCs w:val="20"/>
    </w:rPr>
  </w:style>
  <w:style w:type="paragraph" w:styleId="Salutation">
    <w:name w:val="Salutation"/>
    <w:basedOn w:val="Normal"/>
    <w:next w:val="Normal"/>
    <w:link w:val="SalutationChar"/>
    <w:pPr>
      <w:spacing w:before="480" w:after="0" w:line="240" w:lineRule="atLeast"/>
    </w:pPr>
    <w:rPr>
      <w:kern w:val="18"/>
      <w:szCs w:val="20"/>
    </w:rPr>
  </w:style>
  <w:style w:type="character" w:customStyle="1" w:styleId="SalutationChar">
    <w:name w:val="Salutation Char"/>
    <w:basedOn w:val="DefaultParagraphFont"/>
    <w:link w:val="Salutation"/>
    <w:rPr>
      <w:rFonts w:eastAsiaTheme="minorHAnsi"/>
      <w:kern w:val="18"/>
      <w:sz w:val="24"/>
    </w:rPr>
  </w:style>
  <w:style w:type="paragraph" w:customStyle="1" w:styleId="SCETitle">
    <w:name w:val="SCE Title"/>
    <w:basedOn w:val="Normal"/>
    <w:pPr>
      <w:spacing w:after="0" w:line="240" w:lineRule="atLeast"/>
      <w:ind w:right="-1440"/>
      <w:jc w:val="center"/>
    </w:pPr>
    <w:rPr>
      <w:b/>
      <w:sz w:val="28"/>
      <w:szCs w:val="20"/>
    </w:rPr>
  </w:style>
  <w:style w:type="paragraph" w:styleId="Signature">
    <w:name w:val="Signature"/>
    <w:basedOn w:val="Normal"/>
    <w:next w:val="Normal"/>
    <w:link w:val="SignatureChar"/>
    <w:pPr>
      <w:keepNext/>
      <w:spacing w:before="880" w:after="0" w:line="240" w:lineRule="atLeast"/>
      <w:ind w:left="4565"/>
    </w:pPr>
    <w:rPr>
      <w:kern w:val="18"/>
      <w:szCs w:val="20"/>
    </w:rPr>
  </w:style>
  <w:style w:type="character" w:customStyle="1" w:styleId="SignatureChar">
    <w:name w:val="Signature Char"/>
    <w:basedOn w:val="DefaultParagraphFont"/>
    <w:link w:val="Signature"/>
    <w:rPr>
      <w:kern w:val="18"/>
      <w:sz w:val="24"/>
    </w:rPr>
  </w:style>
  <w:style w:type="paragraph" w:customStyle="1" w:styleId="TC">
    <w:name w:val="T/C"/>
    <w:basedOn w:val="TOC1"/>
    <w:pPr>
      <w:keepLines/>
      <w:suppressLineNumbers/>
      <w:tabs>
        <w:tab w:val="clear" w:pos="10070"/>
        <w:tab w:val="left" w:pos="1080"/>
        <w:tab w:val="left" w:pos="1710"/>
        <w:tab w:val="left" w:leader="dot" w:pos="7920"/>
        <w:tab w:val="right" w:leader="dot" w:pos="8280"/>
        <w:tab w:val="decimal" w:pos="8640"/>
        <w:tab w:val="left" w:pos="8712"/>
        <w:tab w:val="right" w:leader="dot" w:pos="10080"/>
      </w:tabs>
      <w:spacing w:before="240" w:after="0"/>
      <w:ind w:left="2340" w:hanging="2340"/>
    </w:pPr>
    <w:rPr>
      <w:rFonts w:ascii="Times" w:hAnsi="Times"/>
      <w:b/>
      <w:bCs/>
      <w:caps w:val="0"/>
    </w:rPr>
  </w:style>
  <w:style w:type="paragraph" w:styleId="TableofFigures">
    <w:name w:val="table of figures"/>
    <w:basedOn w:val="Normal"/>
    <w:next w:val="Normal"/>
    <w:semiHidden/>
    <w:pPr>
      <w:suppressLineNumbers/>
      <w:tabs>
        <w:tab w:val="right" w:leader="dot" w:pos="10080"/>
      </w:tabs>
      <w:spacing w:after="0" w:line="480" w:lineRule="atLeast"/>
      <w:ind w:left="360" w:right="1440" w:hanging="360"/>
    </w:pPr>
    <w:rPr>
      <w:szCs w:val="20"/>
    </w:rPr>
  </w:style>
  <w:style w:type="paragraph" w:customStyle="1" w:styleId="TableTitle">
    <w:name w:val="Table Title"/>
    <w:basedOn w:val="Normal"/>
    <w:next w:val="Normal"/>
    <w:pPr>
      <w:keepNext/>
      <w:keepLines/>
      <w:suppressLineNumbers/>
      <w:spacing w:before="240" w:after="120" w:line="480" w:lineRule="atLeast"/>
      <w:jc w:val="center"/>
    </w:pPr>
    <w:rPr>
      <w:b/>
      <w:i/>
      <w:sz w:val="26"/>
      <w:szCs w:val="20"/>
    </w:rPr>
  </w:style>
  <w:style w:type="paragraph" w:customStyle="1" w:styleId="Text">
    <w:name w:val="Text"/>
    <w:basedOn w:val="Normal"/>
    <w:pPr>
      <w:spacing w:before="360" w:after="0" w:line="480" w:lineRule="atLeast"/>
      <w:ind w:left="360"/>
      <w:jc w:val="both"/>
    </w:pPr>
    <w:rPr>
      <w:szCs w:val="20"/>
    </w:rPr>
  </w:style>
  <w:style w:type="paragraph" w:styleId="Title">
    <w:name w:val="Title"/>
    <w:basedOn w:val="Normal"/>
    <w:link w:val="TitleChar"/>
    <w:qFormat/>
    <w:pPr>
      <w:keepNext/>
      <w:keepLines/>
      <w:suppressLineNumbers/>
      <w:spacing w:after="0"/>
      <w:jc w:val="center"/>
    </w:pPr>
    <w:rPr>
      <w:rFonts w:ascii="Times New Roman Bold" w:hAnsi="Times New Roman Bold"/>
      <w:b/>
      <w:smallCaps/>
      <w:szCs w:val="20"/>
    </w:rPr>
  </w:style>
  <w:style w:type="character" w:customStyle="1" w:styleId="TitleChar">
    <w:name w:val="Title Char"/>
    <w:basedOn w:val="DefaultParagraphFont"/>
    <w:link w:val="Title"/>
    <w:rPr>
      <w:rFonts w:ascii="Times New Roman Bold" w:eastAsiaTheme="minorHAnsi" w:hAnsi="Times New Roman Bold"/>
      <w:b/>
      <w:smallCaps/>
      <w:sz w:val="24"/>
    </w:rPr>
  </w:style>
  <w:style w:type="paragraph" w:customStyle="1" w:styleId="Title2">
    <w:name w:val="Title2"/>
    <w:basedOn w:val="Normal"/>
    <w:pPr>
      <w:spacing w:before="120" w:after="120" w:line="240" w:lineRule="atLeast"/>
      <w:jc w:val="center"/>
    </w:pPr>
    <w:rPr>
      <w:b/>
      <w:sz w:val="28"/>
      <w:szCs w:val="20"/>
    </w:rPr>
  </w:style>
  <w:style w:type="paragraph" w:styleId="TOC6">
    <w:name w:val="toc 6"/>
    <w:basedOn w:val="TOC1"/>
    <w:next w:val="Normal"/>
    <w:autoRedefine/>
    <w:uiPriority w:val="39"/>
    <w:pPr>
      <w:tabs>
        <w:tab w:val="clear" w:pos="10070"/>
        <w:tab w:val="left" w:pos="1710"/>
        <w:tab w:val="right" w:leader="dot" w:pos="10080"/>
      </w:tabs>
      <w:spacing w:after="0"/>
      <w:ind w:left="1200" w:hanging="2340"/>
    </w:pPr>
    <w:rPr>
      <w:caps w:val="0"/>
    </w:rPr>
  </w:style>
  <w:style w:type="paragraph" w:styleId="TOC7">
    <w:name w:val="toc 7"/>
    <w:basedOn w:val="TOC1"/>
    <w:next w:val="Normal"/>
    <w:autoRedefine/>
    <w:uiPriority w:val="39"/>
    <w:pPr>
      <w:tabs>
        <w:tab w:val="clear" w:pos="10070"/>
        <w:tab w:val="left" w:pos="1710"/>
        <w:tab w:val="right" w:leader="dot" w:pos="10080"/>
      </w:tabs>
      <w:spacing w:after="0"/>
      <w:ind w:left="1440" w:hanging="2340"/>
    </w:pPr>
    <w:rPr>
      <w:caps w:val="0"/>
    </w:rPr>
  </w:style>
  <w:style w:type="paragraph" w:customStyle="1" w:styleId="TOCColumnHeading">
    <w:name w:val="TOC Column Heading"/>
    <w:basedOn w:val="Normal"/>
    <w:pPr>
      <w:spacing w:after="0"/>
    </w:pPr>
    <w:rPr>
      <w:sz w:val="20"/>
      <w:szCs w:val="20"/>
    </w:rPr>
  </w:style>
  <w:style w:type="paragraph" w:styleId="TOCHeading">
    <w:name w:val="TOC Heading"/>
    <w:basedOn w:val="Normal"/>
    <w:next w:val="TOC1"/>
    <w:uiPriority w:val="39"/>
    <w:qFormat/>
    <w:pPr>
      <w:tabs>
        <w:tab w:val="left" w:pos="1440"/>
        <w:tab w:val="center" w:pos="4680"/>
        <w:tab w:val="left" w:pos="7920"/>
        <w:tab w:val="right" w:pos="9360"/>
      </w:tabs>
      <w:spacing w:before="240" w:after="0" w:line="240" w:lineRule="atLeast"/>
    </w:pPr>
    <w:rPr>
      <w:szCs w:val="20"/>
      <w:u w:val="single"/>
    </w:rPr>
  </w:style>
  <w:style w:type="paragraph" w:customStyle="1" w:styleId="TOCTitle">
    <w:name w:val="TOC Title"/>
    <w:basedOn w:val="Normal"/>
    <w:pPr>
      <w:keepNext/>
      <w:keepLines/>
      <w:spacing w:before="120" w:after="120"/>
      <w:jc w:val="center"/>
    </w:pPr>
    <w:rPr>
      <w:b/>
      <w:sz w:val="28"/>
      <w:szCs w:val="20"/>
    </w:rPr>
  </w:style>
  <w:style w:type="paragraph" w:customStyle="1" w:styleId="TOCcontinued">
    <w:name w:val="TOCcontinued"/>
    <w:basedOn w:val="Normal"/>
    <w:pPr>
      <w:spacing w:after="120" w:line="240" w:lineRule="atLeast"/>
      <w:jc w:val="center"/>
    </w:pPr>
    <w:rPr>
      <w:sz w:val="28"/>
      <w:szCs w:val="20"/>
    </w:rPr>
  </w:style>
  <w:style w:type="paragraph" w:customStyle="1" w:styleId="TOCtable">
    <w:name w:val="TOCtable"/>
    <w:basedOn w:val="Normal"/>
    <w:pPr>
      <w:shd w:val="clear" w:color="auto" w:fill="000000"/>
      <w:spacing w:after="0" w:line="240" w:lineRule="atLeast"/>
      <w:jc w:val="center"/>
    </w:pPr>
    <w:rPr>
      <w:b/>
      <w:color w:val="FFFFFF"/>
      <w:szCs w:val="20"/>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after="0" w:line="240" w:lineRule="atLeast"/>
      <w:jc w:val="center"/>
    </w:pPr>
    <w:rPr>
      <w:szCs w:val="20"/>
    </w:rPr>
  </w:style>
  <w:style w:type="paragraph" w:customStyle="1" w:styleId="zAttorney">
    <w:name w:val="zAttorney"/>
    <w:basedOn w:val="Normal"/>
    <w:pPr>
      <w:spacing w:before="173" w:after="0" w:line="240" w:lineRule="atLeast"/>
      <w:ind w:right="3600"/>
    </w:pPr>
    <w:rPr>
      <w:sz w:val="20"/>
      <w:szCs w:val="20"/>
    </w:rPr>
  </w:style>
  <w:style w:type="paragraph" w:customStyle="1" w:styleId="zAttorneyNames">
    <w:name w:val="zAttorney Names"/>
    <w:basedOn w:val="Normal"/>
    <w:pPr>
      <w:keepNext/>
      <w:keepLines/>
      <w:spacing w:after="0"/>
      <w:ind w:left="3600"/>
    </w:pPr>
    <w:rPr>
      <w:color w:val="FF00FF"/>
      <w:szCs w:val="20"/>
    </w:rPr>
  </w:style>
  <w:style w:type="paragraph" w:customStyle="1" w:styleId="zEdisonAddress">
    <w:name w:val="zEdisonAddress"/>
    <w:basedOn w:val="Normal"/>
    <w:pPr>
      <w:spacing w:after="0" w:line="240" w:lineRule="exact"/>
    </w:pPr>
    <w:rPr>
      <w:rFonts w:ascii="Times" w:hAnsi="Times"/>
      <w:sz w:val="20"/>
      <w:szCs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after="0"/>
      <w:ind w:left="3600"/>
    </w:pPr>
    <w:rPr>
      <w:szCs w:val="20"/>
    </w:rPr>
  </w:style>
  <w:style w:type="paragraph" w:customStyle="1" w:styleId="zAttorneysForCOSPage">
    <w:name w:val="zAttorneysForCOSPage"/>
    <w:basedOn w:val="Normal"/>
    <w:pPr>
      <w:keepNext/>
      <w:keepLines/>
      <w:spacing w:before="480" w:after="0"/>
      <w:ind w:left="3600"/>
    </w:pPr>
    <w:rPr>
      <w:szCs w:val="20"/>
    </w:rPr>
  </w:style>
  <w:style w:type="paragraph" w:customStyle="1" w:styleId="zAttorneysForTitlePage">
    <w:name w:val="zAttorneysForTitlePage"/>
    <w:basedOn w:val="Normal"/>
    <w:pPr>
      <w:keepNext/>
      <w:keepLines/>
      <w:spacing w:before="120" w:after="0"/>
      <w:ind w:left="3600"/>
    </w:pPr>
    <w:rPr>
      <w:szCs w:val="20"/>
    </w:rPr>
  </w:style>
  <w:style w:type="paragraph" w:customStyle="1" w:styleId="zAuthorName">
    <w:name w:val="zAuthorName"/>
    <w:basedOn w:val="Normal"/>
    <w:pPr>
      <w:spacing w:after="0"/>
    </w:pPr>
    <w:rPr>
      <w:color w:val="0000FF"/>
      <w:szCs w:val="20"/>
    </w:rPr>
  </w:style>
  <w:style w:type="paragraph" w:customStyle="1" w:styleId="zBCC">
    <w:name w:val="zBCC"/>
    <w:basedOn w:val="Normal"/>
    <w:next w:val="Normal"/>
    <w:pPr>
      <w:keepLines/>
      <w:pageBreakBefore/>
      <w:spacing w:before="240" w:after="0"/>
      <w:ind w:left="576" w:hanging="576"/>
    </w:pPr>
    <w:rPr>
      <w:szCs w:val="20"/>
    </w:rPr>
  </w:style>
  <w:style w:type="paragraph" w:customStyle="1" w:styleId="zBriefFooter">
    <w:name w:val="zBriefFooter"/>
    <w:basedOn w:val="Normal"/>
    <w:pPr>
      <w:tabs>
        <w:tab w:val="left" w:pos="5040"/>
      </w:tabs>
      <w:spacing w:after="0"/>
    </w:pPr>
    <w:rPr>
      <w:sz w:val="16"/>
      <w:szCs w:val="20"/>
    </w:rPr>
  </w:style>
  <w:style w:type="paragraph" w:customStyle="1" w:styleId="zCaption">
    <w:name w:val="zCaption"/>
    <w:basedOn w:val="Normal"/>
    <w:pPr>
      <w:spacing w:after="0"/>
    </w:pPr>
    <w:rPr>
      <w:szCs w:val="20"/>
    </w:rPr>
  </w:style>
  <w:style w:type="paragraph" w:customStyle="1" w:styleId="zCaptionSeparator">
    <w:name w:val="zCaption Separator"/>
    <w:basedOn w:val="Normal"/>
    <w:next w:val="zCaption"/>
    <w:pPr>
      <w:pBdr>
        <w:bottom w:val="single" w:sz="6" w:space="1" w:color="auto"/>
        <w:between w:val="single" w:sz="6" w:space="1" w:color="auto"/>
      </w:pBdr>
      <w:spacing w:after="0"/>
    </w:pPr>
    <w:rPr>
      <w:szCs w:val="20"/>
    </w:rPr>
  </w:style>
  <w:style w:type="paragraph" w:customStyle="1" w:styleId="zCC">
    <w:name w:val="zCC"/>
    <w:basedOn w:val="Normal"/>
    <w:next w:val="Normal"/>
    <w:pPr>
      <w:keepLines/>
      <w:spacing w:after="0"/>
      <w:ind w:left="576" w:hanging="576"/>
    </w:pPr>
    <w:rPr>
      <w:szCs w:val="20"/>
    </w:rPr>
  </w:style>
  <w:style w:type="paragraph" w:customStyle="1" w:styleId="zCertMail">
    <w:name w:val="zCertMail"/>
    <w:basedOn w:val="Normal"/>
    <w:pPr>
      <w:spacing w:after="480"/>
    </w:pPr>
    <w:rPr>
      <w:szCs w:val="20"/>
    </w:rPr>
  </w:style>
  <w:style w:type="paragraph" w:customStyle="1" w:styleId="zClosing">
    <w:name w:val="zClosing"/>
    <w:basedOn w:val="Normal"/>
    <w:pPr>
      <w:keepNext/>
      <w:keepLines/>
      <w:spacing w:before="1080" w:after="0"/>
      <w:ind w:left="3960"/>
    </w:pPr>
    <w:rPr>
      <w:szCs w:val="20"/>
    </w:rPr>
  </w:style>
  <w:style w:type="paragraph" w:customStyle="1" w:styleId="zDate">
    <w:name w:val="zDate"/>
    <w:basedOn w:val="Normal"/>
    <w:pPr>
      <w:spacing w:before="240" w:after="0" w:line="480" w:lineRule="exact"/>
    </w:pPr>
    <w:rPr>
      <w:color w:val="0000FF"/>
      <w:szCs w:val="20"/>
    </w:rPr>
  </w:style>
  <w:style w:type="paragraph" w:customStyle="1" w:styleId="zDate2">
    <w:name w:val="zDate2"/>
    <w:basedOn w:val="Normal"/>
    <w:pPr>
      <w:spacing w:before="480" w:after="0"/>
    </w:pPr>
    <w:rPr>
      <w:szCs w:val="20"/>
    </w:rPr>
  </w:style>
  <w:style w:type="paragraph" w:customStyle="1" w:styleId="zDefendent">
    <w:name w:val="zDefendent"/>
    <w:basedOn w:val="Normal"/>
    <w:pPr>
      <w:spacing w:before="240" w:after="280" w:line="240" w:lineRule="atLeast"/>
      <w:ind w:left="1440"/>
    </w:pPr>
    <w:rPr>
      <w:szCs w:val="20"/>
    </w:r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after="0"/>
      <w:ind w:left="5040"/>
    </w:pPr>
    <w:rPr>
      <w:szCs w:val="20"/>
    </w:rPr>
  </w:style>
  <w:style w:type="paragraph" w:customStyle="1" w:styleId="zEdisonAddressCOSPage">
    <w:name w:val="zEdison Address COS Page"/>
    <w:basedOn w:val="Normal"/>
    <w:pPr>
      <w:keepNext/>
      <w:keepLines/>
      <w:spacing w:after="0"/>
      <w:ind w:left="4320"/>
    </w:pPr>
    <w:rPr>
      <w:szCs w:val="20"/>
    </w:rPr>
  </w:style>
  <w:style w:type="paragraph" w:customStyle="1" w:styleId="zEdisonAddress2">
    <w:name w:val="zEdison Address2"/>
    <w:basedOn w:val="Normal"/>
    <w:pPr>
      <w:keepNext/>
      <w:keepLines/>
      <w:spacing w:before="240" w:after="0"/>
    </w:pPr>
    <w:rPr>
      <w:szCs w:val="20"/>
    </w:rPr>
  </w:style>
  <w:style w:type="paragraph" w:customStyle="1" w:styleId="zEdisonAddressCOSPage0">
    <w:name w:val="zEdisonAddressCOSPage"/>
    <w:basedOn w:val="Normal"/>
    <w:pPr>
      <w:keepNext/>
      <w:keepLines/>
      <w:spacing w:before="240" w:after="0"/>
      <w:ind w:left="4320"/>
    </w:pPr>
    <w:rPr>
      <w:szCs w:val="20"/>
    </w:rPr>
  </w:style>
  <w:style w:type="paragraph" w:customStyle="1" w:styleId="zEdisonAddressTitlePage">
    <w:name w:val="zEdisonAddressTitlePage"/>
    <w:basedOn w:val="Normal"/>
    <w:pPr>
      <w:keepNext/>
      <w:keepLines/>
      <w:spacing w:before="240" w:after="0"/>
      <w:ind w:left="4320"/>
    </w:pPr>
    <w:rPr>
      <w:szCs w:val="20"/>
    </w:rPr>
  </w:style>
  <w:style w:type="paragraph" w:customStyle="1" w:styleId="zFacsimile">
    <w:name w:val="zFacsimile"/>
    <w:basedOn w:val="Normal"/>
    <w:pPr>
      <w:keepNext/>
      <w:spacing w:after="0"/>
      <w:ind w:left="4320"/>
    </w:pPr>
    <w:rPr>
      <w:color w:val="0000FF"/>
      <w:szCs w:val="20"/>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pPr>
    <w:rPr>
      <w:szCs w:val="20"/>
    </w:rPr>
  </w:style>
  <w:style w:type="paragraph" w:customStyle="1" w:styleId="zHeader">
    <w:name w:val="zHeader"/>
    <w:basedOn w:val="Normal"/>
    <w:pPr>
      <w:spacing w:after="480" w:line="480" w:lineRule="exact"/>
      <w:jc w:val="center"/>
    </w:pPr>
    <w:rPr>
      <w:b/>
      <w:szCs w:val="20"/>
    </w:rPr>
  </w:style>
  <w:style w:type="paragraph" w:customStyle="1" w:styleId="zHeaderAuthorName">
    <w:name w:val="zHeaderAuthorName"/>
    <w:basedOn w:val="Normal"/>
    <w:next w:val="Normal"/>
    <w:pPr>
      <w:spacing w:before="240" w:after="29"/>
    </w:pPr>
    <w:rPr>
      <w:b/>
      <w:color w:val="808080"/>
      <w:sz w:val="18"/>
      <w:szCs w:val="20"/>
    </w:rPr>
  </w:style>
  <w:style w:type="paragraph" w:customStyle="1" w:styleId="zHeaderAuthorTitle">
    <w:name w:val="zHeaderAuthorTitle"/>
    <w:basedOn w:val="Normal"/>
    <w:pPr>
      <w:spacing w:after="0"/>
    </w:pPr>
    <w:rPr>
      <w:color w:val="808080"/>
      <w:spacing w:val="-1"/>
      <w:sz w:val="18"/>
      <w:szCs w:val="20"/>
    </w:rPr>
  </w:style>
  <w:style w:type="paragraph" w:customStyle="1" w:styleId="zHeaderLogo">
    <w:name w:val="zHeaderLogo"/>
    <w:basedOn w:val="Normal"/>
    <w:next w:val="Normal"/>
    <w:pPr>
      <w:spacing w:before="120" w:after="0"/>
    </w:pPr>
    <w:rPr>
      <w:sz w:val="16"/>
      <w:szCs w:val="20"/>
    </w:rPr>
  </w:style>
  <w:style w:type="paragraph" w:customStyle="1" w:styleId="zLetterText">
    <w:name w:val="zLetter Text"/>
    <w:basedOn w:val="Normal"/>
    <w:pPr>
      <w:spacing w:before="240" w:after="0" w:line="240" w:lineRule="atLeast"/>
    </w:pPr>
    <w:rPr>
      <w:szCs w:val="20"/>
    </w:rPr>
  </w:style>
  <w:style w:type="paragraph" w:customStyle="1" w:styleId="zLine-nums">
    <w:name w:val="zLine-nums"/>
    <w:basedOn w:val="Normal"/>
    <w:pPr>
      <w:framePr w:w="360" w:wrap="auto" w:vAnchor="page" w:hAnchor="page" w:x="1441" w:y="1268"/>
      <w:spacing w:after="0" w:line="480" w:lineRule="exact"/>
      <w:jc w:val="right"/>
    </w:pPr>
    <w:rPr>
      <w:szCs w:val="20"/>
    </w:rPr>
  </w:style>
  <w:style w:type="paragraph" w:customStyle="1" w:styleId="zLine-nums2">
    <w:name w:val="zLine-nums 2"/>
    <w:basedOn w:val="Normal"/>
    <w:pPr>
      <w:framePr w:w="216" w:wrap="auto" w:vAnchor="page" w:hAnchor="page" w:x="1686" w:y="1"/>
      <w:spacing w:after="0" w:line="240" w:lineRule="atLeast"/>
    </w:pPr>
    <w:rPr>
      <w:szCs w:val="20"/>
    </w:rPr>
  </w:style>
  <w:style w:type="paragraph" w:customStyle="1" w:styleId="zLine-nums3">
    <w:name w:val="zLine-nums 3"/>
    <w:basedOn w:val="zLine-nums2"/>
    <w:pPr>
      <w:framePr w:wrap="around" w:x="11736"/>
    </w:pPr>
  </w:style>
  <w:style w:type="paragraph" w:customStyle="1" w:styleId="zParen">
    <w:name w:val="zParen"/>
    <w:basedOn w:val="Normal"/>
    <w:pPr>
      <w:spacing w:after="0" w:line="240" w:lineRule="atLeast"/>
    </w:pPr>
    <w:rPr>
      <w:szCs w:val="20"/>
    </w:rPr>
  </w:style>
  <w:style w:type="paragraph" w:customStyle="1" w:styleId="zPhone">
    <w:name w:val="zPhone"/>
    <w:basedOn w:val="Normal"/>
    <w:pPr>
      <w:keepNext/>
      <w:spacing w:after="0"/>
      <w:ind w:left="4320"/>
    </w:pPr>
    <w:rPr>
      <w:color w:val="0000FF"/>
      <w:szCs w:val="20"/>
    </w:rPr>
  </w:style>
  <w:style w:type="paragraph" w:customStyle="1" w:styleId="zPhoneCOSPage">
    <w:name w:val="zPhoneCOSPage"/>
    <w:basedOn w:val="Normal"/>
    <w:pPr>
      <w:spacing w:after="0"/>
      <w:ind w:left="4320"/>
    </w:pPr>
    <w:rPr>
      <w:szCs w:val="20"/>
    </w:rPr>
  </w:style>
  <w:style w:type="paragraph" w:customStyle="1" w:styleId="zTitle">
    <w:name w:val="zTitle"/>
    <w:basedOn w:val="Normal"/>
    <w:pPr>
      <w:spacing w:after="720" w:line="360" w:lineRule="atLeast"/>
      <w:jc w:val="center"/>
    </w:pPr>
    <w:rPr>
      <w:b/>
      <w:caps/>
      <w:color w:val="FF00FF"/>
      <w:szCs w:val="20"/>
      <w:u w:val="single"/>
    </w:rPr>
  </w:style>
  <w:style w:type="paragraph" w:customStyle="1" w:styleId="zTitle1">
    <w:name w:val="zTitle1"/>
    <w:basedOn w:val="Normal"/>
    <w:next w:val="Normal"/>
    <w:pPr>
      <w:framePr w:hSpace="187" w:vSpace="187" w:wrap="auto" w:vAnchor="page" w:hAnchor="text" w:y="4609"/>
      <w:spacing w:before="240" w:after="576" w:line="240" w:lineRule="atLeast"/>
      <w:jc w:val="center"/>
    </w:pPr>
    <w:rPr>
      <w:b/>
      <w:i/>
      <w:color w:val="FF0000"/>
      <w:sz w:val="28"/>
      <w:szCs w:val="20"/>
    </w:rPr>
  </w:style>
  <w:style w:type="paragraph" w:customStyle="1" w:styleId="zTOCHeader">
    <w:name w:val="zTOCHeader"/>
    <w:basedOn w:val="Normal"/>
    <w:pPr>
      <w:spacing w:after="0"/>
    </w:pPr>
    <w:rPr>
      <w:szCs w:val="20"/>
      <w:u w:val="words"/>
    </w:rPr>
  </w:style>
  <w:style w:type="character" w:customStyle="1" w:styleId="zzAttorneysFor">
    <w:name w:val="zzAttorneysFor"/>
    <w:basedOn w:val="DefaultParagraphFont"/>
  </w:style>
  <w:style w:type="paragraph" w:customStyle="1" w:styleId="SCESect01">
    <w:name w:val="SCESect01"/>
    <w:basedOn w:val="Normal"/>
    <w:pPr>
      <w:spacing w:after="0"/>
      <w:jc w:val="center"/>
    </w:pPr>
    <w:rPr>
      <w:rFonts w:ascii="Times New Roman Bold" w:hAnsi="Times New Roman Bold"/>
      <w:b/>
    </w:rPr>
  </w:style>
  <w:style w:type="paragraph" w:customStyle="1" w:styleId="listindent">
    <w:name w:val="list indent"/>
    <w:basedOn w:val="Normal"/>
    <w:pPr>
      <w:tabs>
        <w:tab w:val="left" w:pos="2160"/>
      </w:tabs>
      <w:ind w:left="2160" w:hanging="2160"/>
      <w:outlineLvl w:val="0"/>
    </w:pPr>
    <w:rPr>
      <w:rFonts w:ascii="Arial" w:hAnsi="Arial" w:cs="Arial"/>
      <w:sz w:val="20"/>
      <w:szCs w:val="20"/>
    </w:rPr>
  </w:style>
  <w:style w:type="paragraph" w:customStyle="1" w:styleId="heading">
    <w:name w:val="heading"/>
    <w:basedOn w:val="Normal"/>
    <w:pPr>
      <w:tabs>
        <w:tab w:val="left" w:pos="1080"/>
      </w:tabs>
      <w:spacing w:after="0"/>
      <w:jc w:val="center"/>
      <w:outlineLvl w:val="0"/>
    </w:pPr>
    <w:rPr>
      <w:rFonts w:ascii="Arial" w:hAnsi="Arial" w:cs="Arial"/>
      <w:b/>
      <w:bCs/>
      <w:sz w:val="20"/>
      <w:szCs w:val="20"/>
    </w:rPr>
  </w:style>
  <w:style w:type="paragraph" w:customStyle="1" w:styleId="flush">
    <w:name w:val="flush"/>
    <w:basedOn w:val="Normal"/>
    <w:rPr>
      <w:rFonts w:ascii="Arial" w:hAnsi="Arial" w:cs="Arial"/>
      <w:sz w:val="20"/>
      <w:szCs w:val="20"/>
    </w:rPr>
  </w:style>
  <w:style w:type="paragraph" w:customStyle="1" w:styleId="indent">
    <w:name w:val="indent"/>
    <w:basedOn w:val="Normal"/>
    <w:pPr>
      <w:autoSpaceDE w:val="0"/>
      <w:autoSpaceDN w:val="0"/>
      <w:adjustRightInd w:val="0"/>
    </w:pPr>
    <w:rPr>
      <w:rFonts w:ascii="Arial" w:hAnsi="Arial" w:cs="Arial"/>
      <w:sz w:val="20"/>
      <w:szCs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tabs>
        <w:tab w:val="left" w:pos="1080"/>
      </w:tabs>
      <w:spacing w:after="0" w:line="480" w:lineRule="atLeast"/>
      <w:ind w:left="1800" w:hanging="1080"/>
      <w:outlineLvl w:val="9"/>
    </w:pPr>
    <w:rPr>
      <w:rFonts w:ascii="Courier" w:hAnsi="Courier" w:cs="Times New Roman"/>
      <w:b w:val="0"/>
      <w:szCs w:val="24"/>
    </w:rPr>
  </w:style>
  <w:style w:type="paragraph" w:customStyle="1" w:styleId="block2">
    <w:name w:val="block 2"/>
    <w:aliases w:val="b2"/>
    <w:basedOn w:val="Heading2"/>
    <w:pPr>
      <w:keepNext w:val="0"/>
      <w:tabs>
        <w:tab w:val="left" w:pos="2160"/>
      </w:tabs>
      <w:spacing w:after="0" w:line="480" w:lineRule="atLeast"/>
      <w:ind w:left="3240"/>
      <w:outlineLvl w:val="9"/>
    </w:pPr>
    <w:rPr>
      <w:rFonts w:ascii="Courier" w:hAnsi="Courier"/>
      <w:b/>
      <w:iCs/>
      <w:szCs w:val="24"/>
    </w:rPr>
  </w:style>
  <w:style w:type="paragraph" w:styleId="BodyText2">
    <w:name w:val="Body Text 2"/>
    <w:basedOn w:val="Normal"/>
    <w:link w:val="BodyText2Char"/>
    <w:pPr>
      <w:overflowPunct w:val="0"/>
      <w:autoSpaceDE w:val="0"/>
      <w:autoSpaceDN w:val="0"/>
      <w:adjustRightInd w:val="0"/>
      <w:ind w:hanging="720"/>
      <w:jc w:val="both"/>
      <w:textAlignment w:val="baseline"/>
    </w:pPr>
    <w:rPr>
      <w:szCs w:val="20"/>
    </w:rPr>
  </w:style>
  <w:style w:type="character" w:customStyle="1" w:styleId="BodyText2Char">
    <w:name w:val="Body Text 2 Char"/>
    <w:basedOn w:val="DefaultParagraphFont"/>
    <w:link w:val="BodyText2"/>
    <w:rPr>
      <w:sz w:val="24"/>
    </w:rPr>
  </w:style>
  <w:style w:type="character" w:styleId="Hyperlink">
    <w:name w:val="Hyperlink"/>
    <w:uiPriority w:val="99"/>
    <w:rPr>
      <w:color w:val="0000FF"/>
      <w:u w:val="single"/>
    </w:rPr>
  </w:style>
  <w:style w:type="paragraph" w:customStyle="1" w:styleId="FootnoteTex">
    <w:name w:val="Footnote Tex"/>
    <w:basedOn w:val="Normal"/>
    <w:pPr>
      <w:widowControl w:val="0"/>
      <w:spacing w:after="0"/>
    </w:pPr>
    <w:rPr>
      <w:rFonts w:ascii="Arial" w:hAnsi="Arial"/>
      <w:snapToGrid w:val="0"/>
      <w:sz w:val="20"/>
      <w:szCs w:val="20"/>
    </w:rPr>
  </w:style>
  <w:style w:type="paragraph" w:customStyle="1" w:styleId="Level1">
    <w:name w:val="Level 1"/>
    <w:basedOn w:val="Normal"/>
    <w:pPr>
      <w:widowControl w:val="0"/>
      <w:spacing w:after="0"/>
      <w:ind w:left="1440" w:hanging="720"/>
    </w:pPr>
    <w:rPr>
      <w:rFonts w:ascii="Arial" w:hAnsi="Arial"/>
      <w:snapToGrid w:val="0"/>
      <w:sz w:val="20"/>
      <w:szCs w:val="20"/>
    </w:rPr>
  </w:style>
  <w:style w:type="paragraph" w:customStyle="1" w:styleId="HParHeading2">
    <w:name w:val="_HParHeading 2"/>
    <w:basedOn w:val="Heading2"/>
    <w:next w:val="Normal"/>
    <w:pPr>
      <w:keepNext w:val="0"/>
      <w:tabs>
        <w:tab w:val="num" w:pos="360"/>
        <w:tab w:val="left" w:pos="1440"/>
        <w:tab w:val="left" w:pos="2160"/>
      </w:tabs>
      <w:ind w:left="360" w:firstLine="720"/>
      <w:jc w:val="both"/>
    </w:pPr>
    <w:rPr>
      <w:b/>
      <w:iCs/>
      <w:szCs w:val="24"/>
    </w:rPr>
  </w:style>
  <w:style w:type="character" w:styleId="FollowedHyperlink">
    <w:name w:val="FollowedHyperlink"/>
    <w:rPr>
      <w:color w:val="800080"/>
      <w:u w:val="single"/>
    </w:rPr>
  </w:style>
  <w:style w:type="paragraph" w:customStyle="1" w:styleId="coverbody">
    <w:name w:val="coverbody"/>
    <w:basedOn w:val="Normal"/>
    <w:pPr>
      <w:jc w:val="both"/>
    </w:pPr>
    <w:rPr>
      <w:sz w:val="20"/>
      <w:szCs w:val="20"/>
    </w:rPr>
  </w:style>
  <w:style w:type="paragraph" w:customStyle="1" w:styleId="block3">
    <w:name w:val="block 3"/>
    <w:aliases w:val="b3"/>
    <w:basedOn w:val="Heading3"/>
    <w:pPr>
      <w:overflowPunct w:val="0"/>
      <w:autoSpaceDE w:val="0"/>
      <w:autoSpaceDN w:val="0"/>
      <w:adjustRightInd w:val="0"/>
      <w:spacing w:line="480" w:lineRule="atLeast"/>
      <w:ind w:left="5040" w:hanging="1800"/>
      <w:outlineLvl w:val="9"/>
    </w:pPr>
    <w:rPr>
      <w:rFonts w:ascii="Courier" w:hAnsi="Courier"/>
      <w:bCs/>
      <w:iCs/>
    </w:rPr>
  </w:style>
  <w:style w:type="paragraph" w:styleId="BodyTextFirstIndent">
    <w:name w:val="Body Text First Indent"/>
    <w:aliases w:val="btf"/>
    <w:basedOn w:val="BodyText"/>
    <w:link w:val="BodyTextFirstIndentChar"/>
    <w:pPr>
      <w:ind w:firstLine="210"/>
    </w:pPr>
    <w:rPr>
      <w:szCs w:val="20"/>
    </w:rPr>
  </w:style>
  <w:style w:type="character" w:customStyle="1" w:styleId="BodyTextFirstIndentChar">
    <w:name w:val="Body Text First Indent Char"/>
    <w:aliases w:val="btf Char"/>
    <w:basedOn w:val="BodyTextChar"/>
    <w:link w:val="BodyTextFirstIndent"/>
    <w:rPr>
      <w:rFonts w:eastAsiaTheme="minorHAnsi"/>
      <w:sz w:val="24"/>
      <w:szCs w:val="24"/>
    </w:rPr>
  </w:style>
  <w:style w:type="paragraph" w:styleId="BodyTextFirstIndent2">
    <w:name w:val="Body Text First Indent 2"/>
    <w:basedOn w:val="BodyTextIndent"/>
    <w:link w:val="BodyTextFirstIndent2Char"/>
    <w:pPr>
      <w:ind w:firstLine="210"/>
    </w:pPr>
    <w:rPr>
      <w:rFonts w:ascii="Century Schoolbook" w:hAnsi="Century Schoolbook"/>
      <w:szCs w:val="20"/>
    </w:rPr>
  </w:style>
  <w:style w:type="character" w:customStyle="1" w:styleId="BodyTextFirstIndent2Char">
    <w:name w:val="Body Text First Indent 2 Char"/>
    <w:basedOn w:val="BodyTextIndentChar"/>
    <w:link w:val="BodyTextFirstIndent2"/>
    <w:rPr>
      <w:rFonts w:ascii="Century Schoolbook" w:hAnsi="Century Schoolbook"/>
      <w:sz w:val="24"/>
      <w:szCs w:val="24"/>
    </w:rPr>
  </w:style>
  <w:style w:type="paragraph" w:styleId="ListNumber5">
    <w:name w:val="List Number 5"/>
    <w:basedOn w:val="Normal"/>
    <w:pPr>
      <w:numPr>
        <w:numId w:val="42"/>
      </w:numPr>
      <w:tabs>
        <w:tab w:val="clear" w:pos="1800"/>
      </w:tabs>
      <w:spacing w:after="0"/>
    </w:pPr>
    <w:rPr>
      <w:szCs w:val="20"/>
    </w:rPr>
  </w:style>
  <w:style w:type="paragraph" w:customStyle="1" w:styleId="Signature-dbl">
    <w:name w:val="Signature-dbl"/>
    <w:basedOn w:val="Normal"/>
    <w:pPr>
      <w:tabs>
        <w:tab w:val="right" w:pos="4320"/>
        <w:tab w:val="left" w:pos="5040"/>
        <w:tab w:val="right" w:pos="9360"/>
      </w:tabs>
      <w:spacing w:after="120"/>
    </w:pPr>
    <w:rPr>
      <w:szCs w:val="20"/>
    </w:rPr>
  </w:style>
  <w:style w:type="paragraph" w:customStyle="1" w:styleId="ArticleOne">
    <w:name w:val="Article One"/>
    <w:basedOn w:val="Normal"/>
    <w:pPr>
      <w:numPr>
        <w:numId w:val="43"/>
      </w:numPr>
      <w:spacing w:before="360" w:after="0"/>
      <w:outlineLvl w:val="0"/>
    </w:pPr>
    <w:rPr>
      <w:b/>
      <w:szCs w:val="20"/>
    </w:rPr>
  </w:style>
  <w:style w:type="paragraph" w:customStyle="1" w:styleId="Body201">
    <w:name w:val="Body 2.01"/>
    <w:basedOn w:val="Normal"/>
    <w:pPr>
      <w:spacing w:before="240" w:after="0"/>
    </w:pPr>
    <w:rPr>
      <w:szCs w:val="20"/>
    </w:rPr>
  </w:style>
  <w:style w:type="paragraph" w:customStyle="1" w:styleId="BodyaCharCharCharCharChar">
    <w:name w:val="Body (a) Char Char Char Char Char"/>
    <w:basedOn w:val="Normal"/>
    <w:pPr>
      <w:spacing w:before="240" w:after="0"/>
      <w:ind w:left="1440"/>
    </w:pPr>
    <w:rPr>
      <w:szCs w:val="20"/>
    </w:r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1"/>
      </w:numPr>
      <w:spacing w:before="480" w:after="0" w:line="480" w:lineRule="auto"/>
      <w:jc w:val="center"/>
      <w:outlineLvl w:val="0"/>
    </w:pPr>
    <w:rPr>
      <w:rFonts w:ascii="Arial" w:hAnsi="Arial"/>
      <w:sz w:val="20"/>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eastAsiaTheme="minorHAnsi"/>
      <w:sz w:val="16"/>
      <w:szCs w:val="16"/>
    </w:rPr>
  </w:style>
  <w:style w:type="paragraph" w:styleId="TOC8">
    <w:name w:val="toc 8"/>
    <w:basedOn w:val="Normal"/>
    <w:next w:val="Normal"/>
    <w:autoRedefine/>
    <w:uiPriority w:val="39"/>
    <w:pPr>
      <w:spacing w:after="0"/>
      <w:ind w:left="1680"/>
    </w:pPr>
    <w:rPr>
      <w:caps/>
    </w:rPr>
  </w:style>
  <w:style w:type="paragraph" w:styleId="TOC9">
    <w:name w:val="toc 9"/>
    <w:basedOn w:val="Normal"/>
    <w:next w:val="Normal"/>
    <w:autoRedefine/>
    <w:uiPriority w:val="39"/>
    <w:pPr>
      <w:spacing w:after="0"/>
      <w:ind w:left="1920"/>
    </w:pPr>
    <w:rPr>
      <w:caps/>
    </w:rPr>
  </w:style>
  <w:style w:type="paragraph" w:styleId="CommentSubject">
    <w:name w:val="annotation subject"/>
    <w:basedOn w:val="CommentText"/>
    <w:next w:val="CommentText"/>
    <w:link w:val="CommentSubjectChar"/>
    <w:semiHidden/>
    <w:pPr>
      <w:tabs>
        <w:tab w:val="clear" w:pos="360"/>
      </w:tabs>
      <w:ind w:left="0" w:firstLine="0"/>
    </w:pPr>
    <w:rPr>
      <w:b/>
      <w:bCs/>
      <w:color w:val="auto"/>
    </w:rPr>
  </w:style>
  <w:style w:type="character" w:customStyle="1" w:styleId="CommentSubjectChar">
    <w:name w:val="Comment Subject Char"/>
    <w:basedOn w:val="CommentTextChar"/>
    <w:link w:val="CommentSubject"/>
    <w:semiHidden/>
    <w:rPr>
      <w:b/>
      <w:bCs/>
      <w:color w:val="0000FF"/>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heme="minorHAnsi" w:hAnsi="Courier New" w:cs="Courier New"/>
    </w:rPr>
  </w:style>
  <w:style w:type="paragraph" w:customStyle="1" w:styleId="BIINewL3">
    <w:name w:val="BIINew_L3"/>
    <w:basedOn w:val="Normal"/>
    <w:next w:val="Normal"/>
    <w:pPr>
      <w:numPr>
        <w:ilvl w:val="2"/>
        <w:numId w:val="4"/>
      </w:numPr>
      <w:spacing w:before="240"/>
      <w:outlineLvl w:val="2"/>
    </w:pPr>
    <w:rPr>
      <w:szCs w:val="20"/>
    </w:rPr>
  </w:style>
  <w:style w:type="paragraph" w:customStyle="1" w:styleId="BIINewL4">
    <w:name w:val="BIINew_L4"/>
    <w:basedOn w:val="Normal"/>
    <w:next w:val="Normal"/>
    <w:pPr>
      <w:numPr>
        <w:ilvl w:val="3"/>
        <w:numId w:val="4"/>
      </w:numPr>
      <w:spacing w:before="240"/>
      <w:outlineLvl w:val="3"/>
    </w:pPr>
    <w:rPr>
      <w:szCs w:val="20"/>
    </w:rPr>
  </w:style>
  <w:style w:type="paragraph" w:customStyle="1" w:styleId="BIINewL9">
    <w:name w:val="BIINew_L9"/>
    <w:basedOn w:val="Normal"/>
    <w:next w:val="Normal"/>
    <w:autoRedefine/>
    <w:pPr>
      <w:numPr>
        <w:ilvl w:val="6"/>
        <w:numId w:val="4"/>
      </w:numPr>
      <w:spacing w:before="240"/>
      <w:ind w:left="1440"/>
    </w:pPr>
    <w:rPr>
      <w:szCs w:val="20"/>
    </w:rPr>
  </w:style>
  <w:style w:type="paragraph" w:customStyle="1" w:styleId="Subsection3a">
    <w:name w:val="Subsection 3 (a)"/>
    <w:basedOn w:val="Heading3"/>
    <w:next w:val="Normal"/>
    <w:autoRedefine/>
    <w:pPr>
      <w:numPr>
        <w:ilvl w:val="8"/>
        <w:numId w:val="4"/>
      </w:numPr>
    </w:pPr>
    <w:rPr>
      <w:b/>
      <w:bCs/>
      <w:iCs/>
    </w:rPr>
  </w:style>
  <w:style w:type="paragraph" w:customStyle="1" w:styleId="Outline0021Body">
    <w:name w:val="Outline002_1 Body"/>
    <w:basedOn w:val="Normal"/>
    <w:next w:val="Normal"/>
    <w:pPr>
      <w:numPr>
        <w:ilvl w:val="1"/>
        <w:numId w:val="5"/>
      </w:numPr>
      <w:tabs>
        <w:tab w:val="left" w:pos="0"/>
      </w:tabs>
      <w:autoSpaceDE w:val="0"/>
      <w:autoSpaceDN w:val="0"/>
      <w:adjustRightInd w:val="0"/>
      <w:spacing w:before="240" w:after="0"/>
      <w:jc w:val="both"/>
    </w:pPr>
    <w:rPr>
      <w:bCs/>
    </w:rPr>
  </w:style>
  <w:style w:type="paragraph" w:customStyle="1" w:styleId="Outline0022">
    <w:name w:val="Outline002_2"/>
    <w:basedOn w:val="Normal"/>
    <w:pPr>
      <w:numPr>
        <w:ilvl w:val="2"/>
        <w:numId w:val="5"/>
      </w:numPr>
      <w:tabs>
        <w:tab w:val="left" w:pos="0"/>
      </w:tabs>
      <w:autoSpaceDE w:val="0"/>
      <w:autoSpaceDN w:val="0"/>
      <w:adjustRightInd w:val="0"/>
      <w:spacing w:before="240" w:after="0"/>
      <w:jc w:val="both"/>
      <w:outlineLvl w:val="1"/>
    </w:pPr>
  </w:style>
  <w:style w:type="paragraph" w:customStyle="1" w:styleId="Outline0023">
    <w:name w:val="Outline002_3"/>
    <w:basedOn w:val="Normal"/>
    <w:pPr>
      <w:numPr>
        <w:ilvl w:val="3"/>
        <w:numId w:val="5"/>
      </w:numPr>
      <w:tabs>
        <w:tab w:val="left" w:pos="0"/>
        <w:tab w:val="left" w:pos="1440"/>
      </w:tabs>
      <w:autoSpaceDE w:val="0"/>
      <w:autoSpaceDN w:val="0"/>
      <w:adjustRightInd w:val="0"/>
      <w:spacing w:before="240" w:after="0"/>
      <w:jc w:val="both"/>
      <w:outlineLvl w:val="2"/>
    </w:pPr>
  </w:style>
  <w:style w:type="paragraph" w:customStyle="1" w:styleId="BT5">
    <w:name w:val="BT5"/>
    <w:basedOn w:val="Normal"/>
    <w:pPr>
      <w:widowControl w:val="0"/>
      <w:numPr>
        <w:numId w:val="3"/>
      </w:numPr>
      <w:spacing w:before="240"/>
      <w:ind w:left="720" w:firstLine="0"/>
    </w:pPr>
    <w:rPr>
      <w:color w:val="000000"/>
      <w:szCs w:val="2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link w:val="DocumentMapChar"/>
    <w:semiHidden/>
    <w:pPr>
      <w:shd w:val="clear" w:color="auto" w:fill="000080"/>
      <w:spacing w:after="0"/>
    </w:pPr>
    <w:rPr>
      <w:rFonts w:ascii="Tahoma" w:hAnsi="Tahoma" w:cs="Tahoma"/>
      <w:szCs w:val="20"/>
    </w:rPr>
  </w:style>
  <w:style w:type="character" w:customStyle="1" w:styleId="DocumentMapChar">
    <w:name w:val="Document Map Char"/>
    <w:basedOn w:val="DefaultParagraphFont"/>
    <w:link w:val="DocumentMap"/>
    <w:semiHidden/>
    <w:rPr>
      <w:rFonts w:ascii="Tahoma" w:eastAsiaTheme="minorHAnsi" w:hAnsi="Tahoma" w:cs="Tahoma"/>
      <w:sz w:val="24"/>
      <w:shd w:val="clear" w:color="auto" w:fill="000080"/>
    </w:rPr>
  </w:style>
  <w:style w:type="paragraph" w:customStyle="1" w:styleId="Heading1Article">
    <w:name w:val="Heading 1 Article"/>
    <w:basedOn w:val="Normal"/>
    <w:pPr>
      <w:spacing w:before="240" w:after="0"/>
    </w:pPr>
    <w:rPr>
      <w:szCs w:val="20"/>
    </w:rPr>
  </w:style>
  <w:style w:type="paragraph" w:customStyle="1" w:styleId="Level3withunderscore">
    <w:name w:val="Level 3 with underscore"/>
    <w:basedOn w:val="Normal"/>
    <w:link w:val="Level3withunderscoreChar"/>
    <w:uiPriority w:val="99"/>
    <w:pPr>
      <w:spacing w:before="240" w:after="0"/>
      <w:ind w:left="2160" w:hanging="180"/>
    </w:pPr>
    <w:rPr>
      <w:szCs w:val="20"/>
    </w:rPr>
  </w:style>
  <w:style w:type="paragraph" w:customStyle="1" w:styleId="BodyaCharCharChar1CharCharCharChar">
    <w:name w:val="Body (a) Char Char Char1 Char Char Char Char"/>
    <w:basedOn w:val="Normal"/>
    <w:pPr>
      <w:spacing w:before="240" w:after="0"/>
      <w:ind w:left="1440"/>
    </w:pPr>
    <w:rPr>
      <w:szCs w:val="20"/>
    </w:r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after="0"/>
      <w:ind w:left="1440"/>
    </w:pPr>
    <w:rPr>
      <w:szCs w:val="20"/>
    </w:rPr>
  </w:style>
  <w:style w:type="paragraph" w:customStyle="1" w:styleId="List0">
    <w:name w:val="List 0"/>
    <w:aliases w:val="L0"/>
    <w:basedOn w:val="BodyText"/>
    <w:pPr>
      <w:widowControl w:val="0"/>
      <w:overflowPunct w:val="0"/>
      <w:autoSpaceDE w:val="0"/>
      <w:autoSpaceDN w:val="0"/>
      <w:adjustRightInd w:val="0"/>
      <w:spacing w:before="240" w:after="0"/>
      <w:ind w:hanging="720"/>
      <w:textAlignment w:val="baseline"/>
    </w:pPr>
    <w:rPr>
      <w:rFonts w:ascii="Palatino" w:hAnsi="Palatino"/>
      <w:sz w:val="20"/>
      <w:szCs w:val="20"/>
    </w:rPr>
  </w:style>
  <w:style w:type="paragraph" w:customStyle="1" w:styleId="Level4nounderscore">
    <w:name w:val="Level 4 no underscore"/>
    <w:basedOn w:val="Normal"/>
    <w:uiPriority w:val="99"/>
    <w:pPr>
      <w:spacing w:before="240" w:after="0"/>
      <w:ind w:left="2160" w:hanging="720"/>
    </w:pPr>
    <w:rPr>
      <w:szCs w:val="20"/>
    </w:rPr>
  </w:style>
  <w:style w:type="paragraph" w:customStyle="1" w:styleId="ConfirmNormal">
    <w:name w:val="Confirm Normal"/>
    <w:basedOn w:val="BodyText"/>
    <w:pPr>
      <w:spacing w:after="240"/>
    </w:pPr>
    <w:rPr>
      <w:rFonts w:ascii="Arial" w:hAnsi="Arial" w:cs="Arial"/>
      <w:szCs w:val="20"/>
    </w:rPr>
  </w:style>
  <w:style w:type="paragraph" w:customStyle="1" w:styleId="ConfirmTableTitle">
    <w:name w:val="Confirm Table Title"/>
    <w:basedOn w:val="Normal"/>
    <w:pPr>
      <w:keepNext/>
      <w:tabs>
        <w:tab w:val="left" w:pos="-2160"/>
      </w:tabs>
      <w:spacing w:after="120"/>
      <w:jc w:val="center"/>
    </w:pPr>
    <w:rPr>
      <w:rFonts w:ascii="Arial" w:hAnsi="Arial" w:cs="Arial"/>
      <w:b/>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spacing w:after="0"/>
      <w:jc w:val="center"/>
    </w:pPr>
    <w:rPr>
      <w:rFonts w:ascii="Arial" w:hAnsi="Arial" w:cs="Arial"/>
      <w:sz w:val="18"/>
      <w:szCs w:val="20"/>
    </w:rPr>
  </w:style>
  <w:style w:type="paragraph" w:customStyle="1" w:styleId="ConfirmTableBoldCentered">
    <w:name w:val="Confirm Table Bold Centered"/>
    <w:basedOn w:val="Normal"/>
    <w:pPr>
      <w:keepNext/>
      <w:keepLines/>
      <w:tabs>
        <w:tab w:val="left" w:pos="2160"/>
      </w:tabs>
      <w:spacing w:after="0"/>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pPr>
      <w:numPr>
        <w:numId w:val="46"/>
      </w:numPr>
      <w:tabs>
        <w:tab w:val="clear" w:pos="360"/>
      </w:tabs>
      <w:spacing w:before="240" w:after="0"/>
      <w:ind w:left="0" w:firstLine="0"/>
    </w:pPr>
    <w:rPr>
      <w:szCs w:val="20"/>
    </w:rPr>
  </w:style>
  <w:style w:type="paragraph" w:styleId="NormalWeb">
    <w:name w:val="Normal (Web)"/>
    <w:basedOn w:val="Normal"/>
    <w:pPr>
      <w:spacing w:before="100" w:beforeAutospacing="1" w:after="100" w:afterAutospacing="1"/>
    </w:pPr>
  </w:style>
  <w:style w:type="paragraph" w:customStyle="1" w:styleId="Level2">
    <w:name w:val="Level 2"/>
    <w:aliases w:val="l2"/>
    <w:basedOn w:val="Normal"/>
    <w:pPr>
      <w:numPr>
        <w:numId w:val="45"/>
      </w:numPr>
      <w:spacing w:after="0"/>
    </w:pPr>
    <w:rPr>
      <w:rFonts w:ascii="Arial" w:hAnsi="Arial" w:cs="Arial"/>
      <w:sz w:val="22"/>
      <w:szCs w:val="22"/>
    </w:rPr>
  </w:style>
  <w:style w:type="paragraph" w:customStyle="1" w:styleId="Level3">
    <w:name w:val="Level 3"/>
    <w:aliases w:val="l3"/>
    <w:basedOn w:val="Normal"/>
    <w:pPr>
      <w:numPr>
        <w:ilvl w:val="7"/>
        <w:numId w:val="45"/>
      </w:numPr>
      <w:tabs>
        <w:tab w:val="clear" w:pos="5760"/>
        <w:tab w:val="num" w:pos="1080"/>
      </w:tabs>
      <w:spacing w:after="0"/>
      <w:ind w:left="1080"/>
    </w:pPr>
    <w:rPr>
      <w:rFonts w:ascii="Arial" w:hAnsi="Arial" w:cs="Arial"/>
      <w:sz w:val="22"/>
      <w:szCs w:val="22"/>
    </w:rPr>
  </w:style>
  <w:style w:type="paragraph" w:customStyle="1" w:styleId="AppendixHeading">
    <w:name w:val="Appendix Heading"/>
    <w:basedOn w:val="Normal"/>
    <w:pPr>
      <w:spacing w:after="0"/>
      <w:jc w:val="center"/>
    </w:pPr>
    <w:rPr>
      <w:rFonts w:ascii="Times New Roman Bold" w:hAnsi="Times New Roman Bold"/>
      <w:b/>
      <w:caps/>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spacing w:after="0"/>
    </w:pPr>
    <w:rPr>
      <w:rFonts w:ascii="Calibri" w:eastAsia="SimSun" w:hAnsi="Calibri"/>
      <w:sz w:val="22"/>
      <w:szCs w:val="22"/>
    </w:rPr>
  </w:style>
  <w:style w:type="paragraph" w:customStyle="1" w:styleId="BodyTextContinued">
    <w:name w:val="Body Text Continued"/>
    <w:basedOn w:val="Normal"/>
    <w:next w:val="BodyText"/>
  </w:style>
  <w:style w:type="paragraph" w:customStyle="1" w:styleId="101">
    <w:name w:val="1.01."/>
    <w:basedOn w:val="Normal"/>
    <w:pPr>
      <w:tabs>
        <w:tab w:val="left" w:pos="2160"/>
      </w:tabs>
    </w:pPr>
    <w:rPr>
      <w:szCs w:val="20"/>
    </w:rPr>
  </w:style>
  <w:style w:type="paragraph" w:customStyle="1" w:styleId="1010101">
    <w:name w:val="1.01.01.01"/>
    <w:basedOn w:val="Normal"/>
    <w:pPr>
      <w:ind w:left="2880" w:hanging="1440"/>
    </w:pPr>
    <w:rPr>
      <w:szCs w:val="20"/>
    </w:rPr>
  </w:style>
  <w:style w:type="paragraph" w:customStyle="1" w:styleId="101010101">
    <w:name w:val="1.01.01.01.01"/>
    <w:basedOn w:val="Normal"/>
    <w:pPr>
      <w:tabs>
        <w:tab w:val="left" w:pos="5247"/>
      </w:tabs>
      <w:ind w:left="3600"/>
    </w:pPr>
  </w:style>
  <w:style w:type="paragraph" w:customStyle="1" w:styleId="i">
    <w:name w:val="(i)"/>
    <w:basedOn w:val="Normal"/>
    <w:pPr>
      <w:ind w:left="3600" w:hanging="720"/>
    </w:pPr>
    <w:rPr>
      <w:szCs w:val="20"/>
    </w:rPr>
  </w:style>
  <w:style w:type="paragraph" w:customStyle="1" w:styleId="BodyTextIndent4">
    <w:name w:val="Body Text Indent 4"/>
    <w:basedOn w:val="Normal"/>
    <w:pPr>
      <w:ind w:left="3600"/>
    </w:pPr>
    <w:rPr>
      <w:szCs w:val="20"/>
    </w:rPr>
  </w:style>
  <w:style w:type="paragraph" w:customStyle="1" w:styleId="BodyTextIndent5">
    <w:name w:val="Body Text Indent 5"/>
    <w:basedOn w:val="Normal"/>
    <w:pPr>
      <w:ind w:left="2880"/>
    </w:pPr>
    <w:rPr>
      <w:szCs w:val="20"/>
    </w:rPr>
  </w:style>
  <w:style w:type="paragraph" w:customStyle="1" w:styleId="a">
    <w:name w:val="(a)"/>
    <w:basedOn w:val="Normal"/>
    <w:pPr>
      <w:ind w:left="1440" w:hanging="720"/>
    </w:pPr>
    <w:rPr>
      <w:szCs w:val="20"/>
    </w:rPr>
  </w:style>
  <w:style w:type="paragraph" w:customStyle="1" w:styleId="BodyTextIndent6">
    <w:name w:val="Body Text Indent 6"/>
    <w:basedOn w:val="Normal"/>
    <w:pPr>
      <w:ind w:left="1440"/>
    </w:pPr>
    <w:rPr>
      <w:szCs w:val="20"/>
    </w:rPr>
  </w:style>
  <w:style w:type="paragraph" w:styleId="ListParagraph">
    <w:name w:val="List Paragraph"/>
    <w:basedOn w:val="Normal"/>
    <w:uiPriority w:val="34"/>
    <w:qFormat/>
    <w:pPr>
      <w:widowControl w:val="0"/>
      <w:adjustRightInd w:val="0"/>
      <w:spacing w:after="0" w:line="360" w:lineRule="atLeast"/>
      <w:jc w:val="both"/>
      <w:textAlignment w:val="baseline"/>
    </w:pPr>
    <w:rPr>
      <w:rFonts w:ascii="Arial" w:hAnsi="Arial" w:cs="Arial"/>
      <w:sz w:val="20"/>
      <w:szCs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szCs w:val="20"/>
    </w:rPr>
  </w:style>
  <w:style w:type="paragraph" w:customStyle="1" w:styleId="Level2Underscore">
    <w:name w:val="Level 2 + Underscore"/>
    <w:basedOn w:val="Normal"/>
    <w:link w:val="Level2UnderscoreChar"/>
    <w:autoRedefine/>
    <w:uiPriority w:val="99"/>
    <w:rsid w:val="00C56E4F"/>
    <w:pPr>
      <w:spacing w:before="120" w:after="0"/>
      <w:ind w:left="1440" w:hanging="1440"/>
      <w:outlineLvl w:val="1"/>
    </w:pPr>
    <w:rPr>
      <w:u w:val="single"/>
    </w:rPr>
  </w:style>
  <w:style w:type="character" w:customStyle="1" w:styleId="Level2UnderscoreChar">
    <w:name w:val="Level 2 + Underscore Char"/>
    <w:link w:val="Level2Underscore"/>
    <w:uiPriority w:val="99"/>
    <w:rsid w:val="009930BB"/>
    <w:rPr>
      <w:sz w:val="24"/>
      <w:szCs w:val="24"/>
      <w:u w:val="single"/>
    </w:rPr>
  </w:style>
  <w:style w:type="character" w:customStyle="1" w:styleId="DeltaViewDeletion">
    <w:name w:val="DeltaView Deletion"/>
    <w:uiPriority w:val="99"/>
    <w:rPr>
      <w:strike/>
      <w:color w:val="FF0000"/>
    </w:r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CEB"/>
    <w:pPr>
      <w:spacing w:after="0"/>
      <w:ind w:left="0"/>
    </w:pPr>
    <w:rPr>
      <w:sz w:val="24"/>
      <w:szCs w:val="24"/>
    </w:rPr>
  </w:style>
  <w:style w:type="paragraph" w:customStyle="1" w:styleId="Level5nounderscore">
    <w:name w:val="Level 5 no underscore"/>
    <w:basedOn w:val="Normal"/>
    <w:uiPriority w:val="99"/>
    <w:rsid w:val="00820A39"/>
    <w:pPr>
      <w:tabs>
        <w:tab w:val="num" w:pos="2880"/>
      </w:tabs>
      <w:spacing w:before="240" w:after="0"/>
      <w:ind w:left="2880" w:hanging="720"/>
    </w:pPr>
  </w:style>
  <w:style w:type="character" w:customStyle="1" w:styleId="Heading2Char">
    <w:name w:val="Heading 2 Char"/>
    <w:basedOn w:val="DefaultParagraphFont"/>
    <w:link w:val="Heading2"/>
    <w:uiPriority w:val="9"/>
    <w:rsid w:val="00220046"/>
    <w:rPr>
      <w:rFonts w:eastAsiaTheme="majorEastAsia" w:cstheme="majorBidi"/>
      <w:color w:val="000000" w:themeColor="text1"/>
      <w:sz w:val="24"/>
      <w:szCs w:val="26"/>
      <w:u w:val="single"/>
    </w:rPr>
  </w:style>
  <w:style w:type="table" w:customStyle="1" w:styleId="TableGrid1">
    <w:name w:val="Table Grid1"/>
    <w:basedOn w:val="TableNormal"/>
    <w:next w:val="TableGrid"/>
    <w:uiPriority w:val="59"/>
    <w:rsid w:val="00E50892"/>
    <w:pPr>
      <w:spacing w:after="0"/>
      <w:ind w:lef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semiHidden/>
    <w:rsid w:val="00CB043B"/>
    <w:pPr>
      <w:tabs>
        <w:tab w:val="left" w:pos="480"/>
        <w:tab w:val="left" w:pos="960"/>
        <w:tab w:val="left" w:pos="1440"/>
        <w:tab w:val="left" w:pos="1920"/>
        <w:tab w:val="left" w:pos="2400"/>
        <w:tab w:val="left" w:pos="2880"/>
        <w:tab w:val="left" w:pos="3360"/>
        <w:tab w:val="left" w:pos="3840"/>
        <w:tab w:val="left" w:pos="4320"/>
      </w:tabs>
      <w:spacing w:before="100" w:beforeAutospacing="1" w:after="100" w:afterAutospacing="1"/>
      <w:ind w:left="0"/>
    </w:pPr>
    <w:rPr>
      <w:rFonts w:ascii="Courier New" w:hAnsi="Courier New"/>
    </w:rPr>
  </w:style>
  <w:style w:type="character" w:customStyle="1" w:styleId="MacroTextChar">
    <w:name w:val="Macro Text Char"/>
    <w:basedOn w:val="DefaultParagraphFont"/>
    <w:link w:val="MacroText"/>
    <w:semiHidden/>
    <w:rsid w:val="00CB043B"/>
    <w:rPr>
      <w:rFonts w:ascii="Courier New" w:hAnsi="Courier New"/>
    </w:rPr>
  </w:style>
  <w:style w:type="character" w:customStyle="1" w:styleId="Level3withunderscoreChar">
    <w:name w:val="Level 3 with underscore Char"/>
    <w:link w:val="Level3withunderscore"/>
    <w:uiPriority w:val="99"/>
    <w:rsid w:val="006B794A"/>
    <w:rPr>
      <w:sz w:val="24"/>
    </w:rPr>
  </w:style>
  <w:style w:type="paragraph" w:customStyle="1" w:styleId="StyleHeading1ArticleBoldBefore6pt1">
    <w:name w:val="Style Heading 1 Article + Bold Before:  6 pt1"/>
    <w:basedOn w:val="Heading1Article"/>
    <w:autoRedefine/>
    <w:uiPriority w:val="99"/>
    <w:rsid w:val="00C06D5D"/>
    <w:pPr>
      <w:numPr>
        <w:numId w:val="59"/>
      </w:numPr>
      <w:tabs>
        <w:tab w:val="left" w:pos="3600"/>
      </w:tabs>
      <w:spacing w:before="120" w:beforeAutospacing="1" w:after="100" w:afterAutospacing="1"/>
      <w:ind w:left="2160" w:hanging="2160"/>
      <w:outlineLvl w:val="0"/>
    </w:pPr>
    <w:rPr>
      <w:b/>
      <w:caps/>
      <w:szCs w:val="24"/>
    </w:rPr>
  </w:style>
  <w:style w:type="table" w:customStyle="1" w:styleId="TableGrid2">
    <w:name w:val="Table Grid2"/>
    <w:basedOn w:val="TableNormal"/>
    <w:next w:val="TableGrid"/>
    <w:uiPriority w:val="39"/>
    <w:rsid w:val="00072F86"/>
    <w:pPr>
      <w:spacing w:before="100" w:beforeAutospacing="1" w:after="100" w:afterAutospacing="1"/>
      <w:ind w:left="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CE">
    <w:name w:val="Heading 1 SCE"/>
    <w:basedOn w:val="Normal"/>
    <w:link w:val="Heading1SCEChar"/>
    <w:qFormat/>
    <w:rsid w:val="008B5509"/>
    <w:pPr>
      <w:widowControl w:val="0"/>
      <w:tabs>
        <w:tab w:val="left" w:pos="720"/>
        <w:tab w:val="left" w:pos="1440"/>
        <w:tab w:val="left" w:pos="2160"/>
        <w:tab w:val="left" w:pos="2880"/>
        <w:tab w:val="left" w:pos="3600"/>
        <w:tab w:val="left" w:pos="4860"/>
      </w:tabs>
      <w:spacing w:before="240"/>
      <w:ind w:left="4320" w:hanging="4320"/>
    </w:pPr>
    <w:rPr>
      <w:rFonts w:ascii="Times New Roman Bold" w:hAnsi="Times New Roman Bold"/>
      <w:b/>
      <w:caps/>
    </w:rPr>
  </w:style>
  <w:style w:type="character" w:customStyle="1" w:styleId="Heading1SCEChar">
    <w:name w:val="Heading 1 SCE Char"/>
    <w:basedOn w:val="DefaultParagraphFont"/>
    <w:link w:val="Heading1SCE"/>
    <w:rsid w:val="008B5509"/>
    <w:rPr>
      <w:rFonts w:ascii="Times New Roman Bold" w:hAnsi="Times New Roman Bold"/>
      <w:b/>
      <w:caps/>
      <w:sz w:val="24"/>
      <w:szCs w:val="24"/>
    </w:rPr>
  </w:style>
  <w:style w:type="paragraph" w:customStyle="1" w:styleId="Heading1SCEText">
    <w:name w:val="Heading 1 SCE Text"/>
    <w:basedOn w:val="Normal"/>
    <w:link w:val="Heading1SCETextChar"/>
    <w:qFormat/>
    <w:rsid w:val="008B5509"/>
    <w:rPr>
      <w:rFonts w:ascii="Times New Roman Bold" w:hAnsi="Times New Roman Bold"/>
    </w:rPr>
  </w:style>
  <w:style w:type="character" w:customStyle="1" w:styleId="Heading1SCETextChar">
    <w:name w:val="Heading 1 SCE Text Char"/>
    <w:basedOn w:val="Heading1SCEChar"/>
    <w:link w:val="Heading1SCEText"/>
    <w:rsid w:val="008B5509"/>
    <w:rPr>
      <w:rFonts w:ascii="Times New Roman Bold" w:eastAsiaTheme="minorHAnsi" w:hAnsi="Times New Roman Bold"/>
      <w:b w:val="0"/>
      <w:caps w:val="0"/>
      <w:sz w:val="24"/>
      <w:szCs w:val="24"/>
    </w:rPr>
  </w:style>
  <w:style w:type="paragraph" w:customStyle="1" w:styleId="Heading2SCE">
    <w:name w:val="Heading 2 SCE"/>
    <w:basedOn w:val="Heading2"/>
    <w:link w:val="Heading2SCEChar"/>
    <w:qFormat/>
    <w:rsid w:val="008B5509"/>
    <w:pPr>
      <w:keepNext w:val="0"/>
      <w:widowControl w:val="0"/>
      <w:tabs>
        <w:tab w:val="left" w:pos="1440"/>
      </w:tabs>
      <w:ind w:left="720" w:right="446" w:hanging="720"/>
    </w:pPr>
    <w:rPr>
      <w:rFonts w:eastAsia="Fd177276-Identity-H"/>
      <w:b/>
      <w:bCs/>
      <w:caps/>
    </w:rPr>
  </w:style>
  <w:style w:type="character" w:customStyle="1" w:styleId="Heading2SCEChar">
    <w:name w:val="Heading 2 SCE Char"/>
    <w:basedOn w:val="Heading2Char"/>
    <w:link w:val="Heading2SCE"/>
    <w:rsid w:val="008B5509"/>
    <w:rPr>
      <w:rFonts w:eastAsia="Fd177276-Identity-H" w:cstheme="majorBidi"/>
      <w:b/>
      <w:bCs/>
      <w:caps/>
      <w:color w:val="000000" w:themeColor="text1"/>
      <w:sz w:val="24"/>
      <w:szCs w:val="26"/>
      <w:u w:val="single"/>
    </w:rPr>
  </w:style>
  <w:style w:type="paragraph" w:customStyle="1" w:styleId="Heading2SCEText">
    <w:name w:val="Heading 2 SCE Text"/>
    <w:basedOn w:val="Normal"/>
    <w:qFormat/>
    <w:rsid w:val="008B5509"/>
    <w:pPr>
      <w:tabs>
        <w:tab w:val="left" w:leader="dot" w:pos="720"/>
      </w:tabs>
      <w:spacing w:before="240"/>
    </w:pPr>
  </w:style>
  <w:style w:type="paragraph" w:customStyle="1" w:styleId="Heading3SCE">
    <w:name w:val="Heading 3 SCE"/>
    <w:basedOn w:val="Normal"/>
    <w:qFormat/>
    <w:rsid w:val="008B5509"/>
    <w:pPr>
      <w:numPr>
        <w:ilvl w:val="2"/>
        <w:numId w:val="87"/>
      </w:numPr>
      <w:spacing w:before="240"/>
      <w:outlineLvl w:val="0"/>
    </w:pPr>
  </w:style>
  <w:style w:type="paragraph" w:customStyle="1" w:styleId="Heading3SCEText">
    <w:name w:val="Heading 3 SCE Text"/>
    <w:basedOn w:val="Normal"/>
    <w:qFormat/>
    <w:rsid w:val="008B5509"/>
    <w:pPr>
      <w:tabs>
        <w:tab w:val="left" w:leader="dot" w:pos="720"/>
      </w:tabs>
      <w:spacing w:before="240"/>
      <w:ind w:left="1440"/>
      <w:outlineLvl w:val="0"/>
    </w:pPr>
  </w:style>
  <w:style w:type="paragraph" w:customStyle="1" w:styleId="Heading4SCE">
    <w:name w:val="Heading 4 SCE"/>
    <w:basedOn w:val="Normal"/>
    <w:qFormat/>
    <w:rsid w:val="00477BAF"/>
    <w:pPr>
      <w:numPr>
        <w:ilvl w:val="3"/>
        <w:numId w:val="87"/>
      </w:numPr>
      <w:tabs>
        <w:tab w:val="left" w:pos="720"/>
      </w:tabs>
      <w:spacing w:before="240"/>
    </w:pPr>
  </w:style>
  <w:style w:type="paragraph" w:customStyle="1" w:styleId="Heading4SCEText">
    <w:name w:val="Heading 4 SCE Text"/>
    <w:basedOn w:val="Normal"/>
    <w:qFormat/>
    <w:rsid w:val="008B5509"/>
    <w:pPr>
      <w:tabs>
        <w:tab w:val="left" w:leader="dot" w:pos="720"/>
      </w:tabs>
      <w:spacing w:before="240"/>
      <w:ind w:left="2016"/>
      <w:outlineLvl w:val="2"/>
    </w:pPr>
  </w:style>
  <w:style w:type="paragraph" w:customStyle="1" w:styleId="Heading5SCE">
    <w:name w:val="Heading 5 SCE"/>
    <w:basedOn w:val="Normal"/>
    <w:qFormat/>
    <w:rsid w:val="008B5509"/>
    <w:pPr>
      <w:numPr>
        <w:ilvl w:val="4"/>
        <w:numId w:val="87"/>
      </w:numPr>
      <w:tabs>
        <w:tab w:val="left" w:pos="720"/>
      </w:tabs>
      <w:spacing w:before="240"/>
    </w:pPr>
  </w:style>
  <w:style w:type="paragraph" w:customStyle="1" w:styleId="Heading5SCEText">
    <w:name w:val="Heading 5 SCE Text"/>
    <w:basedOn w:val="Normal"/>
    <w:qFormat/>
    <w:rsid w:val="008B5509"/>
    <w:pPr>
      <w:spacing w:before="240"/>
      <w:ind w:left="2736"/>
    </w:pPr>
  </w:style>
  <w:style w:type="character" w:customStyle="1" w:styleId="Heading1Char">
    <w:name w:val="Heading 1 Char"/>
    <w:basedOn w:val="DefaultParagraphFont"/>
    <w:link w:val="Heading1"/>
    <w:uiPriority w:val="9"/>
    <w:rsid w:val="00550F51"/>
    <w:rPr>
      <w:rFonts w:ascii="Times New Roman Bold" w:eastAsiaTheme="majorEastAsia" w:hAnsi="Times New Roman Bold" w:cstheme="majorBidi"/>
      <w:b/>
      <w:caps/>
      <w:color w:val="000000" w:themeColor="text1"/>
      <w:sz w:val="24"/>
      <w:szCs w:val="32"/>
    </w:rPr>
  </w:style>
  <w:style w:type="character" w:customStyle="1" w:styleId="Heading2TextChar">
    <w:name w:val="Heading 2 Text Char"/>
    <w:basedOn w:val="Heading2Char"/>
    <w:link w:val="Heading2Text"/>
    <w:rsid w:val="00220046"/>
    <w:rPr>
      <w:rFonts w:eastAsiaTheme="majorEastAsia" w:cstheme="majorBidi"/>
      <w:color w:val="000000" w:themeColor="text1"/>
      <w:sz w:val="24"/>
      <w:szCs w:val="26"/>
      <w:u w:val="single"/>
    </w:rPr>
  </w:style>
  <w:style w:type="character" w:customStyle="1" w:styleId="Heading3Char">
    <w:name w:val="Heading 3 Char"/>
    <w:basedOn w:val="DefaultParagraphFont"/>
    <w:link w:val="Heading3"/>
    <w:uiPriority w:val="9"/>
    <w:rsid w:val="009B2ACF"/>
    <w:rPr>
      <w:rFonts w:eastAsiaTheme="majorEastAsia" w:cstheme="majorBidi"/>
      <w:color w:val="000000" w:themeColor="text1"/>
      <w:sz w:val="24"/>
      <w:szCs w:val="26"/>
    </w:rPr>
  </w:style>
  <w:style w:type="character" w:customStyle="1" w:styleId="Heading4Char">
    <w:name w:val="Heading 4 Char"/>
    <w:basedOn w:val="DefaultParagraphFont"/>
    <w:link w:val="Heading4"/>
    <w:uiPriority w:val="9"/>
    <w:rsid w:val="00897FCC"/>
    <w:rPr>
      <w:rFonts w:eastAsiaTheme="majorEastAsia" w:cstheme="majorBidi"/>
      <w:iCs/>
      <w:color w:val="000000" w:themeColor="text1"/>
      <w:sz w:val="24"/>
      <w:szCs w:val="26"/>
    </w:rPr>
  </w:style>
  <w:style w:type="character" w:customStyle="1" w:styleId="Heading5Char">
    <w:name w:val="Heading 5 Char"/>
    <w:basedOn w:val="DefaultParagraphFont"/>
    <w:link w:val="Heading5"/>
    <w:uiPriority w:val="9"/>
    <w:rsid w:val="00220046"/>
    <w:rPr>
      <w:rFonts w:eastAsiaTheme="majorEastAsia" w:cstheme="majorBidi"/>
      <w:iCs/>
      <w:color w:val="000000" w:themeColor="text1"/>
      <w:sz w:val="24"/>
      <w:szCs w:val="26"/>
    </w:rPr>
  </w:style>
  <w:style w:type="paragraph" w:customStyle="1" w:styleId="Definition">
    <w:name w:val="Definition"/>
    <w:basedOn w:val="Heading1Text"/>
    <w:qFormat/>
    <w:rsid w:val="001C093A"/>
  </w:style>
  <w:style w:type="character" w:customStyle="1" w:styleId="Heading6Char">
    <w:name w:val="Heading 6 Char"/>
    <w:basedOn w:val="DefaultParagraphFont"/>
    <w:link w:val="Heading6"/>
    <w:uiPriority w:val="9"/>
    <w:rsid w:val="00657DB3"/>
    <w:rPr>
      <w:rFonts w:eastAsiaTheme="majorEastAsia" w:cstheme="majorBidi"/>
      <w:bCs/>
      <w:iCs/>
      <w:color w:val="000000" w:themeColor="text1"/>
      <w:sz w:val="24"/>
      <w:szCs w:val="24"/>
    </w:rPr>
  </w:style>
  <w:style w:type="numbering" w:customStyle="1" w:styleId="Headings">
    <w:name w:val="Headings"/>
    <w:uiPriority w:val="99"/>
    <w:rsid w:val="00657DB3"/>
    <w:pPr>
      <w:numPr>
        <w:numId w:val="130"/>
      </w:numPr>
    </w:pPr>
  </w:style>
  <w:style w:type="paragraph" w:customStyle="1" w:styleId="CharChar">
    <w:name w:val="Char Char"/>
    <w:basedOn w:val="Normal"/>
    <w:rsid w:val="00863621"/>
    <w:pPr>
      <w:spacing w:after="240" w:line="240" w:lineRule="auto"/>
      <w:ind w:firstLine="720"/>
      <w:jc w:val="both"/>
    </w:pPr>
    <w:rPr>
      <w:rFonts w:eastAsia="Times New Roman"/>
    </w:rPr>
  </w:style>
  <w:style w:type="paragraph" w:customStyle="1" w:styleId="LetterBody">
    <w:name w:val="Letter::Body"/>
    <w:basedOn w:val="Normal"/>
    <w:qFormat/>
    <w:rsid w:val="008910F8"/>
    <w:pPr>
      <w:spacing w:after="0" w:line="240" w:lineRule="auto"/>
      <w:ind w:left="360"/>
    </w:pPr>
    <w:rPr>
      <w:rFonts w:ascii="Calibri" w:eastAsia="Times New Roman"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7006">
      <w:bodyDiv w:val="1"/>
      <w:marLeft w:val="0"/>
      <w:marRight w:val="0"/>
      <w:marTop w:val="0"/>
      <w:marBottom w:val="0"/>
      <w:divBdr>
        <w:top w:val="none" w:sz="0" w:space="0" w:color="auto"/>
        <w:left w:val="none" w:sz="0" w:space="0" w:color="auto"/>
        <w:bottom w:val="none" w:sz="0" w:space="0" w:color="auto"/>
        <w:right w:val="none" w:sz="0" w:space="0" w:color="auto"/>
      </w:divBdr>
    </w:div>
    <w:div w:id="161505712">
      <w:bodyDiv w:val="1"/>
      <w:marLeft w:val="0"/>
      <w:marRight w:val="0"/>
      <w:marTop w:val="0"/>
      <w:marBottom w:val="0"/>
      <w:divBdr>
        <w:top w:val="none" w:sz="0" w:space="0" w:color="auto"/>
        <w:left w:val="none" w:sz="0" w:space="0" w:color="auto"/>
        <w:bottom w:val="none" w:sz="0" w:space="0" w:color="auto"/>
        <w:right w:val="none" w:sz="0" w:space="0" w:color="auto"/>
      </w:divBdr>
    </w:div>
    <w:div w:id="175851571">
      <w:bodyDiv w:val="1"/>
      <w:marLeft w:val="0"/>
      <w:marRight w:val="0"/>
      <w:marTop w:val="0"/>
      <w:marBottom w:val="0"/>
      <w:divBdr>
        <w:top w:val="none" w:sz="0" w:space="0" w:color="auto"/>
        <w:left w:val="none" w:sz="0" w:space="0" w:color="auto"/>
        <w:bottom w:val="none" w:sz="0" w:space="0" w:color="auto"/>
        <w:right w:val="none" w:sz="0" w:space="0" w:color="auto"/>
      </w:divBdr>
    </w:div>
    <w:div w:id="185826610">
      <w:bodyDiv w:val="1"/>
      <w:marLeft w:val="0"/>
      <w:marRight w:val="0"/>
      <w:marTop w:val="0"/>
      <w:marBottom w:val="0"/>
      <w:divBdr>
        <w:top w:val="none" w:sz="0" w:space="0" w:color="auto"/>
        <w:left w:val="none" w:sz="0" w:space="0" w:color="auto"/>
        <w:bottom w:val="none" w:sz="0" w:space="0" w:color="auto"/>
        <w:right w:val="none" w:sz="0" w:space="0" w:color="auto"/>
      </w:divBdr>
    </w:div>
    <w:div w:id="209924835">
      <w:bodyDiv w:val="1"/>
      <w:marLeft w:val="0"/>
      <w:marRight w:val="0"/>
      <w:marTop w:val="0"/>
      <w:marBottom w:val="0"/>
      <w:divBdr>
        <w:top w:val="none" w:sz="0" w:space="0" w:color="auto"/>
        <w:left w:val="none" w:sz="0" w:space="0" w:color="auto"/>
        <w:bottom w:val="none" w:sz="0" w:space="0" w:color="auto"/>
        <w:right w:val="none" w:sz="0" w:space="0" w:color="auto"/>
      </w:divBdr>
    </w:div>
    <w:div w:id="388766331">
      <w:bodyDiv w:val="1"/>
      <w:marLeft w:val="0"/>
      <w:marRight w:val="0"/>
      <w:marTop w:val="0"/>
      <w:marBottom w:val="0"/>
      <w:divBdr>
        <w:top w:val="none" w:sz="0" w:space="0" w:color="auto"/>
        <w:left w:val="none" w:sz="0" w:space="0" w:color="auto"/>
        <w:bottom w:val="none" w:sz="0" w:space="0" w:color="auto"/>
        <w:right w:val="none" w:sz="0" w:space="0" w:color="auto"/>
      </w:divBdr>
    </w:div>
    <w:div w:id="399524772">
      <w:bodyDiv w:val="1"/>
      <w:marLeft w:val="0"/>
      <w:marRight w:val="0"/>
      <w:marTop w:val="0"/>
      <w:marBottom w:val="0"/>
      <w:divBdr>
        <w:top w:val="none" w:sz="0" w:space="0" w:color="auto"/>
        <w:left w:val="none" w:sz="0" w:space="0" w:color="auto"/>
        <w:bottom w:val="none" w:sz="0" w:space="0" w:color="auto"/>
        <w:right w:val="none" w:sz="0" w:space="0" w:color="auto"/>
      </w:divBdr>
    </w:div>
    <w:div w:id="405301240">
      <w:bodyDiv w:val="1"/>
      <w:marLeft w:val="0"/>
      <w:marRight w:val="0"/>
      <w:marTop w:val="0"/>
      <w:marBottom w:val="0"/>
      <w:divBdr>
        <w:top w:val="none" w:sz="0" w:space="0" w:color="auto"/>
        <w:left w:val="none" w:sz="0" w:space="0" w:color="auto"/>
        <w:bottom w:val="none" w:sz="0" w:space="0" w:color="auto"/>
        <w:right w:val="none" w:sz="0" w:space="0" w:color="auto"/>
      </w:divBdr>
    </w:div>
    <w:div w:id="498351016">
      <w:bodyDiv w:val="1"/>
      <w:marLeft w:val="0"/>
      <w:marRight w:val="0"/>
      <w:marTop w:val="0"/>
      <w:marBottom w:val="0"/>
      <w:divBdr>
        <w:top w:val="none" w:sz="0" w:space="0" w:color="auto"/>
        <w:left w:val="none" w:sz="0" w:space="0" w:color="auto"/>
        <w:bottom w:val="none" w:sz="0" w:space="0" w:color="auto"/>
        <w:right w:val="none" w:sz="0" w:space="0" w:color="auto"/>
      </w:divBdr>
    </w:div>
    <w:div w:id="604266403">
      <w:bodyDiv w:val="1"/>
      <w:marLeft w:val="0"/>
      <w:marRight w:val="0"/>
      <w:marTop w:val="0"/>
      <w:marBottom w:val="0"/>
      <w:divBdr>
        <w:top w:val="none" w:sz="0" w:space="0" w:color="auto"/>
        <w:left w:val="none" w:sz="0" w:space="0" w:color="auto"/>
        <w:bottom w:val="none" w:sz="0" w:space="0" w:color="auto"/>
        <w:right w:val="none" w:sz="0" w:space="0" w:color="auto"/>
      </w:divBdr>
    </w:div>
    <w:div w:id="621423657">
      <w:bodyDiv w:val="1"/>
      <w:marLeft w:val="0"/>
      <w:marRight w:val="0"/>
      <w:marTop w:val="0"/>
      <w:marBottom w:val="0"/>
      <w:divBdr>
        <w:top w:val="none" w:sz="0" w:space="0" w:color="auto"/>
        <w:left w:val="none" w:sz="0" w:space="0" w:color="auto"/>
        <w:bottom w:val="none" w:sz="0" w:space="0" w:color="auto"/>
        <w:right w:val="none" w:sz="0" w:space="0" w:color="auto"/>
      </w:divBdr>
    </w:div>
    <w:div w:id="649097869">
      <w:bodyDiv w:val="1"/>
      <w:marLeft w:val="0"/>
      <w:marRight w:val="0"/>
      <w:marTop w:val="0"/>
      <w:marBottom w:val="0"/>
      <w:divBdr>
        <w:top w:val="none" w:sz="0" w:space="0" w:color="auto"/>
        <w:left w:val="none" w:sz="0" w:space="0" w:color="auto"/>
        <w:bottom w:val="none" w:sz="0" w:space="0" w:color="auto"/>
        <w:right w:val="none" w:sz="0" w:space="0" w:color="auto"/>
      </w:divBdr>
    </w:div>
    <w:div w:id="659776060">
      <w:bodyDiv w:val="1"/>
      <w:marLeft w:val="0"/>
      <w:marRight w:val="0"/>
      <w:marTop w:val="0"/>
      <w:marBottom w:val="0"/>
      <w:divBdr>
        <w:top w:val="none" w:sz="0" w:space="0" w:color="auto"/>
        <w:left w:val="none" w:sz="0" w:space="0" w:color="auto"/>
        <w:bottom w:val="none" w:sz="0" w:space="0" w:color="auto"/>
        <w:right w:val="none" w:sz="0" w:space="0" w:color="auto"/>
      </w:divBdr>
    </w:div>
    <w:div w:id="713849408">
      <w:bodyDiv w:val="1"/>
      <w:marLeft w:val="0"/>
      <w:marRight w:val="0"/>
      <w:marTop w:val="0"/>
      <w:marBottom w:val="0"/>
      <w:divBdr>
        <w:top w:val="none" w:sz="0" w:space="0" w:color="auto"/>
        <w:left w:val="none" w:sz="0" w:space="0" w:color="auto"/>
        <w:bottom w:val="none" w:sz="0" w:space="0" w:color="auto"/>
        <w:right w:val="none" w:sz="0" w:space="0" w:color="auto"/>
      </w:divBdr>
    </w:div>
    <w:div w:id="796534476">
      <w:bodyDiv w:val="1"/>
      <w:marLeft w:val="0"/>
      <w:marRight w:val="0"/>
      <w:marTop w:val="0"/>
      <w:marBottom w:val="0"/>
      <w:divBdr>
        <w:top w:val="none" w:sz="0" w:space="0" w:color="auto"/>
        <w:left w:val="none" w:sz="0" w:space="0" w:color="auto"/>
        <w:bottom w:val="none" w:sz="0" w:space="0" w:color="auto"/>
        <w:right w:val="none" w:sz="0" w:space="0" w:color="auto"/>
      </w:divBdr>
    </w:div>
    <w:div w:id="799736425">
      <w:bodyDiv w:val="1"/>
      <w:marLeft w:val="0"/>
      <w:marRight w:val="0"/>
      <w:marTop w:val="0"/>
      <w:marBottom w:val="0"/>
      <w:divBdr>
        <w:top w:val="none" w:sz="0" w:space="0" w:color="auto"/>
        <w:left w:val="none" w:sz="0" w:space="0" w:color="auto"/>
        <w:bottom w:val="none" w:sz="0" w:space="0" w:color="auto"/>
        <w:right w:val="none" w:sz="0" w:space="0" w:color="auto"/>
      </w:divBdr>
    </w:div>
    <w:div w:id="859662473">
      <w:bodyDiv w:val="1"/>
      <w:marLeft w:val="0"/>
      <w:marRight w:val="0"/>
      <w:marTop w:val="0"/>
      <w:marBottom w:val="0"/>
      <w:divBdr>
        <w:top w:val="none" w:sz="0" w:space="0" w:color="auto"/>
        <w:left w:val="none" w:sz="0" w:space="0" w:color="auto"/>
        <w:bottom w:val="none" w:sz="0" w:space="0" w:color="auto"/>
        <w:right w:val="none" w:sz="0" w:space="0" w:color="auto"/>
      </w:divBdr>
    </w:div>
    <w:div w:id="897209514">
      <w:bodyDiv w:val="1"/>
      <w:marLeft w:val="0"/>
      <w:marRight w:val="0"/>
      <w:marTop w:val="0"/>
      <w:marBottom w:val="0"/>
      <w:divBdr>
        <w:top w:val="none" w:sz="0" w:space="0" w:color="auto"/>
        <w:left w:val="none" w:sz="0" w:space="0" w:color="auto"/>
        <w:bottom w:val="none" w:sz="0" w:space="0" w:color="auto"/>
        <w:right w:val="none" w:sz="0" w:space="0" w:color="auto"/>
      </w:divBdr>
    </w:div>
    <w:div w:id="978415353">
      <w:bodyDiv w:val="1"/>
      <w:marLeft w:val="0"/>
      <w:marRight w:val="0"/>
      <w:marTop w:val="0"/>
      <w:marBottom w:val="0"/>
      <w:divBdr>
        <w:top w:val="none" w:sz="0" w:space="0" w:color="auto"/>
        <w:left w:val="none" w:sz="0" w:space="0" w:color="auto"/>
        <w:bottom w:val="none" w:sz="0" w:space="0" w:color="auto"/>
        <w:right w:val="none" w:sz="0" w:space="0" w:color="auto"/>
      </w:divBdr>
    </w:div>
    <w:div w:id="1001813684">
      <w:bodyDiv w:val="1"/>
      <w:marLeft w:val="0"/>
      <w:marRight w:val="0"/>
      <w:marTop w:val="0"/>
      <w:marBottom w:val="0"/>
      <w:divBdr>
        <w:top w:val="none" w:sz="0" w:space="0" w:color="auto"/>
        <w:left w:val="none" w:sz="0" w:space="0" w:color="auto"/>
        <w:bottom w:val="none" w:sz="0" w:space="0" w:color="auto"/>
        <w:right w:val="none" w:sz="0" w:space="0" w:color="auto"/>
      </w:divBdr>
    </w:div>
    <w:div w:id="1019744012">
      <w:bodyDiv w:val="1"/>
      <w:marLeft w:val="0"/>
      <w:marRight w:val="0"/>
      <w:marTop w:val="0"/>
      <w:marBottom w:val="0"/>
      <w:divBdr>
        <w:top w:val="none" w:sz="0" w:space="0" w:color="auto"/>
        <w:left w:val="none" w:sz="0" w:space="0" w:color="auto"/>
        <w:bottom w:val="none" w:sz="0" w:space="0" w:color="auto"/>
        <w:right w:val="none" w:sz="0" w:space="0" w:color="auto"/>
      </w:divBdr>
    </w:div>
    <w:div w:id="1055736704">
      <w:bodyDiv w:val="1"/>
      <w:marLeft w:val="0"/>
      <w:marRight w:val="0"/>
      <w:marTop w:val="0"/>
      <w:marBottom w:val="0"/>
      <w:divBdr>
        <w:top w:val="none" w:sz="0" w:space="0" w:color="auto"/>
        <w:left w:val="none" w:sz="0" w:space="0" w:color="auto"/>
        <w:bottom w:val="none" w:sz="0" w:space="0" w:color="auto"/>
        <w:right w:val="none" w:sz="0" w:space="0" w:color="auto"/>
      </w:divBdr>
    </w:div>
    <w:div w:id="1110319726">
      <w:bodyDiv w:val="1"/>
      <w:marLeft w:val="0"/>
      <w:marRight w:val="0"/>
      <w:marTop w:val="0"/>
      <w:marBottom w:val="0"/>
      <w:divBdr>
        <w:top w:val="none" w:sz="0" w:space="0" w:color="auto"/>
        <w:left w:val="none" w:sz="0" w:space="0" w:color="auto"/>
        <w:bottom w:val="none" w:sz="0" w:space="0" w:color="auto"/>
        <w:right w:val="none" w:sz="0" w:space="0" w:color="auto"/>
      </w:divBdr>
    </w:div>
    <w:div w:id="1123688608">
      <w:bodyDiv w:val="1"/>
      <w:marLeft w:val="0"/>
      <w:marRight w:val="0"/>
      <w:marTop w:val="0"/>
      <w:marBottom w:val="0"/>
      <w:divBdr>
        <w:top w:val="none" w:sz="0" w:space="0" w:color="auto"/>
        <w:left w:val="none" w:sz="0" w:space="0" w:color="auto"/>
        <w:bottom w:val="none" w:sz="0" w:space="0" w:color="auto"/>
        <w:right w:val="none" w:sz="0" w:space="0" w:color="auto"/>
      </w:divBdr>
    </w:div>
    <w:div w:id="1140729633">
      <w:bodyDiv w:val="1"/>
      <w:marLeft w:val="0"/>
      <w:marRight w:val="0"/>
      <w:marTop w:val="0"/>
      <w:marBottom w:val="0"/>
      <w:divBdr>
        <w:top w:val="none" w:sz="0" w:space="0" w:color="auto"/>
        <w:left w:val="none" w:sz="0" w:space="0" w:color="auto"/>
        <w:bottom w:val="none" w:sz="0" w:space="0" w:color="auto"/>
        <w:right w:val="none" w:sz="0" w:space="0" w:color="auto"/>
      </w:divBdr>
    </w:div>
    <w:div w:id="1195539918">
      <w:bodyDiv w:val="1"/>
      <w:marLeft w:val="0"/>
      <w:marRight w:val="0"/>
      <w:marTop w:val="0"/>
      <w:marBottom w:val="0"/>
      <w:divBdr>
        <w:top w:val="none" w:sz="0" w:space="0" w:color="auto"/>
        <w:left w:val="none" w:sz="0" w:space="0" w:color="auto"/>
        <w:bottom w:val="none" w:sz="0" w:space="0" w:color="auto"/>
        <w:right w:val="none" w:sz="0" w:space="0" w:color="auto"/>
      </w:divBdr>
    </w:div>
    <w:div w:id="1338270763">
      <w:bodyDiv w:val="1"/>
      <w:marLeft w:val="0"/>
      <w:marRight w:val="0"/>
      <w:marTop w:val="0"/>
      <w:marBottom w:val="0"/>
      <w:divBdr>
        <w:top w:val="none" w:sz="0" w:space="0" w:color="auto"/>
        <w:left w:val="none" w:sz="0" w:space="0" w:color="auto"/>
        <w:bottom w:val="none" w:sz="0" w:space="0" w:color="auto"/>
        <w:right w:val="none" w:sz="0" w:space="0" w:color="auto"/>
      </w:divBdr>
    </w:div>
    <w:div w:id="1355811796">
      <w:bodyDiv w:val="1"/>
      <w:marLeft w:val="0"/>
      <w:marRight w:val="0"/>
      <w:marTop w:val="0"/>
      <w:marBottom w:val="0"/>
      <w:divBdr>
        <w:top w:val="none" w:sz="0" w:space="0" w:color="auto"/>
        <w:left w:val="none" w:sz="0" w:space="0" w:color="auto"/>
        <w:bottom w:val="none" w:sz="0" w:space="0" w:color="auto"/>
        <w:right w:val="none" w:sz="0" w:space="0" w:color="auto"/>
      </w:divBdr>
    </w:div>
    <w:div w:id="1392539762">
      <w:bodyDiv w:val="1"/>
      <w:marLeft w:val="0"/>
      <w:marRight w:val="0"/>
      <w:marTop w:val="0"/>
      <w:marBottom w:val="0"/>
      <w:divBdr>
        <w:top w:val="none" w:sz="0" w:space="0" w:color="auto"/>
        <w:left w:val="none" w:sz="0" w:space="0" w:color="auto"/>
        <w:bottom w:val="none" w:sz="0" w:space="0" w:color="auto"/>
        <w:right w:val="none" w:sz="0" w:space="0" w:color="auto"/>
      </w:divBdr>
    </w:div>
    <w:div w:id="1414007417">
      <w:bodyDiv w:val="1"/>
      <w:marLeft w:val="0"/>
      <w:marRight w:val="0"/>
      <w:marTop w:val="0"/>
      <w:marBottom w:val="0"/>
      <w:divBdr>
        <w:top w:val="none" w:sz="0" w:space="0" w:color="auto"/>
        <w:left w:val="none" w:sz="0" w:space="0" w:color="auto"/>
        <w:bottom w:val="none" w:sz="0" w:space="0" w:color="auto"/>
        <w:right w:val="none" w:sz="0" w:space="0" w:color="auto"/>
      </w:divBdr>
    </w:div>
    <w:div w:id="1471366588">
      <w:bodyDiv w:val="1"/>
      <w:marLeft w:val="0"/>
      <w:marRight w:val="0"/>
      <w:marTop w:val="0"/>
      <w:marBottom w:val="0"/>
      <w:divBdr>
        <w:top w:val="none" w:sz="0" w:space="0" w:color="auto"/>
        <w:left w:val="none" w:sz="0" w:space="0" w:color="auto"/>
        <w:bottom w:val="none" w:sz="0" w:space="0" w:color="auto"/>
        <w:right w:val="none" w:sz="0" w:space="0" w:color="auto"/>
      </w:divBdr>
    </w:div>
    <w:div w:id="1588420822">
      <w:bodyDiv w:val="1"/>
      <w:marLeft w:val="0"/>
      <w:marRight w:val="0"/>
      <w:marTop w:val="0"/>
      <w:marBottom w:val="0"/>
      <w:divBdr>
        <w:top w:val="none" w:sz="0" w:space="0" w:color="auto"/>
        <w:left w:val="none" w:sz="0" w:space="0" w:color="auto"/>
        <w:bottom w:val="none" w:sz="0" w:space="0" w:color="auto"/>
        <w:right w:val="none" w:sz="0" w:space="0" w:color="auto"/>
      </w:divBdr>
    </w:div>
    <w:div w:id="1688675395">
      <w:bodyDiv w:val="1"/>
      <w:marLeft w:val="0"/>
      <w:marRight w:val="0"/>
      <w:marTop w:val="0"/>
      <w:marBottom w:val="0"/>
      <w:divBdr>
        <w:top w:val="none" w:sz="0" w:space="0" w:color="auto"/>
        <w:left w:val="none" w:sz="0" w:space="0" w:color="auto"/>
        <w:bottom w:val="none" w:sz="0" w:space="0" w:color="auto"/>
        <w:right w:val="none" w:sz="0" w:space="0" w:color="auto"/>
      </w:divBdr>
    </w:div>
    <w:div w:id="1689529114">
      <w:bodyDiv w:val="1"/>
      <w:marLeft w:val="0"/>
      <w:marRight w:val="0"/>
      <w:marTop w:val="0"/>
      <w:marBottom w:val="0"/>
      <w:divBdr>
        <w:top w:val="none" w:sz="0" w:space="0" w:color="auto"/>
        <w:left w:val="none" w:sz="0" w:space="0" w:color="auto"/>
        <w:bottom w:val="none" w:sz="0" w:space="0" w:color="auto"/>
        <w:right w:val="none" w:sz="0" w:space="0" w:color="auto"/>
      </w:divBdr>
    </w:div>
    <w:div w:id="1722247113">
      <w:bodyDiv w:val="1"/>
      <w:marLeft w:val="0"/>
      <w:marRight w:val="0"/>
      <w:marTop w:val="0"/>
      <w:marBottom w:val="0"/>
      <w:divBdr>
        <w:top w:val="none" w:sz="0" w:space="0" w:color="auto"/>
        <w:left w:val="none" w:sz="0" w:space="0" w:color="auto"/>
        <w:bottom w:val="none" w:sz="0" w:space="0" w:color="auto"/>
        <w:right w:val="none" w:sz="0" w:space="0" w:color="auto"/>
      </w:divBdr>
    </w:div>
    <w:div w:id="1754083904">
      <w:bodyDiv w:val="1"/>
      <w:marLeft w:val="0"/>
      <w:marRight w:val="0"/>
      <w:marTop w:val="0"/>
      <w:marBottom w:val="0"/>
      <w:divBdr>
        <w:top w:val="none" w:sz="0" w:space="0" w:color="auto"/>
        <w:left w:val="none" w:sz="0" w:space="0" w:color="auto"/>
        <w:bottom w:val="none" w:sz="0" w:space="0" w:color="auto"/>
        <w:right w:val="none" w:sz="0" w:space="0" w:color="auto"/>
      </w:divBdr>
    </w:div>
    <w:div w:id="1769236105">
      <w:bodyDiv w:val="1"/>
      <w:marLeft w:val="0"/>
      <w:marRight w:val="0"/>
      <w:marTop w:val="0"/>
      <w:marBottom w:val="0"/>
      <w:divBdr>
        <w:top w:val="none" w:sz="0" w:space="0" w:color="auto"/>
        <w:left w:val="none" w:sz="0" w:space="0" w:color="auto"/>
        <w:bottom w:val="none" w:sz="0" w:space="0" w:color="auto"/>
        <w:right w:val="none" w:sz="0" w:space="0" w:color="auto"/>
      </w:divBdr>
    </w:div>
    <w:div w:id="1777868080">
      <w:bodyDiv w:val="1"/>
      <w:marLeft w:val="0"/>
      <w:marRight w:val="0"/>
      <w:marTop w:val="0"/>
      <w:marBottom w:val="0"/>
      <w:divBdr>
        <w:top w:val="none" w:sz="0" w:space="0" w:color="auto"/>
        <w:left w:val="none" w:sz="0" w:space="0" w:color="auto"/>
        <w:bottom w:val="none" w:sz="0" w:space="0" w:color="auto"/>
        <w:right w:val="none" w:sz="0" w:space="0" w:color="auto"/>
      </w:divBdr>
    </w:div>
    <w:div w:id="1832597199">
      <w:bodyDiv w:val="1"/>
      <w:marLeft w:val="0"/>
      <w:marRight w:val="0"/>
      <w:marTop w:val="0"/>
      <w:marBottom w:val="0"/>
      <w:divBdr>
        <w:top w:val="none" w:sz="0" w:space="0" w:color="auto"/>
        <w:left w:val="none" w:sz="0" w:space="0" w:color="auto"/>
        <w:bottom w:val="none" w:sz="0" w:space="0" w:color="auto"/>
        <w:right w:val="none" w:sz="0" w:space="0" w:color="auto"/>
      </w:divBdr>
    </w:div>
    <w:div w:id="1849363993">
      <w:bodyDiv w:val="1"/>
      <w:marLeft w:val="0"/>
      <w:marRight w:val="0"/>
      <w:marTop w:val="0"/>
      <w:marBottom w:val="0"/>
      <w:divBdr>
        <w:top w:val="none" w:sz="0" w:space="0" w:color="auto"/>
        <w:left w:val="none" w:sz="0" w:space="0" w:color="auto"/>
        <w:bottom w:val="none" w:sz="0" w:space="0" w:color="auto"/>
        <w:right w:val="none" w:sz="0" w:space="0" w:color="auto"/>
      </w:divBdr>
    </w:div>
    <w:div w:id="1903716516">
      <w:bodyDiv w:val="1"/>
      <w:marLeft w:val="0"/>
      <w:marRight w:val="0"/>
      <w:marTop w:val="0"/>
      <w:marBottom w:val="0"/>
      <w:divBdr>
        <w:top w:val="none" w:sz="0" w:space="0" w:color="auto"/>
        <w:left w:val="none" w:sz="0" w:space="0" w:color="auto"/>
        <w:bottom w:val="none" w:sz="0" w:space="0" w:color="auto"/>
        <w:right w:val="none" w:sz="0" w:space="0" w:color="auto"/>
      </w:divBdr>
    </w:div>
    <w:div w:id="1952122801">
      <w:bodyDiv w:val="1"/>
      <w:marLeft w:val="0"/>
      <w:marRight w:val="0"/>
      <w:marTop w:val="0"/>
      <w:marBottom w:val="0"/>
      <w:divBdr>
        <w:top w:val="none" w:sz="0" w:space="0" w:color="auto"/>
        <w:left w:val="none" w:sz="0" w:space="0" w:color="auto"/>
        <w:bottom w:val="none" w:sz="0" w:space="0" w:color="auto"/>
        <w:right w:val="none" w:sz="0" w:space="0" w:color="auto"/>
      </w:divBdr>
    </w:div>
    <w:div w:id="2100173856">
      <w:bodyDiv w:val="1"/>
      <w:marLeft w:val="0"/>
      <w:marRight w:val="0"/>
      <w:marTop w:val="0"/>
      <w:marBottom w:val="0"/>
      <w:divBdr>
        <w:top w:val="none" w:sz="0" w:space="0" w:color="auto"/>
        <w:left w:val="none" w:sz="0" w:space="0" w:color="auto"/>
        <w:bottom w:val="none" w:sz="0" w:space="0" w:color="auto"/>
        <w:right w:val="none" w:sz="0" w:space="0" w:color="auto"/>
      </w:divBdr>
    </w:div>
    <w:div w:id="21193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header" Target="header4.xml"/><Relationship Id="rId39" Type="http://schemas.openxmlformats.org/officeDocument/2006/relationships/hyperlink" Target="mailto:presched@sce.com" TargetMode="External"/><Relationship Id="rId21" Type="http://schemas.openxmlformats.org/officeDocument/2006/relationships/image" Target="media/image8.png"/><Relationship Id="rId34" Type="http://schemas.openxmlformats.org/officeDocument/2006/relationships/footer" Target="footer10.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footer" Target="footer2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hyperlink" Target="http://www.wecc.biz" TargetMode="External"/><Relationship Id="rId33" Type="http://schemas.openxmlformats.org/officeDocument/2006/relationships/footer" Target="footer9.xml"/><Relationship Id="rId38" Type="http://schemas.openxmlformats.org/officeDocument/2006/relationships/hyperlink" Target="mailto:electrode@sce.com"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oter" Target="footer5.xml"/><Relationship Id="rId41" Type="http://schemas.openxmlformats.org/officeDocument/2006/relationships/hyperlink" Target="mailto:PPFDPowerSettle@sce.com" TargetMode="Externa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hyperlink" Target="mailto:realtime@sce.com" TargetMode="External"/><Relationship Id="rId45" Type="http://schemas.openxmlformats.org/officeDocument/2006/relationships/footer" Target="footer15.xml"/><Relationship Id="rId53" Type="http://schemas.openxmlformats.org/officeDocument/2006/relationships/hyperlink" Target="mailto:scecollateral@sce.com"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image" Target="media/image10.png"/><Relationship Id="rId49" Type="http://schemas.openxmlformats.org/officeDocument/2006/relationships/header" Target="header7.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header" Target="header5.xml"/><Relationship Id="rId48" Type="http://schemas.openxmlformats.org/officeDocument/2006/relationships/footer" Target="footer17.xml"/><Relationship Id="rId56"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5" ma:contentTypeDescription="Create a new document." ma:contentTypeScope="" ma:versionID="9e50ebdae1c11191403e119c8a81000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9e45ed56bdb8d8221f6f91bb6f557ea0"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SharedWithUsers xmlns="df563676-8b16-455b-9cf3-dfc3c8077c93">
      <UserInfo>
        <DisplayName>John Zoida</DisplayName>
        <AccountId>111</AccountId>
        <AccountType/>
      </UserInfo>
      <UserInfo>
        <DisplayName>Seth B Doughty</DisplayName>
        <AccountId>3588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C508-81BC-4805-9BAE-246D748022D0}">
  <ds:schemaRefs>
    <ds:schemaRef ds:uri="http://schemas.microsoft.com/sharepoint/v3/contenttype/forms"/>
  </ds:schemaRefs>
</ds:datastoreItem>
</file>

<file path=customXml/itemProps2.xml><?xml version="1.0" encoding="utf-8"?>
<ds:datastoreItem xmlns:ds="http://schemas.openxmlformats.org/officeDocument/2006/customXml" ds:itemID="{1B96BC6B-4EE2-438E-BB9E-59A0B29A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F55FA-521E-4EDB-81C0-F2CA7EF45C80}">
  <ds:schemaRefs>
    <ds:schemaRef ds:uri="http://schemas.microsoft.com/office/2006/metadata/properties"/>
    <ds:schemaRef ds:uri="df563676-8b16-455b-9cf3-dfc3c8077c93"/>
    <ds:schemaRef ds:uri="http://www.w3.org/XML/1998/namespace"/>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e45da448-bf9c-43e8-8676-7e88d583ded9"/>
    <ds:schemaRef ds:uri="e3a283c8-0673-4ed1-a2b7-588b35db0706"/>
  </ds:schemaRefs>
</ds:datastoreItem>
</file>

<file path=customXml/itemProps4.xml><?xml version="1.0" encoding="utf-8"?>
<ds:datastoreItem xmlns:ds="http://schemas.openxmlformats.org/officeDocument/2006/customXml" ds:itemID="{34B82417-FEF5-42D9-92FE-0722BF5C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217</Pages>
  <Words>60270</Words>
  <Characters>343543</Characters>
  <Application>Microsoft Office Word</Application>
  <DocSecurity>0</DocSecurity>
  <Lines>2862</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Harvey</dc:creator>
  <cp:keywords/>
  <dc:description/>
  <cp:lastModifiedBy>Matthew J Lloyd</cp:lastModifiedBy>
  <cp:revision>8</cp:revision>
  <cp:lastPrinted>2018-02-08T01:56:00Z</cp:lastPrinted>
  <dcterms:created xsi:type="dcterms:W3CDTF">2018-08-31T17:30:00Z</dcterms:created>
  <dcterms:modified xsi:type="dcterms:W3CDTF">2018-08-31T19:54:00Z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oFAAoY+b3dyoaiTkH3gkR06bDtyP47F5DVjUdijkldfDwGq1RJqF7Cjksc3DCHUvLPHgaK+ZanCOgjJ9
z5Cl0IKvyJqILMsjnqW8kavADDHWcjPrgOTI98lou8tyYso5skWbNqkeoo8z5Pl9z5Cl0IKvyJqI
LMsjnqW8kavADDHWcjPrgOTI98loux3mbGThiimX4NxE4WfB5dR0h/172l8ahI0RfFuqYEtAe8bq
5Y+IOo0CyzlXjMgcl</vt:lpwstr>
  </property>
  <property fmtid="{D5CDD505-2E9C-101B-9397-08002B2CF9AE}" pid="3" name="RESPONSE_SENDER_NAME">
    <vt:lpwstr>sAAAb0xRtPDW5UtwWuV4eqY3CJVvwnlEJ8BI0Ojmyd5qHlc=</vt:lpwstr>
  </property>
  <property fmtid="{D5CDD505-2E9C-101B-9397-08002B2CF9AE}" pid="4" name="EMAIL_OWNER_ADDRESS">
    <vt:lpwstr>sAAAGYoQX4c3X/J9MpQUD5G6/uO4UOoOaq3q7+NmEgzVkRQ=</vt:lpwstr>
  </property>
  <property fmtid="{D5CDD505-2E9C-101B-9397-08002B2CF9AE}" pid="5" name="MAIL_MSG_ID2">
    <vt:lpwstr>OEFjswsHiXjs/07xRHMdt1BH6sHVUEFjiIcgTglNO8EgNhenguP+bd5FMPC
q86autvOBdkaLCFu5GgeRJYvdH7uidR1y17tlJjzjoZZMwaS</vt:lpwstr>
  </property>
  <property fmtid="{D5CDD505-2E9C-101B-9397-08002B2CF9AE}" pid="6" name="ContentTypeId">
    <vt:lpwstr>0x010100E7808E8D812B1A4CA6C535939128D034</vt:lpwstr>
  </property>
  <property fmtid="{D5CDD505-2E9C-101B-9397-08002B2CF9AE}" pid="7" name="_dlc_DocIdItemGuid">
    <vt:lpwstr>e9e76fc8-0496-407a-a544-85cad1363156</vt:lpwstr>
  </property>
  <property fmtid="{D5CDD505-2E9C-101B-9397-08002B2CF9AE}" pid="8" name="_docset_NoMedatataSyncRequired">
    <vt:lpwstr>False</vt:lpwstr>
  </property>
  <property fmtid="{D5CDD505-2E9C-101B-9397-08002B2CF9AE}" pid="9" name="TaxKeyword">
    <vt:lpwstr/>
  </property>
  <property fmtid="{D5CDD505-2E9C-101B-9397-08002B2CF9AE}" pid="10" name="Main_Category">
    <vt:lpwstr>90;#01_Admin|411cbf61-a005-45ef-913f-7fac423146fd</vt:lpwstr>
  </property>
  <property fmtid="{D5CDD505-2E9C-101B-9397-08002B2CF9AE}" pid="11" name="Sub_Category">
    <vt:lpwstr/>
  </property>
  <property fmtid="{D5CDD505-2E9C-101B-9397-08002B2CF9AE}" pid="12" name="Order">
    <vt:r8>640700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ies>
</file>