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1FD15" w14:textId="77777777" w:rsidR="00CE55D7" w:rsidRPr="00F96FBF" w:rsidRDefault="005C1152" w:rsidP="00FB635B">
      <w:pPr>
        <w:spacing w:line="360" w:lineRule="auto"/>
        <w:rPr>
          <w:rFonts w:ascii="Times New Roman" w:hAnsi="Times New Roman" w:cs="Times New Roman"/>
        </w:rPr>
      </w:pPr>
      <w:bookmarkStart w:id="0" w:name="_GoBack"/>
      <w:bookmarkEnd w:id="0"/>
      <w:r w:rsidRPr="00F96FBF">
        <w:rPr>
          <w:rFonts w:ascii="Times New Roman" w:hAnsi="Times New Roman" w:cs="Times New Roman"/>
        </w:rPr>
        <w:t xml:space="preserve">As </w:t>
      </w:r>
      <w:r w:rsidR="00797A1D">
        <w:rPr>
          <w:rFonts w:ascii="Times New Roman" w:hAnsi="Times New Roman" w:cs="Times New Roman"/>
        </w:rPr>
        <w:t>illustrated</w:t>
      </w:r>
      <w:r w:rsidR="00205C10" w:rsidRPr="00F96FBF">
        <w:rPr>
          <w:rFonts w:ascii="Times New Roman" w:hAnsi="Times New Roman" w:cs="Times New Roman"/>
        </w:rPr>
        <w:t xml:space="preserve"> </w:t>
      </w:r>
      <w:r w:rsidRPr="00F96FBF">
        <w:rPr>
          <w:rFonts w:ascii="Times New Roman" w:hAnsi="Times New Roman" w:cs="Times New Roman"/>
        </w:rPr>
        <w:t>in workpapers to Schedule 10 and 16, during the period January 201</w:t>
      </w:r>
      <w:r w:rsidR="00260302">
        <w:rPr>
          <w:rFonts w:ascii="Times New Roman" w:hAnsi="Times New Roman" w:cs="Times New Roman"/>
        </w:rPr>
        <w:t>5</w:t>
      </w:r>
      <w:r w:rsidRPr="00F96FBF">
        <w:rPr>
          <w:rFonts w:ascii="Times New Roman" w:hAnsi="Times New Roman" w:cs="Times New Roman"/>
        </w:rPr>
        <w:t xml:space="preserve"> through </w:t>
      </w:r>
      <w:r w:rsidR="00BD7300">
        <w:rPr>
          <w:rFonts w:ascii="Times New Roman" w:hAnsi="Times New Roman" w:cs="Times New Roman"/>
        </w:rPr>
        <w:t>December 201</w:t>
      </w:r>
      <w:r w:rsidR="00260302">
        <w:rPr>
          <w:rFonts w:ascii="Times New Roman" w:hAnsi="Times New Roman" w:cs="Times New Roman"/>
        </w:rPr>
        <w:t>6</w:t>
      </w:r>
      <w:r w:rsidRPr="00F96FBF">
        <w:rPr>
          <w:rFonts w:ascii="Times New Roman" w:hAnsi="Times New Roman" w:cs="Times New Roman"/>
        </w:rPr>
        <w:t>, SCE forecasts:</w:t>
      </w:r>
    </w:p>
    <w:p w14:paraId="03A6E6AC" w14:textId="77777777" w:rsidR="005C1152" w:rsidRPr="00EF3B19"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D070D6">
        <w:rPr>
          <w:rFonts w:ascii="Times New Roman" w:hAnsi="Times New Roman" w:cs="Times New Roman"/>
        </w:rPr>
        <w:t>398</w:t>
      </w:r>
      <w:r w:rsidRPr="00EF3B19">
        <w:rPr>
          <w:rFonts w:ascii="Times New Roman" w:hAnsi="Times New Roman" w:cs="Times New Roman"/>
        </w:rPr>
        <w:t xml:space="preserve"> million in ISO</w:t>
      </w:r>
      <w:r w:rsidR="007829FD" w:rsidRPr="00EF3B19">
        <w:rPr>
          <w:rFonts w:ascii="Times New Roman" w:hAnsi="Times New Roman" w:cs="Times New Roman"/>
        </w:rPr>
        <w:t xml:space="preserve">-related </w:t>
      </w:r>
      <w:r w:rsidRPr="00EF3B19">
        <w:rPr>
          <w:rFonts w:ascii="Times New Roman" w:hAnsi="Times New Roman" w:cs="Times New Roman"/>
        </w:rPr>
        <w:t xml:space="preserve">non-incentive network transmission expenditures </w:t>
      </w:r>
    </w:p>
    <w:p w14:paraId="34EC185F" w14:textId="77777777" w:rsidR="005C1152" w:rsidRPr="00F96FBF" w:rsidRDefault="005C1152" w:rsidP="00674ECE">
      <w:pPr>
        <w:ind w:left="720"/>
        <w:rPr>
          <w:rFonts w:ascii="Times New Roman" w:hAnsi="Times New Roman" w:cs="Times New Roman"/>
        </w:rPr>
      </w:pPr>
      <w:r w:rsidRPr="00F96FBF">
        <w:rPr>
          <w:rFonts w:ascii="Times New Roman" w:hAnsi="Times New Roman" w:cs="Times New Roman"/>
        </w:rPr>
        <w:t>(</w:t>
      </w:r>
      <w:r w:rsidR="0023002A" w:rsidRPr="00F96FBF">
        <w:rPr>
          <w:rFonts w:ascii="Times New Roman" w:hAnsi="Times New Roman" w:cs="Times New Roman"/>
        </w:rPr>
        <w:t>Including</w:t>
      </w:r>
      <w:r w:rsidRPr="00F96FBF">
        <w:rPr>
          <w:rFonts w:ascii="Times New Roman" w:hAnsi="Times New Roman" w:cs="Times New Roman"/>
        </w:rPr>
        <w:t xml:space="preserve"> $</w:t>
      </w:r>
      <w:r w:rsidR="00A517B5">
        <w:rPr>
          <w:rFonts w:ascii="Times New Roman" w:hAnsi="Times New Roman" w:cs="Times New Roman"/>
        </w:rPr>
        <w:t>246</w:t>
      </w:r>
      <w:r w:rsidRPr="00F96FBF">
        <w:rPr>
          <w:rFonts w:ascii="Times New Roman" w:hAnsi="Times New Roman" w:cs="Times New Roman"/>
        </w:rPr>
        <w:t xml:space="preserve"> million in ISO Blanket expenditures),</w:t>
      </w:r>
    </w:p>
    <w:p w14:paraId="606FBDB7" w14:textId="78680C7C" w:rsidR="005C1152" w:rsidRPr="00F96FBF"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A517B5">
        <w:rPr>
          <w:rFonts w:ascii="Times New Roman" w:hAnsi="Times New Roman" w:cs="Times New Roman"/>
        </w:rPr>
        <w:t>6</w:t>
      </w:r>
      <w:r w:rsidR="00BD61F8">
        <w:rPr>
          <w:rFonts w:ascii="Times New Roman" w:hAnsi="Times New Roman" w:cs="Times New Roman"/>
        </w:rPr>
        <w:t>4</w:t>
      </w:r>
      <w:r w:rsidR="00632BFF">
        <w:rPr>
          <w:rFonts w:ascii="Times New Roman" w:hAnsi="Times New Roman" w:cs="Times New Roman"/>
        </w:rPr>
        <w:t>5</w:t>
      </w:r>
      <w:r w:rsidR="00BD61F8">
        <w:rPr>
          <w:rFonts w:ascii="Times New Roman" w:hAnsi="Times New Roman" w:cs="Times New Roman"/>
        </w:rPr>
        <w:t xml:space="preserve"> </w:t>
      </w:r>
      <w:r w:rsidR="00A517B5">
        <w:rPr>
          <w:rFonts w:ascii="Times New Roman" w:hAnsi="Times New Roman" w:cs="Times New Roman"/>
        </w:rPr>
        <w:t>million</w:t>
      </w:r>
      <w:r w:rsidR="0071779D">
        <w:rPr>
          <w:rFonts w:ascii="Times New Roman" w:hAnsi="Times New Roman" w:cs="Times New Roman"/>
        </w:rPr>
        <w:t xml:space="preserve"> </w:t>
      </w:r>
      <w:r w:rsidRPr="00F96FBF">
        <w:rPr>
          <w:rFonts w:ascii="Times New Roman" w:hAnsi="Times New Roman" w:cs="Times New Roman"/>
        </w:rPr>
        <w:t xml:space="preserve">FERC incentive rate qualified CWIP expenditures, and </w:t>
      </w:r>
    </w:p>
    <w:p w14:paraId="39CE0114" w14:textId="0DFEEA3B" w:rsidR="005C1152" w:rsidRPr="00F96FBF" w:rsidRDefault="005C1152" w:rsidP="00674ECE">
      <w:pPr>
        <w:pStyle w:val="ListParagraph"/>
        <w:numPr>
          <w:ilvl w:val="0"/>
          <w:numId w:val="1"/>
        </w:numPr>
        <w:rPr>
          <w:rFonts w:ascii="Times New Roman" w:hAnsi="Times New Roman" w:cs="Times New Roman"/>
        </w:rPr>
      </w:pPr>
      <w:r w:rsidRPr="00EF3B19">
        <w:rPr>
          <w:rFonts w:ascii="Times New Roman" w:hAnsi="Times New Roman" w:cs="Times New Roman"/>
          <w:color w:val="000000" w:themeColor="text1"/>
        </w:rPr>
        <w:t>$</w:t>
      </w:r>
      <w:r w:rsidR="0039080B">
        <w:rPr>
          <w:rFonts w:ascii="Times New Roman" w:hAnsi="Times New Roman" w:cs="Times New Roman"/>
          <w:color w:val="000000" w:themeColor="text1"/>
        </w:rPr>
        <w:t>599</w:t>
      </w:r>
      <w:r w:rsidR="00F6509E">
        <w:rPr>
          <w:rFonts w:ascii="Times New Roman" w:hAnsi="Times New Roman" w:cs="Times New Roman"/>
          <w:color w:val="000000" w:themeColor="text1"/>
        </w:rPr>
        <w:t xml:space="preserve"> </w:t>
      </w:r>
      <w:r w:rsidR="000509ED">
        <w:rPr>
          <w:rFonts w:ascii="Times New Roman" w:hAnsi="Times New Roman" w:cs="Times New Roman"/>
          <w:color w:val="000000" w:themeColor="text1"/>
        </w:rPr>
        <w:t>m</w:t>
      </w:r>
      <w:r w:rsidR="00F6509E">
        <w:rPr>
          <w:rFonts w:ascii="Times New Roman" w:hAnsi="Times New Roman" w:cs="Times New Roman"/>
          <w:color w:val="000000" w:themeColor="text1"/>
        </w:rPr>
        <w:t xml:space="preserve">illion </w:t>
      </w:r>
      <w:r w:rsidRPr="00F96FBF">
        <w:rPr>
          <w:rFonts w:ascii="Times New Roman" w:hAnsi="Times New Roman" w:cs="Times New Roman"/>
        </w:rPr>
        <w:t xml:space="preserve">of </w:t>
      </w:r>
      <w:r w:rsidR="004E5E62" w:rsidRPr="00F96FBF">
        <w:rPr>
          <w:rFonts w:ascii="Times New Roman" w:hAnsi="Times New Roman" w:cs="Times New Roman"/>
        </w:rPr>
        <w:t xml:space="preserve">FERC </w:t>
      </w:r>
      <w:r w:rsidR="00EF3B19">
        <w:rPr>
          <w:rFonts w:ascii="Times New Roman" w:hAnsi="Times New Roman" w:cs="Times New Roman"/>
        </w:rPr>
        <w:t>direct capital e</w:t>
      </w:r>
      <w:r w:rsidR="00613C92">
        <w:rPr>
          <w:rFonts w:ascii="Times New Roman" w:hAnsi="Times New Roman" w:cs="Times New Roman"/>
        </w:rPr>
        <w:t>xpenditures projected to go into</w:t>
      </w:r>
      <w:r w:rsidR="00806078">
        <w:rPr>
          <w:rFonts w:ascii="Times New Roman" w:hAnsi="Times New Roman" w:cs="Times New Roman"/>
        </w:rPr>
        <w:t xml:space="preserve"> </w:t>
      </w:r>
      <w:r w:rsidR="00677037">
        <w:rPr>
          <w:rFonts w:ascii="Times New Roman" w:hAnsi="Times New Roman" w:cs="Times New Roman"/>
        </w:rPr>
        <w:t>rate base</w:t>
      </w:r>
      <w:r w:rsidR="00613C92">
        <w:rPr>
          <w:rFonts w:ascii="Times New Roman" w:hAnsi="Times New Roman" w:cs="Times New Roman"/>
        </w:rPr>
        <w:t xml:space="preserve"> </w:t>
      </w:r>
      <w:r w:rsidR="00EF3B19">
        <w:rPr>
          <w:rFonts w:ascii="Times New Roman" w:hAnsi="Times New Roman" w:cs="Times New Roman"/>
        </w:rPr>
        <w:t xml:space="preserve">during the upcoming Rate Year (in the period </w:t>
      </w:r>
      <w:r w:rsidR="00613C92">
        <w:rPr>
          <w:rFonts w:ascii="Times New Roman" w:hAnsi="Times New Roman" w:cs="Times New Roman"/>
        </w:rPr>
        <w:t>January 201</w:t>
      </w:r>
      <w:r w:rsidR="00A517B5">
        <w:rPr>
          <w:rFonts w:ascii="Times New Roman" w:hAnsi="Times New Roman" w:cs="Times New Roman"/>
        </w:rPr>
        <w:t>6</w:t>
      </w:r>
      <w:r w:rsidR="00613C92">
        <w:rPr>
          <w:rFonts w:ascii="Times New Roman" w:hAnsi="Times New Roman" w:cs="Times New Roman"/>
        </w:rPr>
        <w:t xml:space="preserve"> through December 201</w:t>
      </w:r>
      <w:r w:rsidR="00A517B5">
        <w:rPr>
          <w:rFonts w:ascii="Times New Roman" w:hAnsi="Times New Roman" w:cs="Times New Roman"/>
        </w:rPr>
        <w:t>6</w:t>
      </w:r>
      <w:r w:rsidR="00EF3B19">
        <w:rPr>
          <w:rFonts w:ascii="Times New Roman" w:hAnsi="Times New Roman" w:cs="Times New Roman"/>
        </w:rPr>
        <w:t>)</w:t>
      </w:r>
    </w:p>
    <w:p w14:paraId="2F0C2FD0" w14:textId="77777777" w:rsidR="00FB635B" w:rsidRPr="00F96FBF" w:rsidRDefault="00FB635B" w:rsidP="00FB635B">
      <w:pPr>
        <w:spacing w:line="360" w:lineRule="auto"/>
        <w:rPr>
          <w:rFonts w:ascii="Times New Roman" w:hAnsi="Times New Roman" w:cs="Times New Roman"/>
        </w:rPr>
      </w:pPr>
    </w:p>
    <w:p w14:paraId="01930659" w14:textId="21FDD051" w:rsidR="00EB4451" w:rsidRDefault="00205C10" w:rsidP="00EB4451">
      <w:pPr>
        <w:spacing w:line="360" w:lineRule="auto"/>
        <w:rPr>
          <w:rFonts w:ascii="Times New Roman" w:hAnsi="Times New Roman" w:cs="Times New Roman"/>
        </w:rPr>
      </w:pPr>
      <w:r w:rsidRPr="00F96FBF">
        <w:rPr>
          <w:rFonts w:ascii="Times New Roman" w:hAnsi="Times New Roman" w:cs="Times New Roman"/>
        </w:rPr>
        <w:t>In addition to the numerous</w:t>
      </w:r>
      <w:r w:rsidR="0093505A" w:rsidRPr="00F96FBF">
        <w:rPr>
          <w:rFonts w:ascii="Times New Roman" w:hAnsi="Times New Roman" w:cs="Times New Roman"/>
        </w:rPr>
        <w:t xml:space="preserve"> but relatively small t</w:t>
      </w:r>
      <w:r w:rsidR="0091587C" w:rsidRPr="00F96FBF">
        <w:rPr>
          <w:rFonts w:ascii="Times New Roman" w:hAnsi="Times New Roman" w:cs="Times New Roman"/>
        </w:rPr>
        <w:t xml:space="preserve">ransmission projects, there are </w:t>
      </w:r>
      <w:r w:rsidR="00063872">
        <w:rPr>
          <w:rFonts w:ascii="Times New Roman" w:hAnsi="Times New Roman" w:cs="Times New Roman"/>
        </w:rPr>
        <w:t>f</w:t>
      </w:r>
      <w:r w:rsidR="001A3C91">
        <w:rPr>
          <w:rFonts w:ascii="Times New Roman" w:hAnsi="Times New Roman" w:cs="Times New Roman"/>
        </w:rPr>
        <w:t>ifteen</w:t>
      </w:r>
      <w:r w:rsidR="00BE3963">
        <w:rPr>
          <w:rFonts w:ascii="Times New Roman" w:hAnsi="Times New Roman" w:cs="Times New Roman"/>
        </w:rPr>
        <w:t xml:space="preserve"> (1</w:t>
      </w:r>
      <w:r w:rsidR="001A3C91">
        <w:rPr>
          <w:rFonts w:ascii="Times New Roman" w:hAnsi="Times New Roman" w:cs="Times New Roman"/>
        </w:rPr>
        <w:t>5</w:t>
      </w:r>
      <w:r w:rsidR="00F75B8C">
        <w:rPr>
          <w:rFonts w:ascii="Times New Roman" w:hAnsi="Times New Roman" w:cs="Times New Roman"/>
        </w:rPr>
        <w:t>)</w:t>
      </w:r>
      <w:r w:rsidR="0093505A" w:rsidRPr="00F96FBF">
        <w:rPr>
          <w:rFonts w:ascii="Times New Roman" w:hAnsi="Times New Roman" w:cs="Times New Roman"/>
        </w:rPr>
        <w:t xml:space="preserve"> significant transmission projects (each $5 million or greater in ISO-related costs) that are </w:t>
      </w:r>
      <w:r w:rsidR="00500E75">
        <w:rPr>
          <w:rFonts w:ascii="Times New Roman" w:hAnsi="Times New Roman" w:cs="Times New Roman"/>
        </w:rPr>
        <w:t xml:space="preserve">projected to </w:t>
      </w:r>
      <w:r w:rsidR="00613C92">
        <w:rPr>
          <w:rFonts w:ascii="Times New Roman" w:hAnsi="Times New Roman" w:cs="Times New Roman"/>
        </w:rPr>
        <w:t>go into rate base</w:t>
      </w:r>
      <w:r w:rsidR="00500E75">
        <w:rPr>
          <w:rFonts w:ascii="Times New Roman" w:hAnsi="Times New Roman" w:cs="Times New Roman"/>
        </w:rPr>
        <w:t xml:space="preserve"> during the upcoming Rate Year</w:t>
      </w:r>
      <w:r w:rsidR="0093505A" w:rsidRPr="00F96FBF">
        <w:rPr>
          <w:rFonts w:ascii="Times New Roman" w:hAnsi="Times New Roman" w:cs="Times New Roman"/>
        </w:rPr>
        <w:t xml:space="preserve"> – </w:t>
      </w:r>
      <w:r w:rsidR="006379FB">
        <w:rPr>
          <w:rFonts w:ascii="Times New Roman" w:hAnsi="Times New Roman" w:cs="Times New Roman"/>
        </w:rPr>
        <w:t>s</w:t>
      </w:r>
      <w:r w:rsidR="001A3C91">
        <w:rPr>
          <w:rFonts w:ascii="Times New Roman" w:hAnsi="Times New Roman" w:cs="Times New Roman"/>
        </w:rPr>
        <w:t>even</w:t>
      </w:r>
      <w:r w:rsidR="006379FB">
        <w:rPr>
          <w:rFonts w:ascii="Times New Roman" w:hAnsi="Times New Roman" w:cs="Times New Roman"/>
        </w:rPr>
        <w:t xml:space="preserve"> </w:t>
      </w:r>
      <w:r w:rsidR="00D91E43">
        <w:rPr>
          <w:rFonts w:ascii="Times New Roman" w:hAnsi="Times New Roman" w:cs="Times New Roman"/>
        </w:rPr>
        <w:t>Bla</w:t>
      </w:r>
      <w:r w:rsidR="0093505A" w:rsidRPr="00F96FBF">
        <w:rPr>
          <w:rFonts w:ascii="Times New Roman" w:hAnsi="Times New Roman" w:cs="Times New Roman"/>
        </w:rPr>
        <w:t>nket</w:t>
      </w:r>
      <w:r w:rsidR="00500E75">
        <w:rPr>
          <w:rFonts w:ascii="Times New Roman" w:hAnsi="Times New Roman" w:cs="Times New Roman"/>
        </w:rPr>
        <w:t>s</w:t>
      </w:r>
      <w:r w:rsidR="0093505A" w:rsidRPr="00F96FBF">
        <w:rPr>
          <w:rFonts w:ascii="Times New Roman" w:hAnsi="Times New Roman" w:cs="Times New Roman"/>
        </w:rPr>
        <w:t xml:space="preserve"> (item</w:t>
      </w:r>
      <w:r w:rsidR="00500E75">
        <w:rPr>
          <w:rFonts w:ascii="Times New Roman" w:hAnsi="Times New Roman" w:cs="Times New Roman"/>
        </w:rPr>
        <w:t xml:space="preserve">s </w:t>
      </w:r>
      <w:r w:rsidR="006379FB">
        <w:rPr>
          <w:rFonts w:ascii="Times New Roman" w:hAnsi="Times New Roman" w:cs="Times New Roman"/>
        </w:rPr>
        <w:t>1</w:t>
      </w:r>
      <w:r w:rsidR="00D91E43">
        <w:rPr>
          <w:rFonts w:ascii="Times New Roman" w:hAnsi="Times New Roman" w:cs="Times New Roman"/>
        </w:rPr>
        <w:t xml:space="preserve"> through </w:t>
      </w:r>
      <w:r w:rsidR="001A3C91">
        <w:rPr>
          <w:rFonts w:ascii="Times New Roman" w:hAnsi="Times New Roman" w:cs="Times New Roman"/>
        </w:rPr>
        <w:t>7</w:t>
      </w:r>
      <w:r w:rsidR="00FC3F60">
        <w:rPr>
          <w:rFonts w:ascii="Times New Roman" w:hAnsi="Times New Roman" w:cs="Times New Roman"/>
        </w:rPr>
        <w:t xml:space="preserve"> below</w:t>
      </w:r>
      <w:r w:rsidR="0093505A" w:rsidRPr="00F96FBF">
        <w:rPr>
          <w:rFonts w:ascii="Times New Roman" w:hAnsi="Times New Roman" w:cs="Times New Roman"/>
        </w:rPr>
        <w:t xml:space="preserve">), </w:t>
      </w:r>
      <w:r w:rsidR="006379FB">
        <w:rPr>
          <w:rFonts w:ascii="Times New Roman" w:hAnsi="Times New Roman" w:cs="Times New Roman"/>
        </w:rPr>
        <w:t xml:space="preserve">five </w:t>
      </w:r>
      <w:r w:rsidR="00D469B9" w:rsidRPr="00F96FBF">
        <w:rPr>
          <w:rFonts w:ascii="Times New Roman" w:hAnsi="Times New Roman" w:cs="Times New Roman"/>
        </w:rPr>
        <w:t xml:space="preserve">non-incentive projects (items </w:t>
      </w:r>
      <w:r w:rsidR="001A3C91">
        <w:rPr>
          <w:rFonts w:ascii="Times New Roman" w:hAnsi="Times New Roman" w:cs="Times New Roman"/>
        </w:rPr>
        <w:t>8</w:t>
      </w:r>
      <w:r w:rsidR="00D469B9" w:rsidRPr="00F96FBF">
        <w:rPr>
          <w:rFonts w:ascii="Times New Roman" w:hAnsi="Times New Roman" w:cs="Times New Roman"/>
        </w:rPr>
        <w:t xml:space="preserve"> through </w:t>
      </w:r>
      <w:r w:rsidR="006379FB">
        <w:rPr>
          <w:rFonts w:ascii="Times New Roman" w:hAnsi="Times New Roman" w:cs="Times New Roman"/>
        </w:rPr>
        <w:t>1</w:t>
      </w:r>
      <w:r w:rsidR="001A3C91">
        <w:rPr>
          <w:rFonts w:ascii="Times New Roman" w:hAnsi="Times New Roman" w:cs="Times New Roman"/>
        </w:rPr>
        <w:t>2</w:t>
      </w:r>
      <w:r w:rsidR="00D469B9" w:rsidRPr="00F96FBF">
        <w:rPr>
          <w:rFonts w:ascii="Times New Roman" w:hAnsi="Times New Roman" w:cs="Times New Roman"/>
        </w:rPr>
        <w:t>)</w:t>
      </w:r>
      <w:r w:rsidR="0091587C" w:rsidRPr="00F96FBF">
        <w:rPr>
          <w:rFonts w:ascii="Times New Roman" w:hAnsi="Times New Roman" w:cs="Times New Roman"/>
        </w:rPr>
        <w:t>, and</w:t>
      </w:r>
      <w:r w:rsidR="00BE3963">
        <w:rPr>
          <w:rFonts w:ascii="Times New Roman" w:hAnsi="Times New Roman" w:cs="Times New Roman"/>
        </w:rPr>
        <w:t xml:space="preserve"> three </w:t>
      </w:r>
      <w:r w:rsidR="0093505A" w:rsidRPr="00F96FBF">
        <w:rPr>
          <w:rFonts w:ascii="Times New Roman" w:hAnsi="Times New Roman" w:cs="Times New Roman"/>
        </w:rPr>
        <w:t>incentive</w:t>
      </w:r>
      <w:r w:rsidR="00D469B9" w:rsidRPr="00F96FBF">
        <w:rPr>
          <w:rFonts w:ascii="Times New Roman" w:hAnsi="Times New Roman" w:cs="Times New Roman"/>
        </w:rPr>
        <w:t xml:space="preserve"> projects (</w:t>
      </w:r>
      <w:r w:rsidR="00A701CB">
        <w:rPr>
          <w:rFonts w:ascii="Times New Roman" w:hAnsi="Times New Roman" w:cs="Times New Roman"/>
        </w:rPr>
        <w:t xml:space="preserve">items </w:t>
      </w:r>
      <w:r w:rsidR="00D91E43">
        <w:rPr>
          <w:rFonts w:ascii="Times New Roman" w:hAnsi="Times New Roman" w:cs="Times New Roman"/>
        </w:rPr>
        <w:t>1</w:t>
      </w:r>
      <w:r w:rsidR="001A3C91">
        <w:rPr>
          <w:rFonts w:ascii="Times New Roman" w:hAnsi="Times New Roman" w:cs="Times New Roman"/>
        </w:rPr>
        <w:t>3, 14 and 15</w:t>
      </w:r>
      <w:r w:rsidR="00FC3F60">
        <w:rPr>
          <w:rFonts w:ascii="Times New Roman" w:hAnsi="Times New Roman" w:cs="Times New Roman"/>
        </w:rPr>
        <w:t>)</w:t>
      </w:r>
      <w:r w:rsidR="00654561" w:rsidRPr="00F96FBF">
        <w:rPr>
          <w:rFonts w:ascii="Times New Roman" w:hAnsi="Times New Roman" w:cs="Times New Roman"/>
        </w:rPr>
        <w:t xml:space="preserve">. </w:t>
      </w:r>
      <w:r w:rsidR="001A3C91">
        <w:rPr>
          <w:rFonts w:ascii="Times New Roman" w:hAnsi="Times New Roman" w:cs="Times New Roman"/>
        </w:rPr>
        <w:t xml:space="preserve"> </w:t>
      </w:r>
      <w:r w:rsidR="00F96FBF" w:rsidRPr="00F96FBF">
        <w:rPr>
          <w:rFonts w:ascii="Times New Roman" w:hAnsi="Times New Roman" w:cs="Times New Roman"/>
        </w:rPr>
        <w:t>Table 1 below provides a summary of forecast FERC-jurisdictional d</w:t>
      </w:r>
      <w:r w:rsidR="00A701CB">
        <w:rPr>
          <w:rFonts w:ascii="Times New Roman" w:hAnsi="Times New Roman" w:cs="Times New Roman"/>
        </w:rPr>
        <w:t>irect capital expenditures for</w:t>
      </w:r>
      <w:r w:rsidR="00FC3F60">
        <w:rPr>
          <w:rFonts w:ascii="Times New Roman" w:hAnsi="Times New Roman" w:cs="Times New Roman"/>
        </w:rPr>
        <w:t xml:space="preserve"> </w:t>
      </w:r>
      <w:r w:rsidR="00063872">
        <w:rPr>
          <w:rFonts w:ascii="Times New Roman" w:hAnsi="Times New Roman" w:cs="Times New Roman"/>
        </w:rPr>
        <w:t>f</w:t>
      </w:r>
      <w:r w:rsidR="005916E0">
        <w:rPr>
          <w:rFonts w:ascii="Times New Roman" w:hAnsi="Times New Roman" w:cs="Times New Roman"/>
        </w:rPr>
        <w:t>ifteen</w:t>
      </w:r>
      <w:r w:rsidR="00F96FBF" w:rsidRPr="00F96FBF">
        <w:rPr>
          <w:rFonts w:ascii="Times New Roman" w:hAnsi="Times New Roman" w:cs="Times New Roman"/>
        </w:rPr>
        <w:t xml:space="preserve"> significant </w:t>
      </w:r>
      <w:r w:rsidR="001A3C91">
        <w:rPr>
          <w:rFonts w:ascii="Times New Roman" w:hAnsi="Times New Roman" w:cs="Times New Roman"/>
        </w:rPr>
        <w:t>t</w:t>
      </w:r>
      <w:r w:rsidR="00F96FBF" w:rsidRPr="00F96FBF">
        <w:rPr>
          <w:rFonts w:ascii="Times New Roman" w:hAnsi="Times New Roman" w:cs="Times New Roman"/>
        </w:rPr>
        <w:t>ransmission projects that are</w:t>
      </w:r>
      <w:r w:rsidR="00A701CB">
        <w:rPr>
          <w:rFonts w:ascii="Times New Roman" w:hAnsi="Times New Roman" w:cs="Times New Roman"/>
        </w:rPr>
        <w:t xml:space="preserve"> projected </w:t>
      </w:r>
      <w:r w:rsidR="00F96FBF" w:rsidRPr="00F96FBF">
        <w:rPr>
          <w:rFonts w:ascii="Times New Roman" w:hAnsi="Times New Roman" w:cs="Times New Roman"/>
        </w:rPr>
        <w:t>to</w:t>
      </w:r>
      <w:r w:rsidR="00613C92">
        <w:rPr>
          <w:rFonts w:ascii="Times New Roman" w:hAnsi="Times New Roman" w:cs="Times New Roman"/>
        </w:rPr>
        <w:t xml:space="preserve"> go into </w:t>
      </w:r>
      <w:r w:rsidR="00677037">
        <w:rPr>
          <w:rFonts w:ascii="Times New Roman" w:hAnsi="Times New Roman" w:cs="Times New Roman"/>
        </w:rPr>
        <w:t>rate base</w:t>
      </w:r>
      <w:r w:rsidR="00F96FBF" w:rsidRPr="00F96FBF">
        <w:rPr>
          <w:rFonts w:ascii="Times New Roman" w:hAnsi="Times New Roman" w:cs="Times New Roman"/>
        </w:rPr>
        <w:t xml:space="preserve"> in the period January 201</w:t>
      </w:r>
      <w:r w:rsidR="006379FB">
        <w:rPr>
          <w:rFonts w:ascii="Times New Roman" w:hAnsi="Times New Roman" w:cs="Times New Roman"/>
        </w:rPr>
        <w:t>6</w:t>
      </w:r>
      <w:r w:rsidR="00F96FBF" w:rsidRPr="00F96FBF">
        <w:rPr>
          <w:rFonts w:ascii="Times New Roman" w:hAnsi="Times New Roman" w:cs="Times New Roman"/>
        </w:rPr>
        <w:t xml:space="preserve"> through </w:t>
      </w:r>
      <w:r w:rsidR="00A701CB">
        <w:rPr>
          <w:rFonts w:ascii="Times New Roman" w:hAnsi="Times New Roman" w:cs="Times New Roman"/>
        </w:rPr>
        <w:t>December 201</w:t>
      </w:r>
      <w:r w:rsidR="006379FB">
        <w:rPr>
          <w:rFonts w:ascii="Times New Roman" w:hAnsi="Times New Roman" w:cs="Times New Roman"/>
        </w:rPr>
        <w:t>6</w:t>
      </w:r>
      <w:r w:rsidR="00F96FBF" w:rsidRPr="00F96FBF">
        <w:rPr>
          <w:rFonts w:ascii="Times New Roman" w:hAnsi="Times New Roman" w:cs="Times New Roman"/>
        </w:rPr>
        <w:t>.</w:t>
      </w:r>
    </w:p>
    <w:p w14:paraId="00673843" w14:textId="77777777"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Table 1</w:t>
      </w:r>
    </w:p>
    <w:p w14:paraId="12E61119" w14:textId="77777777"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FERC Direct Capital Expenditures</w:t>
      </w:r>
      <w:r w:rsidR="00FB72D4">
        <w:rPr>
          <w:rFonts w:ascii="Times New Roman" w:hAnsi="Times New Roman" w:cs="Times New Roman"/>
          <w:b/>
        </w:rPr>
        <w:t xml:space="preserve"> Projected to Go into </w:t>
      </w:r>
      <w:r w:rsidR="00677037">
        <w:rPr>
          <w:rFonts w:ascii="Times New Roman" w:hAnsi="Times New Roman" w:cs="Times New Roman"/>
          <w:b/>
        </w:rPr>
        <w:t>Rate Base</w:t>
      </w:r>
      <w:r w:rsidRPr="00F96FBF">
        <w:rPr>
          <w:rFonts w:ascii="Times New Roman" w:hAnsi="Times New Roman" w:cs="Times New Roman"/>
          <w:b/>
        </w:rPr>
        <w:t xml:space="preserve"> </w:t>
      </w:r>
      <w:r w:rsidR="00FB72D4">
        <w:rPr>
          <w:rFonts w:ascii="Times New Roman" w:hAnsi="Times New Roman" w:cs="Times New Roman"/>
          <w:b/>
        </w:rPr>
        <w:t>during Rate Year</w:t>
      </w:r>
      <w:r w:rsidR="00EB4451">
        <w:rPr>
          <w:rStyle w:val="FootnoteReference"/>
          <w:rFonts w:ascii="Times New Roman" w:hAnsi="Times New Roman" w:cs="Times New Roman"/>
          <w:b/>
        </w:rPr>
        <w:footnoteReference w:id="1"/>
      </w:r>
    </w:p>
    <w:p w14:paraId="1F2AB83F" w14:textId="77777777" w:rsidR="00F96FBF" w:rsidRPr="00F96FBF" w:rsidRDefault="00F96FBF" w:rsidP="00EB4451">
      <w:pPr>
        <w:jc w:val="center"/>
        <w:rPr>
          <w:rFonts w:ascii="Times New Roman" w:hAnsi="Times New Roman" w:cs="Times New Roman"/>
          <w:i/>
        </w:rPr>
      </w:pPr>
      <w:r w:rsidRPr="00F96FBF">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F96FBF" w14:paraId="6F7B47BA" w14:textId="77777777" w:rsidTr="00B541B9">
        <w:trPr>
          <w:tblHeader/>
        </w:trPr>
        <w:tc>
          <w:tcPr>
            <w:tcW w:w="562" w:type="dxa"/>
            <w:vAlign w:val="bottom"/>
          </w:tcPr>
          <w:p w14:paraId="44EB13E4" w14:textId="77777777"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No.</w:t>
            </w:r>
          </w:p>
        </w:tc>
        <w:tc>
          <w:tcPr>
            <w:tcW w:w="878" w:type="dxa"/>
            <w:vAlign w:val="bottom"/>
          </w:tcPr>
          <w:p w14:paraId="0966E4DA" w14:textId="77777777"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PIN</w:t>
            </w:r>
          </w:p>
        </w:tc>
        <w:tc>
          <w:tcPr>
            <w:tcW w:w="3870" w:type="dxa"/>
            <w:vAlign w:val="bottom"/>
          </w:tcPr>
          <w:p w14:paraId="4B663C90"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Project</w:t>
            </w:r>
          </w:p>
        </w:tc>
        <w:tc>
          <w:tcPr>
            <w:tcW w:w="1080" w:type="dxa"/>
            <w:vAlign w:val="bottom"/>
          </w:tcPr>
          <w:p w14:paraId="2C2E3116"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14:paraId="031DEB7E"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CWIP</w:t>
            </w:r>
          </w:p>
        </w:tc>
        <w:tc>
          <w:tcPr>
            <w:tcW w:w="1260" w:type="dxa"/>
            <w:vAlign w:val="bottom"/>
          </w:tcPr>
          <w:p w14:paraId="2DDFF3BA"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14:paraId="0395EDD5"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Non-CWIP</w:t>
            </w:r>
          </w:p>
        </w:tc>
        <w:tc>
          <w:tcPr>
            <w:tcW w:w="1080" w:type="dxa"/>
          </w:tcPr>
          <w:p w14:paraId="29D1C4E5" w14:textId="77777777"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Total</w:t>
            </w:r>
          </w:p>
        </w:tc>
      </w:tr>
      <w:tr w:rsidR="001E5D0F" w:rsidRPr="00F96FBF" w14:paraId="75BDA0E1" w14:textId="77777777" w:rsidTr="00B541B9">
        <w:tc>
          <w:tcPr>
            <w:tcW w:w="562" w:type="dxa"/>
            <w:vAlign w:val="center"/>
          </w:tcPr>
          <w:p w14:paraId="677B8FCC" w14:textId="77777777"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1</w:t>
            </w:r>
          </w:p>
        </w:tc>
        <w:tc>
          <w:tcPr>
            <w:tcW w:w="878" w:type="dxa"/>
            <w:vAlign w:val="center"/>
          </w:tcPr>
          <w:p w14:paraId="0A486E3D" w14:textId="77777777" w:rsidR="001E5D0F" w:rsidRPr="00852B51"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3364</w:t>
            </w:r>
          </w:p>
        </w:tc>
        <w:tc>
          <w:tcPr>
            <w:tcW w:w="3870" w:type="dxa"/>
            <w:vAlign w:val="center"/>
          </w:tcPr>
          <w:p w14:paraId="17B9C792" w14:textId="77777777" w:rsidR="001E5D0F" w:rsidRPr="001E5D0F" w:rsidRDefault="006379FB" w:rsidP="00F96FBF">
            <w:pPr>
              <w:rPr>
                <w:rFonts w:ascii="Times New Roman" w:hAnsi="Times New Roman" w:cs="Times New Roman"/>
                <w:sz w:val="20"/>
                <w:szCs w:val="20"/>
              </w:rPr>
            </w:pPr>
            <w:r w:rsidRPr="006379FB">
              <w:rPr>
                <w:rFonts w:ascii="Times New Roman" w:hAnsi="Times New Roman" w:cs="Times New Roman"/>
                <w:sz w:val="20"/>
                <w:szCs w:val="20"/>
              </w:rPr>
              <w:t>Transmission Breakdown Maintenance Planned</w:t>
            </w:r>
          </w:p>
        </w:tc>
        <w:tc>
          <w:tcPr>
            <w:tcW w:w="1080" w:type="dxa"/>
            <w:vAlign w:val="center"/>
          </w:tcPr>
          <w:p w14:paraId="4D29E25D" w14:textId="77777777"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14:paraId="5ADDD7B6"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6.863</w:t>
            </w:r>
          </w:p>
        </w:tc>
        <w:tc>
          <w:tcPr>
            <w:tcW w:w="1080" w:type="dxa"/>
            <w:vAlign w:val="center"/>
          </w:tcPr>
          <w:p w14:paraId="0BA9375D"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6.863</w:t>
            </w:r>
          </w:p>
        </w:tc>
      </w:tr>
      <w:tr w:rsidR="00A14772" w:rsidRPr="00F96FBF" w14:paraId="6E5FBD1D" w14:textId="77777777" w:rsidTr="00B541B9">
        <w:tc>
          <w:tcPr>
            <w:tcW w:w="562" w:type="dxa"/>
            <w:vAlign w:val="center"/>
          </w:tcPr>
          <w:p w14:paraId="06D1DD7D" w14:textId="77777777" w:rsidR="00A14772" w:rsidRPr="001E5D0F" w:rsidRDefault="00A14772" w:rsidP="00F75B8C">
            <w:pPr>
              <w:jc w:val="center"/>
              <w:rPr>
                <w:rFonts w:ascii="Times New Roman" w:hAnsi="Times New Roman" w:cs="Times New Roman"/>
                <w:sz w:val="20"/>
                <w:szCs w:val="20"/>
              </w:rPr>
            </w:pPr>
            <w:r w:rsidRPr="001E5D0F">
              <w:rPr>
                <w:rFonts w:ascii="Times New Roman" w:hAnsi="Times New Roman" w:cs="Times New Roman"/>
                <w:sz w:val="20"/>
                <w:szCs w:val="20"/>
              </w:rPr>
              <w:t>2</w:t>
            </w:r>
          </w:p>
        </w:tc>
        <w:tc>
          <w:tcPr>
            <w:tcW w:w="878" w:type="dxa"/>
            <w:vAlign w:val="center"/>
          </w:tcPr>
          <w:p w14:paraId="3C2AC0BA" w14:textId="77777777" w:rsidR="00A14772" w:rsidRPr="00852B51" w:rsidRDefault="00F75B8C" w:rsidP="00F75B8C">
            <w:pPr>
              <w:jc w:val="center"/>
              <w:rPr>
                <w:rFonts w:ascii="Times New Roman" w:hAnsi="Times New Roman" w:cs="Times New Roman"/>
                <w:sz w:val="20"/>
                <w:szCs w:val="20"/>
              </w:rPr>
            </w:pPr>
            <w:r w:rsidRPr="00852B51">
              <w:rPr>
                <w:rFonts w:ascii="Times New Roman" w:hAnsi="Times New Roman" w:cs="Times New Roman"/>
                <w:sz w:val="20"/>
                <w:szCs w:val="20"/>
              </w:rPr>
              <w:t>5210</w:t>
            </w:r>
          </w:p>
        </w:tc>
        <w:tc>
          <w:tcPr>
            <w:tcW w:w="3870" w:type="dxa"/>
            <w:vAlign w:val="center"/>
          </w:tcPr>
          <w:p w14:paraId="4F3081E0" w14:textId="77777777" w:rsidR="00A14772" w:rsidRPr="001E5D0F" w:rsidRDefault="006C1C9C" w:rsidP="008B7439">
            <w:pPr>
              <w:rPr>
                <w:rFonts w:ascii="Times New Roman" w:hAnsi="Times New Roman" w:cs="Times New Roman"/>
                <w:sz w:val="20"/>
                <w:szCs w:val="20"/>
              </w:rPr>
            </w:pPr>
            <w:r w:rsidRPr="006C1C9C">
              <w:rPr>
                <w:rFonts w:ascii="Times New Roman" w:hAnsi="Times New Roman" w:cs="Times New Roman"/>
                <w:sz w:val="20"/>
                <w:szCs w:val="20"/>
              </w:rPr>
              <w:t>Substation Transformer Bank Replacement Program (AA-</w:t>
            </w:r>
            <w:r w:rsidR="008B7439">
              <w:rPr>
                <w:rFonts w:ascii="Times New Roman" w:hAnsi="Times New Roman" w:cs="Times New Roman"/>
                <w:sz w:val="20"/>
                <w:szCs w:val="20"/>
              </w:rPr>
              <w:t xml:space="preserve"> </w:t>
            </w:r>
            <w:r w:rsidRPr="006C1C9C">
              <w:rPr>
                <w:rFonts w:ascii="Times New Roman" w:hAnsi="Times New Roman" w:cs="Times New Roman"/>
                <w:sz w:val="20"/>
                <w:szCs w:val="20"/>
              </w:rPr>
              <w:t>&amp; A-Bank)</w:t>
            </w:r>
          </w:p>
        </w:tc>
        <w:tc>
          <w:tcPr>
            <w:tcW w:w="1080" w:type="dxa"/>
            <w:vAlign w:val="center"/>
          </w:tcPr>
          <w:p w14:paraId="12F35435" w14:textId="77777777" w:rsidR="00A14772" w:rsidRPr="001E5D0F" w:rsidRDefault="00A14772"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14:paraId="1BF222F6" w14:textId="77777777" w:rsidR="00A14772"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18.148</w:t>
            </w:r>
          </w:p>
        </w:tc>
        <w:tc>
          <w:tcPr>
            <w:tcW w:w="1080" w:type="dxa"/>
            <w:vAlign w:val="center"/>
          </w:tcPr>
          <w:p w14:paraId="33340991" w14:textId="77777777" w:rsidR="00A14772"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18.148</w:t>
            </w:r>
          </w:p>
        </w:tc>
      </w:tr>
      <w:tr w:rsidR="001E5D0F" w:rsidRPr="00F96FBF" w14:paraId="78646C2C" w14:textId="77777777" w:rsidTr="00B541B9">
        <w:trPr>
          <w:trHeight w:val="170"/>
        </w:trPr>
        <w:tc>
          <w:tcPr>
            <w:tcW w:w="562" w:type="dxa"/>
            <w:vAlign w:val="center"/>
          </w:tcPr>
          <w:p w14:paraId="69E6FFA3" w14:textId="77777777"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3</w:t>
            </w:r>
          </w:p>
        </w:tc>
        <w:tc>
          <w:tcPr>
            <w:tcW w:w="878" w:type="dxa"/>
            <w:vAlign w:val="center"/>
          </w:tcPr>
          <w:p w14:paraId="5DEA0507" w14:textId="77777777" w:rsidR="001E5D0F" w:rsidRPr="00852B51" w:rsidRDefault="00F75B8C" w:rsidP="00F75B8C">
            <w:pPr>
              <w:jc w:val="center"/>
              <w:rPr>
                <w:rFonts w:ascii="Times New Roman" w:hAnsi="Times New Roman" w:cs="Times New Roman"/>
                <w:sz w:val="20"/>
                <w:szCs w:val="20"/>
              </w:rPr>
            </w:pPr>
            <w:r w:rsidRPr="00852B51">
              <w:rPr>
                <w:rFonts w:ascii="Times New Roman" w:hAnsi="Times New Roman" w:cs="Times New Roman"/>
                <w:sz w:val="20"/>
                <w:szCs w:val="20"/>
              </w:rPr>
              <w:t>6428</w:t>
            </w:r>
          </w:p>
        </w:tc>
        <w:tc>
          <w:tcPr>
            <w:tcW w:w="3870" w:type="dxa"/>
            <w:vAlign w:val="center"/>
          </w:tcPr>
          <w:p w14:paraId="75CFBE33" w14:textId="77777777" w:rsidR="001E5D0F" w:rsidRPr="001E5D0F" w:rsidRDefault="00F75B8C" w:rsidP="0007153D">
            <w:pPr>
              <w:rPr>
                <w:rFonts w:ascii="Times New Roman" w:hAnsi="Times New Roman" w:cs="Times New Roman"/>
                <w:sz w:val="20"/>
                <w:szCs w:val="20"/>
              </w:rPr>
            </w:pPr>
            <w:r w:rsidRPr="00F75B8C">
              <w:rPr>
                <w:rFonts w:ascii="Times New Roman" w:hAnsi="Times New Roman" w:cs="Times New Roman"/>
                <w:sz w:val="20"/>
                <w:szCs w:val="20"/>
              </w:rPr>
              <w:t>Centralized Remedial Action Scheme (C-RAS)</w:t>
            </w:r>
            <w:r w:rsidR="006379FB">
              <w:rPr>
                <w:rFonts w:ascii="Times New Roman" w:hAnsi="Times New Roman" w:cs="Times New Roman"/>
                <w:sz w:val="20"/>
                <w:szCs w:val="20"/>
              </w:rPr>
              <w:t xml:space="preserve"> Program Phase</w:t>
            </w:r>
          </w:p>
        </w:tc>
        <w:tc>
          <w:tcPr>
            <w:tcW w:w="1080" w:type="dxa"/>
            <w:vAlign w:val="center"/>
          </w:tcPr>
          <w:p w14:paraId="3DC09081" w14:textId="77777777"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14:paraId="1F7486F2"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13.833</w:t>
            </w:r>
          </w:p>
        </w:tc>
        <w:tc>
          <w:tcPr>
            <w:tcW w:w="1080" w:type="dxa"/>
            <w:vAlign w:val="center"/>
          </w:tcPr>
          <w:p w14:paraId="5469C2D6"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13.833</w:t>
            </w:r>
          </w:p>
        </w:tc>
      </w:tr>
      <w:tr w:rsidR="001E5D0F" w:rsidRPr="00F96FBF" w14:paraId="297BDE91" w14:textId="77777777" w:rsidTr="00B541B9">
        <w:tc>
          <w:tcPr>
            <w:tcW w:w="562" w:type="dxa"/>
            <w:vAlign w:val="center"/>
          </w:tcPr>
          <w:p w14:paraId="3F96CB6C" w14:textId="77777777"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4</w:t>
            </w:r>
          </w:p>
        </w:tc>
        <w:tc>
          <w:tcPr>
            <w:tcW w:w="878" w:type="dxa"/>
            <w:vAlign w:val="center"/>
          </w:tcPr>
          <w:p w14:paraId="1706B665" w14:textId="77777777" w:rsidR="001E5D0F" w:rsidRPr="00852B51" w:rsidRDefault="00F75B8C" w:rsidP="00F75B8C">
            <w:pPr>
              <w:jc w:val="center"/>
              <w:rPr>
                <w:rFonts w:ascii="Times New Roman" w:hAnsi="Times New Roman" w:cs="Times New Roman"/>
                <w:sz w:val="20"/>
                <w:szCs w:val="20"/>
              </w:rPr>
            </w:pPr>
            <w:r w:rsidRPr="00852B51">
              <w:rPr>
                <w:rFonts w:ascii="Times New Roman" w:hAnsi="Times New Roman" w:cs="Times New Roman"/>
                <w:sz w:val="20"/>
                <w:szCs w:val="20"/>
              </w:rPr>
              <w:t>7298</w:t>
            </w:r>
          </w:p>
        </w:tc>
        <w:tc>
          <w:tcPr>
            <w:tcW w:w="3870" w:type="dxa"/>
            <w:vAlign w:val="center"/>
          </w:tcPr>
          <w:p w14:paraId="778FF118" w14:textId="77777777" w:rsidR="001E5D0F" w:rsidRPr="001E5D0F" w:rsidRDefault="00F75B8C" w:rsidP="00F96FBF">
            <w:pPr>
              <w:rPr>
                <w:rFonts w:ascii="Times New Roman" w:hAnsi="Times New Roman" w:cs="Times New Roman"/>
                <w:sz w:val="20"/>
                <w:szCs w:val="20"/>
              </w:rPr>
            </w:pPr>
            <w:r w:rsidRPr="00F75B8C">
              <w:rPr>
                <w:rFonts w:ascii="Times New Roman" w:hAnsi="Times New Roman" w:cs="Times New Roman"/>
                <w:sz w:val="20"/>
                <w:szCs w:val="20"/>
              </w:rPr>
              <w:t>Transmission Line Rating Remediation</w:t>
            </w:r>
          </w:p>
        </w:tc>
        <w:tc>
          <w:tcPr>
            <w:tcW w:w="1080" w:type="dxa"/>
            <w:vAlign w:val="center"/>
          </w:tcPr>
          <w:p w14:paraId="68210C98" w14:textId="77777777"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14:paraId="56ED0C31"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60.450</w:t>
            </w:r>
          </w:p>
        </w:tc>
        <w:tc>
          <w:tcPr>
            <w:tcW w:w="1080" w:type="dxa"/>
            <w:vAlign w:val="center"/>
          </w:tcPr>
          <w:p w14:paraId="5EF99FFF"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60.450</w:t>
            </w:r>
          </w:p>
        </w:tc>
      </w:tr>
      <w:tr w:rsidR="0031264C" w:rsidRPr="00F96FBF" w14:paraId="28855282" w14:textId="77777777" w:rsidTr="00B541B9">
        <w:tc>
          <w:tcPr>
            <w:tcW w:w="562" w:type="dxa"/>
            <w:vAlign w:val="center"/>
          </w:tcPr>
          <w:p w14:paraId="4816FA5C" w14:textId="1DBB12EE" w:rsidR="0031264C" w:rsidRDefault="0031264C" w:rsidP="00F75B8C">
            <w:pPr>
              <w:jc w:val="center"/>
              <w:rPr>
                <w:rFonts w:ascii="Times New Roman" w:hAnsi="Times New Roman" w:cs="Times New Roman"/>
                <w:sz w:val="20"/>
                <w:szCs w:val="20"/>
              </w:rPr>
            </w:pPr>
            <w:r>
              <w:rPr>
                <w:rFonts w:ascii="Times New Roman" w:hAnsi="Times New Roman" w:cs="Times New Roman"/>
                <w:sz w:val="20"/>
                <w:szCs w:val="20"/>
              </w:rPr>
              <w:t>5</w:t>
            </w:r>
          </w:p>
        </w:tc>
        <w:tc>
          <w:tcPr>
            <w:tcW w:w="878" w:type="dxa"/>
            <w:vAlign w:val="center"/>
          </w:tcPr>
          <w:p w14:paraId="348F89F1" w14:textId="2CD1F5CD" w:rsidR="0031264C" w:rsidRPr="00852B51" w:rsidRDefault="0031264C" w:rsidP="006379FB">
            <w:pPr>
              <w:jc w:val="center"/>
              <w:rPr>
                <w:rFonts w:ascii="Times New Roman" w:hAnsi="Times New Roman" w:cs="Times New Roman"/>
                <w:sz w:val="20"/>
                <w:szCs w:val="20"/>
              </w:rPr>
            </w:pPr>
            <w:r>
              <w:rPr>
                <w:rFonts w:ascii="Times New Roman" w:hAnsi="Times New Roman" w:cs="Times New Roman"/>
                <w:sz w:val="20"/>
                <w:szCs w:val="20"/>
              </w:rPr>
              <w:t>4343</w:t>
            </w:r>
          </w:p>
        </w:tc>
        <w:tc>
          <w:tcPr>
            <w:tcW w:w="3870" w:type="dxa"/>
            <w:vAlign w:val="center"/>
          </w:tcPr>
          <w:p w14:paraId="01ABB952" w14:textId="1058BD44" w:rsidR="0031264C" w:rsidRPr="006379FB" w:rsidRDefault="0031264C" w:rsidP="00312604">
            <w:pPr>
              <w:rPr>
                <w:rFonts w:ascii="Times New Roman" w:hAnsi="Times New Roman" w:cs="Times New Roman"/>
                <w:sz w:val="20"/>
                <w:szCs w:val="20"/>
              </w:rPr>
            </w:pPr>
            <w:r w:rsidRPr="0031264C">
              <w:rPr>
                <w:rFonts w:ascii="Times New Roman" w:hAnsi="Times New Roman" w:cs="Times New Roman"/>
                <w:sz w:val="20"/>
                <w:szCs w:val="20"/>
              </w:rPr>
              <w:t>Non-Bulk Re</w:t>
            </w:r>
            <w:r>
              <w:rPr>
                <w:rFonts w:ascii="Times New Roman" w:hAnsi="Times New Roman" w:cs="Times New Roman"/>
                <w:sz w:val="20"/>
                <w:szCs w:val="20"/>
              </w:rPr>
              <w:t>lay Replacement Program</w:t>
            </w:r>
          </w:p>
        </w:tc>
        <w:tc>
          <w:tcPr>
            <w:tcW w:w="1080" w:type="dxa"/>
            <w:vAlign w:val="center"/>
          </w:tcPr>
          <w:p w14:paraId="33F13F4E" w14:textId="37618324" w:rsidR="0031264C" w:rsidRDefault="0031264C"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491655E0" w14:textId="32F0C0B7" w:rsidR="0031264C" w:rsidRDefault="0031264C" w:rsidP="00714AF1">
            <w:pPr>
              <w:jc w:val="right"/>
              <w:rPr>
                <w:rFonts w:ascii="Times New Roman" w:hAnsi="Times New Roman" w:cs="Times New Roman"/>
                <w:sz w:val="20"/>
                <w:szCs w:val="20"/>
              </w:rPr>
            </w:pPr>
            <w:r>
              <w:rPr>
                <w:rFonts w:ascii="Times New Roman" w:hAnsi="Times New Roman" w:cs="Times New Roman"/>
                <w:sz w:val="20"/>
                <w:szCs w:val="20"/>
              </w:rPr>
              <w:t>7.738</w:t>
            </w:r>
          </w:p>
        </w:tc>
        <w:tc>
          <w:tcPr>
            <w:tcW w:w="1080" w:type="dxa"/>
            <w:vAlign w:val="center"/>
          </w:tcPr>
          <w:p w14:paraId="78E9483D" w14:textId="591DEEA4" w:rsidR="0031264C" w:rsidRDefault="0031264C" w:rsidP="00714AF1">
            <w:pPr>
              <w:jc w:val="right"/>
              <w:rPr>
                <w:rFonts w:ascii="Times New Roman" w:hAnsi="Times New Roman" w:cs="Times New Roman"/>
                <w:sz w:val="20"/>
                <w:szCs w:val="20"/>
              </w:rPr>
            </w:pPr>
            <w:r>
              <w:rPr>
                <w:rFonts w:ascii="Times New Roman" w:hAnsi="Times New Roman" w:cs="Times New Roman"/>
                <w:sz w:val="20"/>
                <w:szCs w:val="20"/>
              </w:rPr>
              <w:t>7.738</w:t>
            </w:r>
          </w:p>
        </w:tc>
      </w:tr>
      <w:tr w:rsidR="00063872" w:rsidRPr="00F96FBF" w14:paraId="236B2509" w14:textId="77777777" w:rsidTr="00B541B9">
        <w:tc>
          <w:tcPr>
            <w:tcW w:w="562" w:type="dxa"/>
            <w:vAlign w:val="center"/>
          </w:tcPr>
          <w:p w14:paraId="10162DDB" w14:textId="2B5557CF" w:rsidR="00063872"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vAlign w:val="center"/>
          </w:tcPr>
          <w:p w14:paraId="3DE9E17B" w14:textId="77777777" w:rsidR="006379FB" w:rsidRPr="00852B51" w:rsidRDefault="006379FB" w:rsidP="006379FB">
            <w:pPr>
              <w:jc w:val="center"/>
              <w:rPr>
                <w:rFonts w:ascii="Times New Roman" w:hAnsi="Times New Roman" w:cs="Times New Roman"/>
                <w:sz w:val="20"/>
                <w:szCs w:val="20"/>
              </w:rPr>
            </w:pPr>
            <w:r w:rsidRPr="00852B51">
              <w:rPr>
                <w:rFonts w:ascii="Times New Roman" w:hAnsi="Times New Roman" w:cs="Times New Roman"/>
                <w:sz w:val="20"/>
                <w:szCs w:val="20"/>
              </w:rPr>
              <w:t>4756</w:t>
            </w:r>
          </w:p>
        </w:tc>
        <w:tc>
          <w:tcPr>
            <w:tcW w:w="3870" w:type="dxa"/>
            <w:vAlign w:val="center"/>
          </w:tcPr>
          <w:p w14:paraId="507C0AFE" w14:textId="77777777" w:rsidR="00063872" w:rsidRPr="00F75B8C" w:rsidRDefault="006379FB" w:rsidP="00312604">
            <w:pPr>
              <w:rPr>
                <w:rFonts w:ascii="Times New Roman" w:hAnsi="Times New Roman" w:cs="Times New Roman"/>
                <w:sz w:val="20"/>
                <w:szCs w:val="20"/>
              </w:rPr>
            </w:pPr>
            <w:r w:rsidRPr="006379FB">
              <w:rPr>
                <w:rFonts w:ascii="Times New Roman" w:hAnsi="Times New Roman" w:cs="Times New Roman"/>
                <w:sz w:val="20"/>
                <w:szCs w:val="20"/>
              </w:rPr>
              <w:t xml:space="preserve">Substation </w:t>
            </w:r>
            <w:r w:rsidR="00395A03">
              <w:rPr>
                <w:rFonts w:ascii="Times New Roman" w:hAnsi="Times New Roman" w:cs="Times New Roman"/>
                <w:sz w:val="20"/>
                <w:szCs w:val="20"/>
              </w:rPr>
              <w:t xml:space="preserve">Miscellaneous </w:t>
            </w:r>
            <w:r w:rsidRPr="006379FB">
              <w:rPr>
                <w:rFonts w:ascii="Times New Roman" w:hAnsi="Times New Roman" w:cs="Times New Roman"/>
                <w:sz w:val="20"/>
                <w:szCs w:val="20"/>
              </w:rPr>
              <w:t>Equipment Additions &amp; Betterment</w:t>
            </w:r>
          </w:p>
        </w:tc>
        <w:tc>
          <w:tcPr>
            <w:tcW w:w="1080" w:type="dxa"/>
            <w:vAlign w:val="center"/>
          </w:tcPr>
          <w:p w14:paraId="41BE8DE9" w14:textId="77777777" w:rsidR="00063872" w:rsidRPr="001E5D0F" w:rsidRDefault="00063872"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4657031A" w14:textId="77777777" w:rsidR="00063872" w:rsidRDefault="006379FB" w:rsidP="00714AF1">
            <w:pPr>
              <w:jc w:val="right"/>
              <w:rPr>
                <w:rFonts w:ascii="Times New Roman" w:hAnsi="Times New Roman" w:cs="Times New Roman"/>
                <w:sz w:val="20"/>
                <w:szCs w:val="20"/>
              </w:rPr>
            </w:pPr>
            <w:r>
              <w:rPr>
                <w:rFonts w:ascii="Times New Roman" w:hAnsi="Times New Roman" w:cs="Times New Roman"/>
                <w:sz w:val="20"/>
                <w:szCs w:val="20"/>
              </w:rPr>
              <w:t>9.971</w:t>
            </w:r>
          </w:p>
        </w:tc>
        <w:tc>
          <w:tcPr>
            <w:tcW w:w="1080" w:type="dxa"/>
            <w:vAlign w:val="center"/>
          </w:tcPr>
          <w:p w14:paraId="131EE606" w14:textId="77777777" w:rsidR="00063872" w:rsidRDefault="006379FB" w:rsidP="00714AF1">
            <w:pPr>
              <w:jc w:val="right"/>
              <w:rPr>
                <w:rFonts w:ascii="Times New Roman" w:hAnsi="Times New Roman" w:cs="Times New Roman"/>
                <w:sz w:val="20"/>
                <w:szCs w:val="20"/>
              </w:rPr>
            </w:pPr>
            <w:r>
              <w:rPr>
                <w:rFonts w:ascii="Times New Roman" w:hAnsi="Times New Roman" w:cs="Times New Roman"/>
                <w:sz w:val="20"/>
                <w:szCs w:val="20"/>
              </w:rPr>
              <w:t>9.971</w:t>
            </w:r>
          </w:p>
        </w:tc>
      </w:tr>
      <w:tr w:rsidR="001E5D0F" w:rsidRPr="00F96FBF" w14:paraId="4BD2A1E1" w14:textId="77777777" w:rsidTr="00B541B9">
        <w:tc>
          <w:tcPr>
            <w:tcW w:w="562" w:type="dxa"/>
            <w:vAlign w:val="center"/>
          </w:tcPr>
          <w:p w14:paraId="60788E3A" w14:textId="6B1B7CE9" w:rsidR="001E5D0F"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vAlign w:val="center"/>
          </w:tcPr>
          <w:p w14:paraId="0BF53D9C" w14:textId="77777777" w:rsidR="001E5D0F" w:rsidRPr="00852B51"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4791</w:t>
            </w:r>
          </w:p>
        </w:tc>
        <w:tc>
          <w:tcPr>
            <w:tcW w:w="3870" w:type="dxa"/>
            <w:vAlign w:val="center"/>
          </w:tcPr>
          <w:p w14:paraId="5A494AC9" w14:textId="77611960" w:rsidR="001E5D0F" w:rsidRPr="001E5D0F" w:rsidRDefault="006379FB" w:rsidP="006D3058">
            <w:pPr>
              <w:rPr>
                <w:rFonts w:ascii="Times New Roman" w:hAnsi="Times New Roman" w:cs="Times New Roman"/>
                <w:sz w:val="20"/>
                <w:szCs w:val="20"/>
              </w:rPr>
            </w:pPr>
            <w:r w:rsidRPr="006379FB">
              <w:rPr>
                <w:rFonts w:ascii="Times New Roman" w:hAnsi="Times New Roman" w:cs="Times New Roman"/>
                <w:sz w:val="20"/>
                <w:szCs w:val="20"/>
              </w:rPr>
              <w:t>Engineer and construct new interconnection facilities</w:t>
            </w:r>
            <w:r w:rsidR="00BC78DA">
              <w:rPr>
                <w:rFonts w:ascii="Times New Roman" w:hAnsi="Times New Roman" w:cs="Times New Roman"/>
                <w:sz w:val="20"/>
                <w:szCs w:val="20"/>
              </w:rPr>
              <w:t xml:space="preserve"> (Network Upgrades)</w:t>
            </w:r>
          </w:p>
        </w:tc>
        <w:tc>
          <w:tcPr>
            <w:tcW w:w="1080" w:type="dxa"/>
            <w:vAlign w:val="center"/>
          </w:tcPr>
          <w:p w14:paraId="48C6D4F0" w14:textId="77777777"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0EE3E5D0"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5.000</w:t>
            </w:r>
          </w:p>
        </w:tc>
        <w:tc>
          <w:tcPr>
            <w:tcW w:w="1080" w:type="dxa"/>
            <w:vAlign w:val="center"/>
          </w:tcPr>
          <w:p w14:paraId="57F4223F"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5.000</w:t>
            </w:r>
          </w:p>
        </w:tc>
      </w:tr>
      <w:tr w:rsidR="001E5D0F" w:rsidRPr="00F96FBF" w14:paraId="15B96B97" w14:textId="77777777" w:rsidTr="00B541B9">
        <w:tc>
          <w:tcPr>
            <w:tcW w:w="562" w:type="dxa"/>
            <w:vAlign w:val="center"/>
          </w:tcPr>
          <w:p w14:paraId="6A990A27" w14:textId="7B2D65B8" w:rsidR="001E5D0F"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vAlign w:val="center"/>
          </w:tcPr>
          <w:p w14:paraId="0C277D12" w14:textId="77777777" w:rsidR="001E5D0F" w:rsidRPr="00852B51" w:rsidRDefault="00B74F74" w:rsidP="00F75B8C">
            <w:pPr>
              <w:jc w:val="center"/>
              <w:rPr>
                <w:rFonts w:ascii="Times New Roman" w:hAnsi="Times New Roman" w:cs="Times New Roman"/>
                <w:sz w:val="20"/>
                <w:szCs w:val="20"/>
              </w:rPr>
            </w:pPr>
            <w:r w:rsidRPr="00852B51">
              <w:rPr>
                <w:rFonts w:ascii="Times New Roman" w:hAnsi="Times New Roman" w:cs="Times New Roman"/>
                <w:sz w:val="20"/>
                <w:szCs w:val="20"/>
              </w:rPr>
              <w:t>6791</w:t>
            </w:r>
          </w:p>
        </w:tc>
        <w:tc>
          <w:tcPr>
            <w:tcW w:w="3870" w:type="dxa"/>
            <w:vAlign w:val="center"/>
          </w:tcPr>
          <w:p w14:paraId="61F5DB87" w14:textId="77777777" w:rsidR="001E5D0F" w:rsidRPr="001E5D0F" w:rsidRDefault="0023374C" w:rsidP="00B74F74">
            <w:pPr>
              <w:rPr>
                <w:rFonts w:ascii="Times New Roman" w:hAnsi="Times New Roman" w:cs="Times New Roman"/>
                <w:sz w:val="20"/>
                <w:szCs w:val="20"/>
              </w:rPr>
            </w:pPr>
            <w:r w:rsidRPr="0023374C">
              <w:rPr>
                <w:rFonts w:ascii="Times New Roman" w:hAnsi="Times New Roman" w:cs="Times New Roman"/>
                <w:sz w:val="20"/>
                <w:szCs w:val="20"/>
              </w:rPr>
              <w:t>Lugo 500</w:t>
            </w:r>
            <w:r w:rsidR="00D35E44">
              <w:rPr>
                <w:rFonts w:ascii="Times New Roman" w:hAnsi="Times New Roman" w:cs="Times New Roman"/>
                <w:sz w:val="20"/>
                <w:szCs w:val="20"/>
              </w:rPr>
              <w:t xml:space="preserve"> </w:t>
            </w:r>
            <w:r w:rsidR="00677B05">
              <w:rPr>
                <w:rFonts w:ascii="Times New Roman" w:hAnsi="Times New Roman" w:cs="Times New Roman"/>
                <w:sz w:val="20"/>
                <w:szCs w:val="20"/>
              </w:rPr>
              <w:t>kV</w:t>
            </w:r>
            <w:r w:rsidRPr="0023374C">
              <w:rPr>
                <w:rFonts w:ascii="Times New Roman" w:hAnsi="Times New Roman" w:cs="Times New Roman"/>
                <w:sz w:val="20"/>
                <w:szCs w:val="20"/>
              </w:rPr>
              <w:t xml:space="preserve"> Substation Breaker Installation</w:t>
            </w:r>
          </w:p>
        </w:tc>
        <w:tc>
          <w:tcPr>
            <w:tcW w:w="1080" w:type="dxa"/>
            <w:vAlign w:val="center"/>
          </w:tcPr>
          <w:p w14:paraId="2FF3A887" w14:textId="77777777"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31951EC2"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9.401</w:t>
            </w:r>
          </w:p>
        </w:tc>
        <w:tc>
          <w:tcPr>
            <w:tcW w:w="1080" w:type="dxa"/>
            <w:vAlign w:val="center"/>
          </w:tcPr>
          <w:p w14:paraId="40C9B88A" w14:textId="77777777" w:rsidR="001E5D0F"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9.401</w:t>
            </w:r>
          </w:p>
        </w:tc>
      </w:tr>
      <w:tr w:rsidR="001E5D0F" w:rsidRPr="00F96FBF" w14:paraId="2A0CE71E" w14:textId="77777777" w:rsidTr="00B541B9">
        <w:tc>
          <w:tcPr>
            <w:tcW w:w="562" w:type="dxa"/>
            <w:vAlign w:val="center"/>
          </w:tcPr>
          <w:p w14:paraId="05613116" w14:textId="13C4F2D5" w:rsidR="001E5D0F"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vAlign w:val="center"/>
          </w:tcPr>
          <w:p w14:paraId="7CA4D96D" w14:textId="77777777" w:rsidR="001E5D0F" w:rsidRPr="00852B51"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7645</w:t>
            </w:r>
          </w:p>
        </w:tc>
        <w:tc>
          <w:tcPr>
            <w:tcW w:w="3870" w:type="dxa"/>
            <w:vAlign w:val="center"/>
          </w:tcPr>
          <w:p w14:paraId="5B3632E4" w14:textId="77777777" w:rsidR="001E5D0F" w:rsidRPr="001E5D0F" w:rsidRDefault="00DD11C7" w:rsidP="006A633B">
            <w:pPr>
              <w:rPr>
                <w:rFonts w:ascii="Times New Roman" w:hAnsi="Times New Roman" w:cs="Times New Roman"/>
                <w:sz w:val="20"/>
                <w:szCs w:val="20"/>
              </w:rPr>
            </w:pPr>
            <w:r>
              <w:rPr>
                <w:rFonts w:ascii="Times New Roman" w:hAnsi="Times New Roman" w:cs="Times New Roman"/>
                <w:sz w:val="20"/>
                <w:szCs w:val="20"/>
              </w:rPr>
              <w:t>Victor Loop-In Project</w:t>
            </w:r>
          </w:p>
        </w:tc>
        <w:tc>
          <w:tcPr>
            <w:tcW w:w="1080" w:type="dxa"/>
            <w:vAlign w:val="center"/>
          </w:tcPr>
          <w:p w14:paraId="494B3E41" w14:textId="77777777"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66A00CE4" w14:textId="77777777" w:rsidR="001E5D0F"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5.471</w:t>
            </w:r>
          </w:p>
        </w:tc>
        <w:tc>
          <w:tcPr>
            <w:tcW w:w="1080" w:type="dxa"/>
            <w:vAlign w:val="center"/>
          </w:tcPr>
          <w:p w14:paraId="251B7965" w14:textId="77777777" w:rsidR="001E5D0F" w:rsidRPr="001E5D0F" w:rsidRDefault="00D32E83" w:rsidP="00714AF1">
            <w:pPr>
              <w:jc w:val="right"/>
              <w:rPr>
                <w:rFonts w:ascii="Times New Roman" w:hAnsi="Times New Roman" w:cs="Times New Roman"/>
                <w:sz w:val="20"/>
                <w:szCs w:val="20"/>
              </w:rPr>
            </w:pPr>
            <w:r>
              <w:rPr>
                <w:rFonts w:ascii="Times New Roman" w:hAnsi="Times New Roman" w:cs="Times New Roman"/>
                <w:sz w:val="20"/>
                <w:szCs w:val="20"/>
              </w:rPr>
              <w:t>5.471</w:t>
            </w:r>
          </w:p>
        </w:tc>
      </w:tr>
      <w:tr w:rsidR="001E5D0F" w:rsidRPr="00F96FBF" w14:paraId="16061141" w14:textId="77777777" w:rsidTr="00B541B9">
        <w:tc>
          <w:tcPr>
            <w:tcW w:w="562" w:type="dxa"/>
            <w:vAlign w:val="center"/>
          </w:tcPr>
          <w:p w14:paraId="4C0B320E" w14:textId="11C51C0F" w:rsidR="001E5D0F"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14:paraId="648C19DA" w14:textId="77777777" w:rsidR="001E5D0F" w:rsidRPr="00852B51"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7113</w:t>
            </w:r>
          </w:p>
        </w:tc>
        <w:tc>
          <w:tcPr>
            <w:tcW w:w="3870" w:type="dxa"/>
            <w:vAlign w:val="center"/>
          </w:tcPr>
          <w:p w14:paraId="6DC8A712" w14:textId="77777777" w:rsidR="001E5D0F" w:rsidRPr="001E5D0F" w:rsidRDefault="00DD11C7" w:rsidP="000945E3">
            <w:pPr>
              <w:rPr>
                <w:rFonts w:ascii="Times New Roman" w:hAnsi="Times New Roman" w:cs="Times New Roman"/>
                <w:sz w:val="20"/>
                <w:szCs w:val="20"/>
              </w:rPr>
            </w:pPr>
            <w:r w:rsidRPr="00DD11C7">
              <w:rPr>
                <w:rFonts w:ascii="Times New Roman" w:hAnsi="Times New Roman" w:cs="Times New Roman"/>
                <w:sz w:val="20"/>
                <w:szCs w:val="20"/>
              </w:rPr>
              <w:t xml:space="preserve">El Nido </w:t>
            </w:r>
            <w:r w:rsidR="00976850">
              <w:rPr>
                <w:rFonts w:ascii="Times New Roman" w:hAnsi="Times New Roman" w:cs="Times New Roman"/>
                <w:sz w:val="20"/>
                <w:szCs w:val="20"/>
              </w:rPr>
              <w:t>220</w:t>
            </w:r>
            <w:r w:rsidRPr="00DD11C7">
              <w:rPr>
                <w:rFonts w:ascii="Times New Roman" w:hAnsi="Times New Roman" w:cs="Times New Roman"/>
                <w:sz w:val="20"/>
                <w:szCs w:val="20"/>
              </w:rPr>
              <w:t xml:space="preserve">/66 </w:t>
            </w:r>
            <w:r w:rsidR="00677B05">
              <w:rPr>
                <w:rFonts w:ascii="Times New Roman" w:hAnsi="Times New Roman" w:cs="Times New Roman"/>
                <w:sz w:val="20"/>
                <w:szCs w:val="20"/>
              </w:rPr>
              <w:t>kV</w:t>
            </w:r>
            <w:r w:rsidRPr="00DD11C7">
              <w:rPr>
                <w:rFonts w:ascii="Times New Roman" w:hAnsi="Times New Roman" w:cs="Times New Roman"/>
                <w:sz w:val="20"/>
                <w:szCs w:val="20"/>
              </w:rPr>
              <w:t>: Bank on Circuit Breaker Project</w:t>
            </w:r>
          </w:p>
        </w:tc>
        <w:tc>
          <w:tcPr>
            <w:tcW w:w="1080" w:type="dxa"/>
            <w:vAlign w:val="center"/>
          </w:tcPr>
          <w:p w14:paraId="45BE4670" w14:textId="77777777"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2FA11BEB" w14:textId="77777777" w:rsidR="001E5D0F"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5.010</w:t>
            </w:r>
          </w:p>
        </w:tc>
        <w:tc>
          <w:tcPr>
            <w:tcW w:w="1080" w:type="dxa"/>
            <w:vAlign w:val="center"/>
          </w:tcPr>
          <w:p w14:paraId="52B8C90E" w14:textId="77777777" w:rsidR="001E5D0F"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5.010</w:t>
            </w:r>
          </w:p>
        </w:tc>
      </w:tr>
      <w:tr w:rsidR="00A14772" w:rsidRPr="00F96FBF" w14:paraId="7AA9050C" w14:textId="77777777" w:rsidTr="00B541B9">
        <w:tc>
          <w:tcPr>
            <w:tcW w:w="562" w:type="dxa"/>
            <w:vAlign w:val="center"/>
          </w:tcPr>
          <w:p w14:paraId="01D0A510" w14:textId="6C449615" w:rsidR="00A14772"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t>11</w:t>
            </w:r>
          </w:p>
        </w:tc>
        <w:tc>
          <w:tcPr>
            <w:tcW w:w="878" w:type="dxa"/>
            <w:vAlign w:val="center"/>
          </w:tcPr>
          <w:p w14:paraId="3C58FE00" w14:textId="77777777" w:rsidR="00A14772" w:rsidRPr="001E5D0F"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7518</w:t>
            </w:r>
          </w:p>
        </w:tc>
        <w:tc>
          <w:tcPr>
            <w:tcW w:w="3870" w:type="dxa"/>
            <w:vAlign w:val="center"/>
          </w:tcPr>
          <w:p w14:paraId="3D151FC4" w14:textId="1BEC5EF1" w:rsidR="00A14772" w:rsidRPr="001E5D0F" w:rsidRDefault="00DD11C7" w:rsidP="00976850">
            <w:pPr>
              <w:rPr>
                <w:rFonts w:ascii="Times New Roman" w:hAnsi="Times New Roman" w:cs="Times New Roman"/>
                <w:sz w:val="20"/>
                <w:szCs w:val="20"/>
              </w:rPr>
            </w:pPr>
            <w:r>
              <w:rPr>
                <w:rFonts w:ascii="Times New Roman" w:hAnsi="Times New Roman" w:cs="Times New Roman"/>
                <w:sz w:val="20"/>
                <w:szCs w:val="20"/>
              </w:rPr>
              <w:t xml:space="preserve">Springville 220/66 </w:t>
            </w:r>
            <w:r w:rsidR="00677B05">
              <w:rPr>
                <w:rFonts w:ascii="Times New Roman" w:hAnsi="Times New Roman" w:cs="Times New Roman"/>
                <w:sz w:val="20"/>
                <w:szCs w:val="20"/>
              </w:rPr>
              <w:t>kV</w:t>
            </w:r>
            <w:r>
              <w:rPr>
                <w:rFonts w:ascii="Times New Roman" w:hAnsi="Times New Roman" w:cs="Times New Roman"/>
                <w:sz w:val="20"/>
                <w:szCs w:val="20"/>
              </w:rPr>
              <w:t xml:space="preserve"> Sub</w:t>
            </w:r>
            <w:r w:rsidR="00B30EE5">
              <w:rPr>
                <w:rFonts w:ascii="Times New Roman" w:hAnsi="Times New Roman" w:cs="Times New Roman"/>
                <w:sz w:val="20"/>
                <w:szCs w:val="20"/>
              </w:rPr>
              <w:t>station</w:t>
            </w:r>
            <w:r>
              <w:rPr>
                <w:rFonts w:ascii="Times New Roman" w:hAnsi="Times New Roman" w:cs="Times New Roman"/>
                <w:sz w:val="20"/>
                <w:szCs w:val="20"/>
              </w:rPr>
              <w:t>:</w:t>
            </w:r>
            <w:r w:rsidR="00976850">
              <w:rPr>
                <w:rFonts w:ascii="Times New Roman" w:hAnsi="Times New Roman" w:cs="Times New Roman"/>
                <w:sz w:val="20"/>
                <w:szCs w:val="20"/>
              </w:rPr>
              <w:t xml:space="preserve"> Bank on Circuit Breaker Project</w:t>
            </w:r>
          </w:p>
        </w:tc>
        <w:tc>
          <w:tcPr>
            <w:tcW w:w="1080" w:type="dxa"/>
            <w:vAlign w:val="center"/>
          </w:tcPr>
          <w:p w14:paraId="6E7083E8" w14:textId="77777777"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6D815616" w14:textId="52A644AB" w:rsidR="00A14772" w:rsidRPr="001E5D0F" w:rsidRDefault="00D934DA" w:rsidP="00714AF1">
            <w:pPr>
              <w:jc w:val="right"/>
              <w:rPr>
                <w:rFonts w:ascii="Times New Roman" w:hAnsi="Times New Roman" w:cs="Times New Roman"/>
                <w:sz w:val="20"/>
                <w:szCs w:val="20"/>
              </w:rPr>
            </w:pPr>
            <w:r>
              <w:rPr>
                <w:rFonts w:ascii="Times New Roman" w:hAnsi="Times New Roman" w:cs="Times New Roman"/>
                <w:sz w:val="20"/>
                <w:szCs w:val="20"/>
              </w:rPr>
              <w:t>5.821</w:t>
            </w:r>
          </w:p>
        </w:tc>
        <w:tc>
          <w:tcPr>
            <w:tcW w:w="1080" w:type="dxa"/>
            <w:vAlign w:val="center"/>
          </w:tcPr>
          <w:p w14:paraId="15D07F1C" w14:textId="24DFAF8B" w:rsidR="00A14772" w:rsidRPr="001E5D0F" w:rsidRDefault="00D934DA" w:rsidP="00714AF1">
            <w:pPr>
              <w:jc w:val="right"/>
              <w:rPr>
                <w:rFonts w:ascii="Times New Roman" w:hAnsi="Times New Roman" w:cs="Times New Roman"/>
                <w:sz w:val="20"/>
                <w:szCs w:val="20"/>
              </w:rPr>
            </w:pPr>
            <w:r>
              <w:rPr>
                <w:rFonts w:ascii="Times New Roman" w:hAnsi="Times New Roman" w:cs="Times New Roman"/>
                <w:sz w:val="20"/>
                <w:szCs w:val="20"/>
              </w:rPr>
              <w:t>5.821</w:t>
            </w:r>
          </w:p>
        </w:tc>
      </w:tr>
      <w:tr w:rsidR="00A14772" w:rsidRPr="00F96FBF" w14:paraId="00EDD6F0" w14:textId="77777777" w:rsidTr="00B541B9">
        <w:tc>
          <w:tcPr>
            <w:tcW w:w="562" w:type="dxa"/>
            <w:vAlign w:val="center"/>
          </w:tcPr>
          <w:p w14:paraId="4133A02F" w14:textId="7A7173AD" w:rsidR="00A14772" w:rsidRPr="001E5D0F" w:rsidRDefault="0031264C" w:rsidP="00F75B8C">
            <w:pPr>
              <w:jc w:val="center"/>
              <w:rPr>
                <w:rFonts w:ascii="Times New Roman" w:hAnsi="Times New Roman" w:cs="Times New Roman"/>
                <w:sz w:val="20"/>
                <w:szCs w:val="20"/>
              </w:rPr>
            </w:pPr>
            <w:r>
              <w:rPr>
                <w:rFonts w:ascii="Times New Roman" w:hAnsi="Times New Roman" w:cs="Times New Roman"/>
                <w:sz w:val="20"/>
                <w:szCs w:val="20"/>
              </w:rPr>
              <w:lastRenderedPageBreak/>
              <w:t>12</w:t>
            </w:r>
          </w:p>
        </w:tc>
        <w:tc>
          <w:tcPr>
            <w:tcW w:w="878" w:type="dxa"/>
            <w:vAlign w:val="center"/>
          </w:tcPr>
          <w:p w14:paraId="74950A9B" w14:textId="77777777" w:rsidR="00A14772" w:rsidRPr="001E5D0F"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3138</w:t>
            </w:r>
          </w:p>
        </w:tc>
        <w:tc>
          <w:tcPr>
            <w:tcW w:w="3870" w:type="dxa"/>
            <w:vAlign w:val="center"/>
          </w:tcPr>
          <w:p w14:paraId="14C4CCDB" w14:textId="77777777" w:rsidR="00A14772" w:rsidRPr="001E5D0F" w:rsidRDefault="006379FB" w:rsidP="00DB2D2B">
            <w:pPr>
              <w:rPr>
                <w:rFonts w:ascii="Times New Roman" w:hAnsi="Times New Roman" w:cs="Times New Roman"/>
                <w:sz w:val="20"/>
                <w:szCs w:val="20"/>
              </w:rPr>
            </w:pPr>
            <w:r w:rsidRPr="006379FB">
              <w:rPr>
                <w:rFonts w:ascii="Times New Roman" w:hAnsi="Times New Roman" w:cs="Times New Roman"/>
                <w:sz w:val="20"/>
                <w:szCs w:val="20"/>
              </w:rPr>
              <w:t>LADWP DC electrode replacement (LAND segment)</w:t>
            </w:r>
          </w:p>
        </w:tc>
        <w:tc>
          <w:tcPr>
            <w:tcW w:w="1080" w:type="dxa"/>
            <w:vAlign w:val="center"/>
          </w:tcPr>
          <w:p w14:paraId="5CF39A70" w14:textId="77777777"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14:paraId="0878B353" w14:textId="77777777" w:rsidR="00A14772"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24.746</w:t>
            </w:r>
          </w:p>
        </w:tc>
        <w:tc>
          <w:tcPr>
            <w:tcW w:w="1080" w:type="dxa"/>
            <w:vAlign w:val="center"/>
          </w:tcPr>
          <w:p w14:paraId="19843B91" w14:textId="77777777" w:rsidR="00A14772" w:rsidRPr="001E5D0F" w:rsidRDefault="006379FB" w:rsidP="00714AF1">
            <w:pPr>
              <w:jc w:val="right"/>
              <w:rPr>
                <w:rFonts w:ascii="Times New Roman" w:hAnsi="Times New Roman" w:cs="Times New Roman"/>
                <w:sz w:val="20"/>
                <w:szCs w:val="20"/>
              </w:rPr>
            </w:pPr>
            <w:r>
              <w:rPr>
                <w:rFonts w:ascii="Times New Roman" w:hAnsi="Times New Roman" w:cs="Times New Roman"/>
                <w:sz w:val="20"/>
                <w:szCs w:val="20"/>
              </w:rPr>
              <w:t>24.746</w:t>
            </w:r>
          </w:p>
        </w:tc>
      </w:tr>
      <w:tr w:rsidR="00A14772" w:rsidRPr="00F96FBF" w14:paraId="473E0172" w14:textId="77777777" w:rsidTr="00B541B9">
        <w:tc>
          <w:tcPr>
            <w:tcW w:w="562" w:type="dxa"/>
            <w:vAlign w:val="center"/>
          </w:tcPr>
          <w:p w14:paraId="3F5B5D93" w14:textId="7AD0B0DC" w:rsidR="00A14772" w:rsidRDefault="0031264C"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14:paraId="2F21A693" w14:textId="77777777" w:rsidR="00A14772" w:rsidRPr="001E5D0F" w:rsidRDefault="006379FB" w:rsidP="00F75B8C">
            <w:pPr>
              <w:jc w:val="center"/>
              <w:rPr>
                <w:rFonts w:ascii="Times New Roman" w:hAnsi="Times New Roman" w:cs="Times New Roman"/>
                <w:sz w:val="20"/>
                <w:szCs w:val="20"/>
              </w:rPr>
            </w:pPr>
            <w:r>
              <w:rPr>
                <w:rFonts w:ascii="Times New Roman" w:hAnsi="Times New Roman" w:cs="Times New Roman"/>
                <w:sz w:val="20"/>
                <w:szCs w:val="20"/>
              </w:rPr>
              <w:t>7553</w:t>
            </w:r>
          </w:p>
        </w:tc>
        <w:tc>
          <w:tcPr>
            <w:tcW w:w="3870" w:type="dxa"/>
            <w:vAlign w:val="center"/>
          </w:tcPr>
          <w:p w14:paraId="39000FFF" w14:textId="63E1650C" w:rsidR="00A14772" w:rsidRPr="001E5D0F" w:rsidRDefault="006379FB" w:rsidP="0029727D">
            <w:pPr>
              <w:rPr>
                <w:rFonts w:ascii="Times New Roman" w:hAnsi="Times New Roman" w:cs="Times New Roman"/>
                <w:sz w:val="20"/>
                <w:szCs w:val="20"/>
              </w:rPr>
            </w:pPr>
            <w:r>
              <w:rPr>
                <w:rFonts w:ascii="Times New Roman" w:hAnsi="Times New Roman" w:cs="Times New Roman"/>
                <w:sz w:val="20"/>
                <w:szCs w:val="20"/>
              </w:rPr>
              <w:t xml:space="preserve">TRTP Segment </w:t>
            </w:r>
            <w:r w:rsidR="0029727D">
              <w:rPr>
                <w:rFonts w:ascii="Times New Roman" w:hAnsi="Times New Roman" w:cs="Times New Roman"/>
                <w:sz w:val="20"/>
                <w:szCs w:val="20"/>
              </w:rPr>
              <w:t>8A</w:t>
            </w:r>
          </w:p>
        </w:tc>
        <w:tc>
          <w:tcPr>
            <w:tcW w:w="1080" w:type="dxa"/>
            <w:vAlign w:val="center"/>
          </w:tcPr>
          <w:p w14:paraId="52728520" w14:textId="77777777" w:rsidR="00A14772"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331.160</w:t>
            </w:r>
          </w:p>
        </w:tc>
        <w:tc>
          <w:tcPr>
            <w:tcW w:w="1260" w:type="dxa"/>
            <w:vAlign w:val="center"/>
          </w:tcPr>
          <w:p w14:paraId="0E69EE26" w14:textId="77777777"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14:paraId="10E1F343" w14:textId="77777777" w:rsidR="00A14772"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331.160</w:t>
            </w:r>
          </w:p>
        </w:tc>
      </w:tr>
      <w:tr w:rsidR="00A14772" w:rsidRPr="00F96FBF" w14:paraId="0541AC04" w14:textId="77777777" w:rsidTr="00B541B9">
        <w:tc>
          <w:tcPr>
            <w:tcW w:w="562" w:type="dxa"/>
            <w:vAlign w:val="center"/>
          </w:tcPr>
          <w:p w14:paraId="30CA3D6B" w14:textId="4E8762C8" w:rsidR="00A14772" w:rsidRDefault="0031264C" w:rsidP="00F75B8C">
            <w:pPr>
              <w:jc w:val="center"/>
              <w:rPr>
                <w:rFonts w:ascii="Times New Roman" w:hAnsi="Times New Roman" w:cs="Times New Roman"/>
                <w:sz w:val="20"/>
                <w:szCs w:val="20"/>
              </w:rPr>
            </w:pPr>
            <w:r>
              <w:rPr>
                <w:rFonts w:ascii="Times New Roman" w:hAnsi="Times New Roman" w:cs="Times New Roman"/>
                <w:sz w:val="20"/>
                <w:szCs w:val="20"/>
              </w:rPr>
              <w:t>14</w:t>
            </w:r>
          </w:p>
        </w:tc>
        <w:tc>
          <w:tcPr>
            <w:tcW w:w="878" w:type="dxa"/>
            <w:vAlign w:val="center"/>
          </w:tcPr>
          <w:p w14:paraId="59A304E4" w14:textId="77777777" w:rsidR="00A14772" w:rsidRPr="001E5D0F" w:rsidRDefault="006379FB" w:rsidP="00F75B8C">
            <w:pPr>
              <w:jc w:val="center"/>
              <w:rPr>
                <w:rFonts w:ascii="Times New Roman" w:hAnsi="Times New Roman" w:cs="Times New Roman"/>
                <w:sz w:val="20"/>
                <w:szCs w:val="20"/>
              </w:rPr>
            </w:pPr>
            <w:r w:rsidRPr="00852B51">
              <w:rPr>
                <w:rFonts w:ascii="Times New Roman" w:hAnsi="Times New Roman" w:cs="Times New Roman"/>
                <w:sz w:val="20"/>
                <w:szCs w:val="20"/>
              </w:rPr>
              <w:t>6442</w:t>
            </w:r>
          </w:p>
        </w:tc>
        <w:tc>
          <w:tcPr>
            <w:tcW w:w="3870" w:type="dxa"/>
            <w:vAlign w:val="center"/>
          </w:tcPr>
          <w:p w14:paraId="5DFF828E" w14:textId="77777777" w:rsidR="00A14772" w:rsidRPr="001E5D0F" w:rsidRDefault="006379FB" w:rsidP="0007153D">
            <w:pPr>
              <w:rPr>
                <w:rFonts w:ascii="Times New Roman" w:hAnsi="Times New Roman" w:cs="Times New Roman"/>
                <w:sz w:val="20"/>
                <w:szCs w:val="20"/>
              </w:rPr>
            </w:pPr>
            <w:r>
              <w:rPr>
                <w:rFonts w:ascii="Times New Roman" w:hAnsi="Times New Roman" w:cs="Times New Roman"/>
                <w:sz w:val="20"/>
                <w:szCs w:val="20"/>
              </w:rPr>
              <w:t>TRTP Segment 11</w:t>
            </w:r>
          </w:p>
        </w:tc>
        <w:tc>
          <w:tcPr>
            <w:tcW w:w="1080" w:type="dxa"/>
            <w:vAlign w:val="center"/>
          </w:tcPr>
          <w:p w14:paraId="2E4078B9" w14:textId="77777777" w:rsidR="00A14772"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11.837</w:t>
            </w:r>
          </w:p>
        </w:tc>
        <w:tc>
          <w:tcPr>
            <w:tcW w:w="1260" w:type="dxa"/>
            <w:vAlign w:val="center"/>
          </w:tcPr>
          <w:p w14:paraId="7A6423B3" w14:textId="77777777"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14:paraId="6EBA89B4" w14:textId="77777777" w:rsidR="00A14772" w:rsidRPr="001E5D0F" w:rsidRDefault="00DD11C7" w:rsidP="00714AF1">
            <w:pPr>
              <w:jc w:val="right"/>
              <w:rPr>
                <w:rFonts w:ascii="Times New Roman" w:hAnsi="Times New Roman" w:cs="Times New Roman"/>
                <w:sz w:val="20"/>
                <w:szCs w:val="20"/>
              </w:rPr>
            </w:pPr>
            <w:r>
              <w:rPr>
                <w:rFonts w:ascii="Times New Roman" w:hAnsi="Times New Roman" w:cs="Times New Roman"/>
                <w:sz w:val="20"/>
                <w:szCs w:val="20"/>
              </w:rPr>
              <w:t>11.837</w:t>
            </w:r>
          </w:p>
        </w:tc>
      </w:tr>
      <w:tr w:rsidR="00A14772" w:rsidRPr="00F96FBF" w14:paraId="7A0AF319" w14:textId="77777777" w:rsidTr="00B541B9">
        <w:tc>
          <w:tcPr>
            <w:tcW w:w="562" w:type="dxa"/>
            <w:vAlign w:val="center"/>
          </w:tcPr>
          <w:p w14:paraId="4370BF0A" w14:textId="1A044317" w:rsidR="00A14772" w:rsidRDefault="0031264C" w:rsidP="00F75B8C">
            <w:pPr>
              <w:jc w:val="center"/>
              <w:rPr>
                <w:rFonts w:ascii="Times New Roman" w:hAnsi="Times New Roman" w:cs="Times New Roman"/>
                <w:sz w:val="20"/>
                <w:szCs w:val="20"/>
              </w:rPr>
            </w:pPr>
            <w:r>
              <w:rPr>
                <w:rFonts w:ascii="Times New Roman" w:hAnsi="Times New Roman" w:cs="Times New Roman"/>
                <w:sz w:val="20"/>
                <w:szCs w:val="20"/>
              </w:rPr>
              <w:t>15</w:t>
            </w:r>
          </w:p>
        </w:tc>
        <w:tc>
          <w:tcPr>
            <w:tcW w:w="878" w:type="dxa"/>
            <w:vAlign w:val="center"/>
          </w:tcPr>
          <w:p w14:paraId="575DB534" w14:textId="77777777" w:rsidR="00A14772" w:rsidRPr="001E5D0F" w:rsidRDefault="006379FB" w:rsidP="00F75B8C">
            <w:pPr>
              <w:jc w:val="center"/>
              <w:rPr>
                <w:rFonts w:ascii="Times New Roman" w:hAnsi="Times New Roman" w:cs="Times New Roman"/>
                <w:sz w:val="20"/>
                <w:szCs w:val="20"/>
              </w:rPr>
            </w:pPr>
            <w:r>
              <w:rPr>
                <w:rFonts w:ascii="Times New Roman" w:hAnsi="Times New Roman" w:cs="Times New Roman"/>
                <w:sz w:val="20"/>
                <w:szCs w:val="20"/>
              </w:rPr>
              <w:t>7650</w:t>
            </w:r>
            <w:r w:rsidR="0051327E">
              <w:rPr>
                <w:rFonts w:ascii="Times New Roman" w:hAnsi="Times New Roman" w:cs="Times New Roman"/>
                <w:sz w:val="20"/>
                <w:szCs w:val="20"/>
              </w:rPr>
              <w:t>/ 7695</w:t>
            </w:r>
          </w:p>
        </w:tc>
        <w:tc>
          <w:tcPr>
            <w:tcW w:w="3870" w:type="dxa"/>
            <w:vAlign w:val="center"/>
          </w:tcPr>
          <w:p w14:paraId="40FD6C2C" w14:textId="77777777" w:rsidR="00A14772" w:rsidRPr="001E5D0F" w:rsidRDefault="006379FB" w:rsidP="0007153D">
            <w:pPr>
              <w:rPr>
                <w:rFonts w:ascii="Times New Roman" w:hAnsi="Times New Roman" w:cs="Times New Roman"/>
                <w:sz w:val="20"/>
                <w:szCs w:val="20"/>
              </w:rPr>
            </w:pPr>
            <w:r>
              <w:rPr>
                <w:rFonts w:ascii="Times New Roman" w:hAnsi="Times New Roman" w:cs="Times New Roman"/>
                <w:sz w:val="20"/>
                <w:szCs w:val="20"/>
              </w:rPr>
              <w:t>Whirlwind Substation Expansion</w:t>
            </w:r>
          </w:p>
        </w:tc>
        <w:tc>
          <w:tcPr>
            <w:tcW w:w="1080" w:type="dxa"/>
            <w:vAlign w:val="center"/>
          </w:tcPr>
          <w:p w14:paraId="552BBD7C" w14:textId="735D7863" w:rsidR="00A14772" w:rsidRPr="001E5D0F" w:rsidRDefault="00DD11C7" w:rsidP="003B7DB7">
            <w:pPr>
              <w:jc w:val="right"/>
              <w:rPr>
                <w:rFonts w:ascii="Times New Roman" w:hAnsi="Times New Roman" w:cs="Times New Roman"/>
                <w:sz w:val="20"/>
                <w:szCs w:val="20"/>
              </w:rPr>
            </w:pPr>
            <w:r>
              <w:rPr>
                <w:rFonts w:ascii="Times New Roman" w:hAnsi="Times New Roman" w:cs="Times New Roman"/>
                <w:sz w:val="20"/>
                <w:szCs w:val="20"/>
              </w:rPr>
              <w:t>3</w:t>
            </w:r>
            <w:r w:rsidR="00883DDA">
              <w:rPr>
                <w:rFonts w:ascii="Times New Roman" w:hAnsi="Times New Roman" w:cs="Times New Roman"/>
                <w:sz w:val="20"/>
                <w:szCs w:val="20"/>
              </w:rPr>
              <w:t>8.8</w:t>
            </w:r>
            <w:r w:rsidR="003B7DB7">
              <w:rPr>
                <w:rFonts w:ascii="Times New Roman" w:hAnsi="Times New Roman" w:cs="Times New Roman"/>
                <w:sz w:val="20"/>
                <w:szCs w:val="20"/>
              </w:rPr>
              <w:t>2</w:t>
            </w:r>
            <w:r w:rsidR="00883DDA">
              <w:rPr>
                <w:rFonts w:ascii="Times New Roman" w:hAnsi="Times New Roman" w:cs="Times New Roman"/>
                <w:sz w:val="20"/>
                <w:szCs w:val="20"/>
              </w:rPr>
              <w:t>2</w:t>
            </w:r>
          </w:p>
        </w:tc>
        <w:tc>
          <w:tcPr>
            <w:tcW w:w="1260" w:type="dxa"/>
            <w:vAlign w:val="center"/>
          </w:tcPr>
          <w:p w14:paraId="0A110E4C" w14:textId="77777777"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14:paraId="4B5E41B1" w14:textId="77777777" w:rsidR="00A14772" w:rsidRPr="001E5D0F" w:rsidRDefault="00DD11C7" w:rsidP="00883DDA">
            <w:pPr>
              <w:jc w:val="right"/>
              <w:rPr>
                <w:rFonts w:ascii="Times New Roman" w:hAnsi="Times New Roman" w:cs="Times New Roman"/>
                <w:sz w:val="20"/>
                <w:szCs w:val="20"/>
              </w:rPr>
            </w:pPr>
            <w:r>
              <w:rPr>
                <w:rFonts w:ascii="Times New Roman" w:hAnsi="Times New Roman" w:cs="Times New Roman"/>
                <w:sz w:val="20"/>
                <w:szCs w:val="20"/>
              </w:rPr>
              <w:t>3</w:t>
            </w:r>
            <w:r w:rsidR="00883DDA">
              <w:rPr>
                <w:rFonts w:ascii="Times New Roman" w:hAnsi="Times New Roman" w:cs="Times New Roman"/>
                <w:sz w:val="20"/>
                <w:szCs w:val="20"/>
              </w:rPr>
              <w:t>8.822</w:t>
            </w:r>
          </w:p>
        </w:tc>
      </w:tr>
      <w:tr w:rsidR="00B541B9" w:rsidRPr="00F96FBF" w14:paraId="4CC089AA" w14:textId="77777777" w:rsidTr="00B541B9">
        <w:tc>
          <w:tcPr>
            <w:tcW w:w="562" w:type="dxa"/>
            <w:vAlign w:val="center"/>
          </w:tcPr>
          <w:p w14:paraId="111CF115" w14:textId="4FF84D92" w:rsidR="00B541B9" w:rsidRDefault="0031264C" w:rsidP="00F75B8C">
            <w:pPr>
              <w:jc w:val="center"/>
              <w:rPr>
                <w:rFonts w:ascii="Times New Roman" w:hAnsi="Times New Roman" w:cs="Times New Roman"/>
                <w:sz w:val="20"/>
                <w:szCs w:val="20"/>
              </w:rPr>
            </w:pPr>
            <w:r>
              <w:rPr>
                <w:rFonts w:ascii="Times New Roman" w:hAnsi="Times New Roman" w:cs="Times New Roman"/>
                <w:sz w:val="20"/>
                <w:szCs w:val="20"/>
              </w:rPr>
              <w:t>16</w:t>
            </w:r>
          </w:p>
        </w:tc>
        <w:tc>
          <w:tcPr>
            <w:tcW w:w="878" w:type="dxa"/>
            <w:vAlign w:val="center"/>
          </w:tcPr>
          <w:p w14:paraId="1E5974CB" w14:textId="77777777" w:rsidR="00B541B9" w:rsidRDefault="00B541B9" w:rsidP="00F75B8C">
            <w:pPr>
              <w:jc w:val="center"/>
              <w:rPr>
                <w:rFonts w:ascii="Times New Roman" w:hAnsi="Times New Roman" w:cs="Times New Roman"/>
                <w:sz w:val="20"/>
                <w:szCs w:val="20"/>
              </w:rPr>
            </w:pPr>
            <w:r>
              <w:rPr>
                <w:rFonts w:ascii="Times New Roman" w:hAnsi="Times New Roman" w:cs="Times New Roman"/>
                <w:sz w:val="20"/>
                <w:szCs w:val="20"/>
              </w:rPr>
              <w:t>Various</w:t>
            </w:r>
          </w:p>
        </w:tc>
        <w:tc>
          <w:tcPr>
            <w:tcW w:w="3870" w:type="dxa"/>
            <w:vAlign w:val="center"/>
          </w:tcPr>
          <w:p w14:paraId="68E25221" w14:textId="77777777" w:rsidR="00B541B9" w:rsidRDefault="00300F51" w:rsidP="00334950">
            <w:pPr>
              <w:rPr>
                <w:rFonts w:ascii="Times New Roman" w:hAnsi="Times New Roman" w:cs="Times New Roman"/>
                <w:sz w:val="20"/>
                <w:szCs w:val="20"/>
              </w:rPr>
            </w:pPr>
            <w:r>
              <w:rPr>
                <w:rFonts w:ascii="Times New Roman" w:hAnsi="Times New Roman" w:cs="Times New Roman"/>
                <w:sz w:val="20"/>
                <w:szCs w:val="20"/>
              </w:rPr>
              <w:t>L</w:t>
            </w:r>
            <w:r w:rsidR="00033E12">
              <w:rPr>
                <w:rFonts w:ascii="Times New Roman" w:hAnsi="Times New Roman" w:cs="Times New Roman"/>
                <w:sz w:val="20"/>
                <w:szCs w:val="20"/>
              </w:rPr>
              <w:t xml:space="preserve">ess than </w:t>
            </w:r>
            <w:r w:rsidR="00B541B9">
              <w:rPr>
                <w:rFonts w:ascii="Times New Roman" w:hAnsi="Times New Roman" w:cs="Times New Roman"/>
                <w:sz w:val="20"/>
                <w:szCs w:val="20"/>
              </w:rPr>
              <w:t>$5m</w:t>
            </w:r>
            <w:r w:rsidR="00033E12">
              <w:rPr>
                <w:rFonts w:ascii="Times New Roman" w:hAnsi="Times New Roman" w:cs="Times New Roman"/>
                <w:sz w:val="20"/>
                <w:szCs w:val="20"/>
              </w:rPr>
              <w:t xml:space="preserve"> each</w:t>
            </w:r>
            <w:r>
              <w:rPr>
                <w:rFonts w:ascii="Times New Roman" w:hAnsi="Times New Roman" w:cs="Times New Roman"/>
                <w:sz w:val="20"/>
                <w:szCs w:val="20"/>
              </w:rPr>
              <w:t xml:space="preserve"> </w:t>
            </w:r>
          </w:p>
        </w:tc>
        <w:tc>
          <w:tcPr>
            <w:tcW w:w="1080" w:type="dxa"/>
            <w:vAlign w:val="center"/>
          </w:tcPr>
          <w:p w14:paraId="4D75B9A4" w14:textId="77777777" w:rsidR="00B541B9" w:rsidRPr="00CD5797" w:rsidRDefault="00925E44" w:rsidP="00714AF1">
            <w:pPr>
              <w:jc w:val="right"/>
              <w:rPr>
                <w:rFonts w:ascii="Times New Roman" w:hAnsi="Times New Roman" w:cs="Times New Roman"/>
                <w:sz w:val="20"/>
                <w:szCs w:val="20"/>
              </w:rPr>
            </w:pPr>
            <w:r>
              <w:rPr>
                <w:rFonts w:ascii="Times New Roman" w:hAnsi="Times New Roman" w:cs="Times New Roman"/>
                <w:sz w:val="20"/>
                <w:szCs w:val="20"/>
              </w:rPr>
              <w:t>1.673</w:t>
            </w:r>
          </w:p>
        </w:tc>
        <w:tc>
          <w:tcPr>
            <w:tcW w:w="1260" w:type="dxa"/>
            <w:vAlign w:val="center"/>
          </w:tcPr>
          <w:p w14:paraId="385FB9DF" w14:textId="26547CE9" w:rsidR="00B541B9" w:rsidRPr="00CD5797" w:rsidRDefault="00F37E85" w:rsidP="00D934DA">
            <w:pPr>
              <w:jc w:val="right"/>
              <w:rPr>
                <w:rFonts w:ascii="Times New Roman" w:hAnsi="Times New Roman" w:cs="Times New Roman"/>
                <w:sz w:val="20"/>
                <w:szCs w:val="20"/>
              </w:rPr>
            </w:pPr>
            <w:r>
              <w:rPr>
                <w:rFonts w:ascii="Times New Roman" w:hAnsi="Times New Roman" w:cs="Times New Roman"/>
                <w:sz w:val="20"/>
                <w:szCs w:val="20"/>
              </w:rPr>
              <w:t>4</w:t>
            </w:r>
            <w:r w:rsidR="00D934DA">
              <w:rPr>
                <w:rFonts w:ascii="Times New Roman" w:hAnsi="Times New Roman" w:cs="Times New Roman"/>
                <w:sz w:val="20"/>
                <w:szCs w:val="20"/>
              </w:rPr>
              <w:t>1.361</w:t>
            </w:r>
          </w:p>
        </w:tc>
        <w:tc>
          <w:tcPr>
            <w:tcW w:w="1080" w:type="dxa"/>
            <w:vAlign w:val="center"/>
          </w:tcPr>
          <w:p w14:paraId="4B6A6C10" w14:textId="01D0F439" w:rsidR="00B541B9" w:rsidRPr="00CD5797" w:rsidRDefault="00D934DA" w:rsidP="00D070D6">
            <w:pPr>
              <w:jc w:val="right"/>
              <w:rPr>
                <w:rFonts w:ascii="Times New Roman" w:hAnsi="Times New Roman" w:cs="Times New Roman"/>
                <w:sz w:val="20"/>
                <w:szCs w:val="20"/>
              </w:rPr>
            </w:pPr>
            <w:r>
              <w:rPr>
                <w:rFonts w:ascii="Times New Roman" w:hAnsi="Times New Roman" w:cs="Times New Roman"/>
                <w:sz w:val="20"/>
                <w:szCs w:val="20"/>
              </w:rPr>
              <w:t>43.034</w:t>
            </w:r>
          </w:p>
        </w:tc>
      </w:tr>
      <w:tr w:rsidR="001E5D0F" w:rsidRPr="00F96FBF" w14:paraId="72D642BA" w14:textId="77777777" w:rsidTr="00B541B9">
        <w:tc>
          <w:tcPr>
            <w:tcW w:w="562" w:type="dxa"/>
            <w:vAlign w:val="center"/>
          </w:tcPr>
          <w:p w14:paraId="116E0F29" w14:textId="77777777" w:rsidR="001E5D0F" w:rsidRPr="001E5D0F" w:rsidRDefault="001E5D0F" w:rsidP="00F75B8C">
            <w:pPr>
              <w:jc w:val="center"/>
              <w:rPr>
                <w:rFonts w:ascii="Times New Roman" w:hAnsi="Times New Roman" w:cs="Times New Roman"/>
                <w:b/>
                <w:sz w:val="20"/>
                <w:szCs w:val="20"/>
              </w:rPr>
            </w:pPr>
          </w:p>
        </w:tc>
        <w:tc>
          <w:tcPr>
            <w:tcW w:w="878" w:type="dxa"/>
            <w:vAlign w:val="center"/>
          </w:tcPr>
          <w:p w14:paraId="4648478D" w14:textId="77777777" w:rsidR="001E5D0F" w:rsidRPr="001E5D0F" w:rsidRDefault="001E5D0F" w:rsidP="00F75B8C">
            <w:pPr>
              <w:jc w:val="center"/>
              <w:rPr>
                <w:rFonts w:ascii="Times New Roman" w:hAnsi="Times New Roman" w:cs="Times New Roman"/>
                <w:b/>
                <w:sz w:val="20"/>
                <w:szCs w:val="20"/>
              </w:rPr>
            </w:pPr>
          </w:p>
        </w:tc>
        <w:tc>
          <w:tcPr>
            <w:tcW w:w="3870" w:type="dxa"/>
            <w:vAlign w:val="center"/>
          </w:tcPr>
          <w:p w14:paraId="5DEDB3C7" w14:textId="77777777" w:rsidR="001E5D0F" w:rsidRPr="001E5D0F" w:rsidRDefault="001E5D0F" w:rsidP="00F96FBF">
            <w:pPr>
              <w:rPr>
                <w:rFonts w:ascii="Times New Roman" w:hAnsi="Times New Roman" w:cs="Times New Roman"/>
                <w:b/>
                <w:sz w:val="20"/>
                <w:szCs w:val="20"/>
              </w:rPr>
            </w:pPr>
            <w:r w:rsidRPr="001E5D0F">
              <w:rPr>
                <w:rFonts w:ascii="Times New Roman" w:hAnsi="Times New Roman" w:cs="Times New Roman"/>
                <w:b/>
                <w:sz w:val="20"/>
                <w:szCs w:val="20"/>
              </w:rPr>
              <w:t>Total</w:t>
            </w:r>
          </w:p>
        </w:tc>
        <w:tc>
          <w:tcPr>
            <w:tcW w:w="1080" w:type="dxa"/>
            <w:vAlign w:val="center"/>
          </w:tcPr>
          <w:p w14:paraId="0316C50B" w14:textId="377985C9" w:rsidR="001E5D0F" w:rsidRPr="001E5D0F" w:rsidRDefault="00925E44" w:rsidP="003B7DB7">
            <w:pPr>
              <w:jc w:val="right"/>
              <w:rPr>
                <w:rFonts w:ascii="Times New Roman" w:hAnsi="Times New Roman" w:cs="Times New Roman"/>
                <w:b/>
                <w:sz w:val="20"/>
                <w:szCs w:val="20"/>
              </w:rPr>
            </w:pPr>
            <w:r>
              <w:rPr>
                <w:rFonts w:ascii="Times New Roman" w:hAnsi="Times New Roman" w:cs="Times New Roman"/>
                <w:b/>
                <w:sz w:val="20"/>
                <w:szCs w:val="20"/>
              </w:rPr>
              <w:t>38</w:t>
            </w:r>
            <w:r w:rsidR="00883DDA">
              <w:rPr>
                <w:rFonts w:ascii="Times New Roman" w:hAnsi="Times New Roman" w:cs="Times New Roman"/>
                <w:b/>
                <w:sz w:val="20"/>
                <w:szCs w:val="20"/>
              </w:rPr>
              <w:t>3.</w:t>
            </w:r>
            <w:r w:rsidR="003B7DB7">
              <w:rPr>
                <w:rFonts w:ascii="Times New Roman" w:hAnsi="Times New Roman" w:cs="Times New Roman"/>
                <w:b/>
                <w:sz w:val="20"/>
                <w:szCs w:val="20"/>
              </w:rPr>
              <w:t>492</w:t>
            </w:r>
          </w:p>
        </w:tc>
        <w:tc>
          <w:tcPr>
            <w:tcW w:w="1260" w:type="dxa"/>
            <w:vAlign w:val="center"/>
          </w:tcPr>
          <w:p w14:paraId="1B91F21E" w14:textId="4605FE4B" w:rsidR="008A1730" w:rsidRPr="001E5D0F" w:rsidRDefault="00F37E85" w:rsidP="00D934DA">
            <w:pPr>
              <w:jc w:val="right"/>
              <w:rPr>
                <w:rFonts w:ascii="Times New Roman" w:hAnsi="Times New Roman" w:cs="Times New Roman"/>
                <w:b/>
                <w:sz w:val="20"/>
                <w:szCs w:val="20"/>
              </w:rPr>
            </w:pPr>
            <w:r>
              <w:rPr>
                <w:rFonts w:ascii="Times New Roman" w:hAnsi="Times New Roman" w:cs="Times New Roman"/>
                <w:b/>
                <w:sz w:val="20"/>
                <w:szCs w:val="20"/>
              </w:rPr>
              <w:t>21</w:t>
            </w:r>
            <w:r w:rsidR="00D934DA">
              <w:rPr>
                <w:rFonts w:ascii="Times New Roman" w:hAnsi="Times New Roman" w:cs="Times New Roman"/>
                <w:b/>
                <w:sz w:val="20"/>
                <w:szCs w:val="20"/>
              </w:rPr>
              <w:t>5.268</w:t>
            </w:r>
          </w:p>
        </w:tc>
        <w:tc>
          <w:tcPr>
            <w:tcW w:w="1080" w:type="dxa"/>
            <w:vAlign w:val="center"/>
          </w:tcPr>
          <w:p w14:paraId="49022871" w14:textId="5C60D7D1" w:rsidR="001E5D0F" w:rsidRPr="001E5D0F" w:rsidRDefault="00D934DA" w:rsidP="001D0750">
            <w:pPr>
              <w:jc w:val="right"/>
              <w:rPr>
                <w:rFonts w:ascii="Times New Roman" w:hAnsi="Times New Roman" w:cs="Times New Roman"/>
                <w:b/>
                <w:sz w:val="20"/>
                <w:szCs w:val="20"/>
              </w:rPr>
            </w:pPr>
            <w:r>
              <w:rPr>
                <w:rFonts w:ascii="Times New Roman" w:hAnsi="Times New Roman" w:cs="Times New Roman"/>
                <w:b/>
                <w:sz w:val="20"/>
                <w:szCs w:val="20"/>
              </w:rPr>
              <w:t>598.760</w:t>
            </w:r>
          </w:p>
        </w:tc>
      </w:tr>
    </w:tbl>
    <w:p w14:paraId="20CAC4F2" w14:textId="77777777" w:rsidR="00FB635B" w:rsidRPr="00F96FBF" w:rsidRDefault="00FB635B" w:rsidP="00FB635B">
      <w:pPr>
        <w:spacing w:line="360" w:lineRule="auto"/>
        <w:rPr>
          <w:rFonts w:ascii="Times New Roman" w:hAnsi="Times New Roman" w:cs="Times New Roman"/>
        </w:rPr>
      </w:pPr>
    </w:p>
    <w:p w14:paraId="1DF236A2" w14:textId="77777777" w:rsidR="0093505A" w:rsidRPr="00F96FBF" w:rsidRDefault="00677B05" w:rsidP="00677B05">
      <w:pPr>
        <w:pStyle w:val="ListParagraph"/>
        <w:numPr>
          <w:ilvl w:val="0"/>
          <w:numId w:val="2"/>
        </w:numPr>
        <w:spacing w:line="360" w:lineRule="auto"/>
        <w:rPr>
          <w:rFonts w:ascii="Times New Roman" w:hAnsi="Times New Roman" w:cs="Times New Roman"/>
          <w:b/>
        </w:rPr>
      </w:pPr>
      <w:r w:rsidRPr="00677B05">
        <w:rPr>
          <w:rFonts w:ascii="Times New Roman" w:hAnsi="Times New Roman" w:cs="Times New Roman"/>
          <w:b/>
        </w:rPr>
        <w:t xml:space="preserve">Transmission Breakdown Maintenance Planned </w:t>
      </w:r>
      <w:r w:rsidR="00A24DC8">
        <w:rPr>
          <w:rFonts w:ascii="Times New Roman" w:hAnsi="Times New Roman" w:cs="Times New Roman"/>
          <w:b/>
        </w:rPr>
        <w:t>(</w:t>
      </w:r>
      <w:r w:rsidR="00D469B9" w:rsidRPr="00F96FBF">
        <w:rPr>
          <w:rFonts w:ascii="Times New Roman" w:hAnsi="Times New Roman" w:cs="Times New Roman"/>
          <w:b/>
        </w:rPr>
        <w:t xml:space="preserve">PIN: </w:t>
      </w:r>
      <w:r>
        <w:rPr>
          <w:rFonts w:ascii="Times New Roman" w:hAnsi="Times New Roman" w:cs="Times New Roman"/>
          <w:b/>
        </w:rPr>
        <w:t>3364</w:t>
      </w:r>
      <w:r w:rsidR="00D469B9" w:rsidRPr="00F96FBF">
        <w:rPr>
          <w:rFonts w:ascii="Times New Roman" w:hAnsi="Times New Roman" w:cs="Times New Roman"/>
          <w:b/>
        </w:rPr>
        <w:t>)</w:t>
      </w:r>
      <w:r w:rsidR="004B4377">
        <w:rPr>
          <w:rFonts w:ascii="Times New Roman" w:hAnsi="Times New Roman" w:cs="Times New Roman"/>
          <w:b/>
        </w:rPr>
        <w:t xml:space="preserve"> </w:t>
      </w:r>
    </w:p>
    <w:p w14:paraId="70269999" w14:textId="070A9654" w:rsidR="00FB635B" w:rsidRPr="00CA7560" w:rsidRDefault="00E13227" w:rsidP="00E13227">
      <w:pPr>
        <w:pStyle w:val="heading3Text"/>
        <w:ind w:left="360" w:firstLine="0"/>
        <w:rPr>
          <w:sz w:val="22"/>
        </w:rPr>
      </w:pPr>
      <w:r w:rsidRPr="00CA7560">
        <w:rPr>
          <w:sz w:val="22"/>
        </w:rPr>
        <w:t xml:space="preserve">Transmission </w:t>
      </w:r>
      <w:r w:rsidR="00E7578B">
        <w:rPr>
          <w:sz w:val="22"/>
        </w:rPr>
        <w:t>Breakdown</w:t>
      </w:r>
      <w:r w:rsidRPr="00CA7560">
        <w:rPr>
          <w:sz w:val="22"/>
        </w:rPr>
        <w:t xml:space="preserve"> Maintenance Planned captures the costs to remove, replace, and retire asset on a programmatic basis.  Planned transmission capital maintenance is driven by inspection results. In some instances, field observations lead to specific projects to address emerging issues in a particular grid</w:t>
      </w:r>
      <w:r w:rsidR="005916E0">
        <w:rPr>
          <w:sz w:val="22"/>
        </w:rPr>
        <w:t xml:space="preserve">, </w:t>
      </w:r>
      <w:r w:rsidRPr="00CA7560">
        <w:rPr>
          <w:sz w:val="22"/>
        </w:rPr>
        <w:t xml:space="preserve">equipment or structure type.  </w:t>
      </w:r>
      <w:r w:rsidR="00AE149C" w:rsidRPr="00CA7560">
        <w:rPr>
          <w:sz w:val="22"/>
        </w:rPr>
        <w:t xml:space="preserve">The estimated ISO-related </w:t>
      </w:r>
      <w:r w:rsidR="00072A96" w:rsidRPr="00CA7560">
        <w:rPr>
          <w:sz w:val="22"/>
        </w:rPr>
        <w:t xml:space="preserve">direct </w:t>
      </w:r>
      <w:r w:rsidR="00AE149C" w:rsidRPr="00CA7560">
        <w:rPr>
          <w:sz w:val="22"/>
        </w:rPr>
        <w:t xml:space="preserve">capital expenditures for this program that are expected to be operational in the period January through </w:t>
      </w:r>
      <w:r w:rsidR="00A24DC8" w:rsidRPr="00CA7560">
        <w:rPr>
          <w:sz w:val="22"/>
        </w:rPr>
        <w:t>December 201</w:t>
      </w:r>
      <w:r w:rsidR="00677B05" w:rsidRPr="00CA7560">
        <w:rPr>
          <w:sz w:val="22"/>
        </w:rPr>
        <w:t>6</w:t>
      </w:r>
      <w:r w:rsidR="00AE149C" w:rsidRPr="00CA7560">
        <w:rPr>
          <w:sz w:val="22"/>
        </w:rPr>
        <w:t xml:space="preserve"> are $</w:t>
      </w:r>
      <w:r w:rsidR="00677B05" w:rsidRPr="00CA7560">
        <w:rPr>
          <w:sz w:val="22"/>
        </w:rPr>
        <w:t>6.9</w:t>
      </w:r>
      <w:r w:rsidR="00AE149C" w:rsidRPr="00CA7560">
        <w:rPr>
          <w:sz w:val="22"/>
        </w:rPr>
        <w:t xml:space="preserve"> million.</w:t>
      </w:r>
    </w:p>
    <w:p w14:paraId="13DF7DFE" w14:textId="77777777" w:rsidR="00F242A5" w:rsidRPr="00F96FBF" w:rsidRDefault="00F242A5" w:rsidP="00FB635B">
      <w:pPr>
        <w:spacing w:line="360" w:lineRule="auto"/>
        <w:ind w:left="360"/>
        <w:rPr>
          <w:rFonts w:ascii="Times New Roman" w:hAnsi="Times New Roman" w:cs="Times New Roman"/>
        </w:rPr>
      </w:pPr>
    </w:p>
    <w:p w14:paraId="7FF1330A" w14:textId="77777777" w:rsidR="00F242A5" w:rsidRPr="00F96FBF" w:rsidRDefault="006C1C9C" w:rsidP="006C1C9C">
      <w:pPr>
        <w:pStyle w:val="ListParagraph"/>
        <w:numPr>
          <w:ilvl w:val="0"/>
          <w:numId w:val="2"/>
        </w:numPr>
        <w:spacing w:line="360" w:lineRule="auto"/>
        <w:rPr>
          <w:rFonts w:ascii="Times New Roman" w:hAnsi="Times New Roman" w:cs="Times New Roman"/>
          <w:b/>
        </w:rPr>
      </w:pPr>
      <w:r w:rsidRPr="006C1C9C">
        <w:rPr>
          <w:rFonts w:ascii="Times New Roman" w:hAnsi="Times New Roman" w:cs="Times New Roman"/>
          <w:b/>
        </w:rPr>
        <w:t xml:space="preserve">Substation Transformer Bank Replacement Program </w:t>
      </w:r>
      <w:r w:rsidR="00F242A5" w:rsidRPr="00F96FBF">
        <w:rPr>
          <w:rFonts w:ascii="Times New Roman" w:hAnsi="Times New Roman" w:cs="Times New Roman"/>
          <w:b/>
        </w:rPr>
        <w:t xml:space="preserve">(PIN: </w:t>
      </w:r>
      <w:r w:rsidR="004C0048">
        <w:rPr>
          <w:rFonts w:ascii="Times New Roman" w:hAnsi="Times New Roman" w:cs="Times New Roman"/>
          <w:b/>
        </w:rPr>
        <w:t>5210</w:t>
      </w:r>
      <w:r w:rsidR="00F242A5" w:rsidRPr="00F96FBF">
        <w:rPr>
          <w:rFonts w:ascii="Times New Roman" w:hAnsi="Times New Roman" w:cs="Times New Roman"/>
          <w:b/>
        </w:rPr>
        <w:t>)</w:t>
      </w:r>
    </w:p>
    <w:p w14:paraId="6340088F" w14:textId="685C7648"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t>AA-Bank transformers are located in major substations where they take electricity at the 500</w:t>
      </w:r>
      <w:r w:rsidR="00F72EF7">
        <w:rPr>
          <w:rFonts w:ascii="Times New Roman" w:hAnsi="Times New Roman" w:cs="Times New Roman"/>
        </w:rPr>
        <w:t xml:space="preserve"> </w:t>
      </w:r>
      <w:r w:rsidR="00677B05">
        <w:rPr>
          <w:rFonts w:ascii="Times New Roman" w:hAnsi="Times New Roman" w:cs="Times New Roman"/>
        </w:rPr>
        <w:t>kV</w:t>
      </w:r>
      <w:r w:rsidR="005916E0">
        <w:rPr>
          <w:rFonts w:ascii="Times New Roman" w:hAnsi="Times New Roman" w:cs="Times New Roman"/>
        </w:rPr>
        <w:t xml:space="preserve"> </w:t>
      </w:r>
      <w:r w:rsidRPr="006C1C9C">
        <w:rPr>
          <w:rFonts w:ascii="Times New Roman" w:hAnsi="Times New Roman" w:cs="Times New Roman"/>
        </w:rPr>
        <w:t>transmission level and transform it down to 220</w:t>
      </w:r>
      <w:r w:rsidR="00F72EF7">
        <w:rPr>
          <w:rFonts w:ascii="Times New Roman" w:hAnsi="Times New Roman" w:cs="Times New Roman"/>
        </w:rPr>
        <w:t xml:space="preserve"> </w:t>
      </w:r>
      <w:r w:rsidR="00677B05">
        <w:rPr>
          <w:rFonts w:ascii="Times New Roman" w:hAnsi="Times New Roman" w:cs="Times New Roman"/>
        </w:rPr>
        <w:t>kV</w:t>
      </w:r>
      <w:r w:rsidRPr="006C1C9C">
        <w:rPr>
          <w:rFonts w:ascii="Times New Roman" w:hAnsi="Times New Roman" w:cs="Times New Roman"/>
        </w:rPr>
        <w:t xml:space="preserve">.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2A952E97" w14:textId="77777777"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A-Bank transformers are located in major substations where they take electricity at the 220</w:t>
      </w:r>
      <w:r w:rsidR="00F72EF7">
        <w:rPr>
          <w:rFonts w:ascii="Times New Roman" w:hAnsi="Times New Roman" w:cs="Times New Roman"/>
        </w:rPr>
        <w:t xml:space="preserve"> </w:t>
      </w:r>
      <w:r w:rsidR="00677B05">
        <w:rPr>
          <w:rFonts w:ascii="Times New Roman" w:hAnsi="Times New Roman" w:cs="Times New Roman"/>
        </w:rPr>
        <w:t>kV</w:t>
      </w:r>
      <w:r w:rsidRPr="006C1C9C">
        <w:rPr>
          <w:rFonts w:ascii="Times New Roman" w:hAnsi="Times New Roman" w:cs="Times New Roman"/>
        </w:rPr>
        <w:t xml:space="preserve"> transmission level and transform it down to a subtransmission voltage, either 115</w:t>
      </w:r>
      <w:r w:rsidR="00F72EF7">
        <w:rPr>
          <w:rFonts w:ascii="Times New Roman" w:hAnsi="Times New Roman" w:cs="Times New Roman"/>
        </w:rPr>
        <w:t xml:space="preserve"> </w:t>
      </w:r>
      <w:r w:rsidR="00677B05">
        <w:rPr>
          <w:rFonts w:ascii="Times New Roman" w:hAnsi="Times New Roman" w:cs="Times New Roman"/>
        </w:rPr>
        <w:t>kV</w:t>
      </w:r>
      <w:r w:rsidRPr="006C1C9C">
        <w:rPr>
          <w:rFonts w:ascii="Times New Roman" w:hAnsi="Times New Roman" w:cs="Times New Roman"/>
        </w:rPr>
        <w:t xml:space="preserve"> or 66</w:t>
      </w:r>
      <w:r w:rsidR="00F72EF7">
        <w:rPr>
          <w:rFonts w:ascii="Times New Roman" w:hAnsi="Times New Roman" w:cs="Times New Roman"/>
        </w:rPr>
        <w:t xml:space="preserve"> </w:t>
      </w:r>
      <w:r w:rsidR="00677B05">
        <w:rPr>
          <w:rFonts w:ascii="Times New Roman" w:hAnsi="Times New Roman" w:cs="Times New Roman"/>
        </w:rPr>
        <w:t>kV</w:t>
      </w:r>
      <w:r w:rsidRPr="006C1C9C">
        <w:rPr>
          <w:rFonts w:ascii="Times New Roman" w:hAnsi="Times New Roman" w:cs="Times New Roman"/>
        </w:rPr>
        <w:t>. The SIR program identifies and replaces A-Bank transformers those are approaching the end of their service lives, that contain parts which are known to be seriously problematic or are no longer available, or that can no longer be cost-effectively maintained.</w:t>
      </w:r>
    </w:p>
    <w:p w14:paraId="38292C20" w14:textId="77777777"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w:t>
      </w:r>
      <w:r w:rsidRPr="006C1C9C">
        <w:rPr>
          <w:rFonts w:ascii="Times New Roman" w:hAnsi="Times New Roman" w:cs="Times New Roman"/>
        </w:rPr>
        <w:lastRenderedPageBreak/>
        <w:t>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14:paraId="1E8E963A" w14:textId="77777777"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14:paraId="5F25F74D" w14:textId="77777777"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w:t>
      </w:r>
    </w:p>
    <w:p w14:paraId="4E8D22B5" w14:textId="77777777" w:rsidR="00FB635B"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In 201</w:t>
      </w:r>
      <w:r w:rsidR="00E13227">
        <w:rPr>
          <w:rFonts w:ascii="Times New Roman" w:hAnsi="Times New Roman" w:cs="Times New Roman"/>
        </w:rPr>
        <w:t>5</w:t>
      </w:r>
      <w:r w:rsidRPr="006C1C9C">
        <w:rPr>
          <w:rFonts w:ascii="Times New Roman" w:hAnsi="Times New Roman" w:cs="Times New Roman"/>
        </w:rPr>
        <w:t xml:space="preserve"> - 201</w:t>
      </w:r>
      <w:r w:rsidR="00E13227">
        <w:rPr>
          <w:rFonts w:ascii="Times New Roman" w:hAnsi="Times New Roman" w:cs="Times New Roman"/>
        </w:rPr>
        <w:t>6</w:t>
      </w:r>
      <w:r w:rsidRPr="006C1C9C">
        <w:rPr>
          <w:rFonts w:ascii="Times New Roman" w:hAnsi="Times New Roman" w:cs="Times New Roman"/>
        </w:rPr>
        <w:t>, the 3AA and 4AA-Bank replacements at Eldorado substati</w:t>
      </w:r>
      <w:r w:rsidR="00FB5736">
        <w:rPr>
          <w:rFonts w:ascii="Times New Roman" w:hAnsi="Times New Roman" w:cs="Times New Roman"/>
        </w:rPr>
        <w:t xml:space="preserve">on are under FERC jurisdiction </w:t>
      </w:r>
      <w:r w:rsidRPr="006C1C9C">
        <w:rPr>
          <w:rFonts w:ascii="Times New Roman" w:hAnsi="Times New Roman" w:cs="Times New Roman"/>
        </w:rPr>
        <w:t xml:space="preserve">while </w:t>
      </w:r>
      <w:r w:rsidR="00842051" w:rsidRPr="006C1C9C">
        <w:rPr>
          <w:rFonts w:ascii="Times New Roman" w:hAnsi="Times New Roman" w:cs="Times New Roman"/>
        </w:rPr>
        <w:t xml:space="preserve">all </w:t>
      </w:r>
      <w:r w:rsidR="00FB5736">
        <w:rPr>
          <w:rFonts w:ascii="Times New Roman" w:hAnsi="Times New Roman" w:cs="Times New Roman"/>
        </w:rPr>
        <w:t xml:space="preserve">the </w:t>
      </w:r>
      <w:r w:rsidR="00842051" w:rsidRPr="006C1C9C">
        <w:rPr>
          <w:rFonts w:ascii="Times New Roman" w:hAnsi="Times New Roman" w:cs="Times New Roman"/>
        </w:rPr>
        <w:t>A</w:t>
      </w:r>
      <w:r w:rsidRPr="006C1C9C">
        <w:rPr>
          <w:rFonts w:ascii="Times New Roman" w:hAnsi="Times New Roman" w:cs="Times New Roman"/>
        </w:rPr>
        <w:t>-Bank replacements are under CPUC jurisdiction</w:t>
      </w:r>
      <w:r w:rsidR="00CA7560">
        <w:rPr>
          <w:rFonts w:ascii="Times New Roman" w:hAnsi="Times New Roman" w:cs="Times New Roman"/>
        </w:rPr>
        <w:t xml:space="preserve"> in 2015 - 2016</w:t>
      </w:r>
      <w:r w:rsidRPr="006C1C9C">
        <w:rPr>
          <w:rFonts w:ascii="Times New Roman" w:hAnsi="Times New Roman" w:cs="Times New Roman"/>
        </w:rPr>
        <w:t xml:space="preserve">. The estimated ISO-related </w:t>
      </w:r>
      <w:r w:rsidR="00072A96">
        <w:rPr>
          <w:rFonts w:ascii="Times New Roman" w:hAnsi="Times New Roman" w:cs="Times New Roman"/>
        </w:rPr>
        <w:t xml:space="preserve">direct </w:t>
      </w:r>
      <w:r w:rsidRPr="006C1C9C">
        <w:rPr>
          <w:rFonts w:ascii="Times New Roman" w:hAnsi="Times New Roman" w:cs="Times New Roman"/>
        </w:rPr>
        <w:t>capital expenditures for this program that are expected to be operational in the peri</w:t>
      </w:r>
      <w:r w:rsidR="00677B05">
        <w:rPr>
          <w:rFonts w:ascii="Times New Roman" w:hAnsi="Times New Roman" w:cs="Times New Roman"/>
        </w:rPr>
        <w:t>od January through December 2016</w:t>
      </w:r>
      <w:r w:rsidRPr="006C1C9C">
        <w:rPr>
          <w:rFonts w:ascii="Times New Roman" w:hAnsi="Times New Roman" w:cs="Times New Roman"/>
        </w:rPr>
        <w:t xml:space="preserve"> are $18.</w:t>
      </w:r>
      <w:r w:rsidR="00677B05">
        <w:rPr>
          <w:rFonts w:ascii="Times New Roman" w:hAnsi="Times New Roman" w:cs="Times New Roman"/>
        </w:rPr>
        <w:t>1</w:t>
      </w:r>
      <w:r w:rsidRPr="006C1C9C">
        <w:rPr>
          <w:rFonts w:ascii="Times New Roman" w:hAnsi="Times New Roman" w:cs="Times New Roman"/>
        </w:rPr>
        <w:t xml:space="preserve"> million.</w:t>
      </w:r>
    </w:p>
    <w:p w14:paraId="17795C83" w14:textId="77777777" w:rsidR="006C1C9C" w:rsidRPr="00F96FBF" w:rsidRDefault="006C1C9C" w:rsidP="006C1C9C">
      <w:pPr>
        <w:spacing w:line="360" w:lineRule="auto"/>
        <w:ind w:left="360"/>
        <w:rPr>
          <w:rFonts w:ascii="Times New Roman" w:hAnsi="Times New Roman" w:cs="Times New Roman"/>
        </w:rPr>
      </w:pPr>
    </w:p>
    <w:p w14:paraId="25DED081" w14:textId="77777777" w:rsidR="004C0048" w:rsidRPr="009D5395" w:rsidRDefault="004C0048" w:rsidP="004C0048">
      <w:pPr>
        <w:pStyle w:val="ListParagraph"/>
        <w:numPr>
          <w:ilvl w:val="0"/>
          <w:numId w:val="2"/>
        </w:numPr>
        <w:spacing w:line="360" w:lineRule="auto"/>
        <w:rPr>
          <w:rFonts w:ascii="Times New Roman" w:hAnsi="Times New Roman" w:cs="Times New Roman"/>
          <w:b/>
        </w:rPr>
      </w:pPr>
      <w:r w:rsidRPr="009D5395">
        <w:rPr>
          <w:rFonts w:ascii="Times New Roman" w:hAnsi="Times New Roman" w:cs="Times New Roman"/>
          <w:b/>
        </w:rPr>
        <w:t xml:space="preserve">Centralized Remedial Action Scheme (C-RAS) </w:t>
      </w:r>
      <w:r>
        <w:rPr>
          <w:rFonts w:ascii="Times New Roman" w:hAnsi="Times New Roman" w:cs="Times New Roman"/>
          <w:b/>
        </w:rPr>
        <w:t>Program Phase</w:t>
      </w:r>
      <w:r w:rsidRPr="009D5395">
        <w:rPr>
          <w:rFonts w:ascii="Times New Roman" w:hAnsi="Times New Roman" w:cs="Times New Roman"/>
          <w:b/>
        </w:rPr>
        <w:t xml:space="preserve"> (PIN: 6428</w:t>
      </w:r>
      <w:r>
        <w:rPr>
          <w:rFonts w:ascii="Times New Roman" w:hAnsi="Times New Roman" w:cs="Times New Roman"/>
          <w:b/>
        </w:rPr>
        <w:t>)</w:t>
      </w:r>
    </w:p>
    <w:p w14:paraId="6FF1A034" w14:textId="77777777" w:rsidR="00C000FD" w:rsidRDefault="00C000FD" w:rsidP="00C000FD">
      <w:pPr>
        <w:spacing w:line="360" w:lineRule="auto"/>
        <w:ind w:left="360"/>
        <w:rPr>
          <w:rFonts w:ascii="Times New Roman" w:hAnsi="Times New Roman" w:cs="Times New Roman"/>
        </w:rPr>
      </w:pPr>
      <w:r w:rsidRPr="00C000FD">
        <w:rPr>
          <w:rFonts w:ascii="Times New Roman" w:hAnsi="Times New Roman" w:cs="Times New Roman"/>
        </w:rPr>
        <w:t>After the CRAS Project Phase is completed</w:t>
      </w:r>
      <w:r w:rsidR="00CA7560">
        <w:rPr>
          <w:rFonts w:ascii="Times New Roman" w:hAnsi="Times New Roman" w:cs="Times New Roman"/>
        </w:rPr>
        <w:t xml:space="preserve"> by 2015</w:t>
      </w:r>
      <w:r w:rsidRPr="00C000FD">
        <w:rPr>
          <w:rFonts w:ascii="Times New Roman" w:hAnsi="Times New Roman" w:cs="Times New Roman"/>
        </w:rPr>
        <w:t xml:space="preserve">, the CRAS Program Phase will implement new RAS using the CRAS system. These new RAS will allow for new generation interconnections, new or modified reliability based RAS, and conversion of existing RAS as required.  </w:t>
      </w:r>
    </w:p>
    <w:p w14:paraId="239BE5B3" w14:textId="77777777" w:rsidR="00C000FD" w:rsidRPr="00C000FD" w:rsidRDefault="00C000FD" w:rsidP="00C000FD">
      <w:pPr>
        <w:spacing w:line="360" w:lineRule="auto"/>
        <w:ind w:left="360" w:firstLine="360"/>
        <w:rPr>
          <w:rFonts w:ascii="Times New Roman" w:hAnsi="Times New Roman" w:cs="Times New Roman"/>
        </w:rPr>
      </w:pPr>
      <w:r w:rsidRPr="00C000FD">
        <w:rPr>
          <w:rFonts w:ascii="Times New Roman" w:hAnsi="Times New Roman" w:cs="Times New Roman"/>
        </w:rPr>
        <w:t xml:space="preserve">This project phase encompasses planning and designing new RAS, as well as procuring the relay and telecommunication equipment necessary to implement new RAS using CRAS, </w:t>
      </w:r>
      <w:r w:rsidRPr="00C000FD">
        <w:rPr>
          <w:rFonts w:ascii="Times New Roman" w:hAnsi="Times New Roman" w:cs="Times New Roman"/>
        </w:rPr>
        <w:lastRenderedPageBreak/>
        <w:t>and to convert exiting RAS to the CRAS platform. The planning and engineering of these</w:t>
      </w:r>
      <w:r>
        <w:rPr>
          <w:rFonts w:ascii="Times New Roman" w:hAnsi="Times New Roman" w:cs="Times New Roman"/>
        </w:rPr>
        <w:t xml:space="preserve"> </w:t>
      </w:r>
      <w:r w:rsidRPr="00C000FD">
        <w:rPr>
          <w:rFonts w:ascii="Times New Roman" w:hAnsi="Times New Roman" w:cs="Times New Roman"/>
        </w:rPr>
        <w:t>activities require a relatively long lead time. Therefore, before the end of the Project Phase, SCE will</w:t>
      </w:r>
      <w:r>
        <w:rPr>
          <w:rFonts w:ascii="Times New Roman" w:hAnsi="Times New Roman" w:cs="Times New Roman"/>
        </w:rPr>
        <w:t xml:space="preserve"> </w:t>
      </w:r>
      <w:r w:rsidRPr="00C000FD">
        <w:rPr>
          <w:rFonts w:ascii="Times New Roman" w:hAnsi="Times New Roman" w:cs="Times New Roman"/>
        </w:rPr>
        <w:t>start planning and engineering the first new RAS that will be incorporated with CRAS. This will allow</w:t>
      </w:r>
      <w:r>
        <w:rPr>
          <w:rFonts w:ascii="Times New Roman" w:hAnsi="Times New Roman" w:cs="Times New Roman"/>
        </w:rPr>
        <w:t xml:space="preserve"> </w:t>
      </w:r>
      <w:r w:rsidRPr="00C000FD">
        <w:rPr>
          <w:rFonts w:ascii="Times New Roman" w:hAnsi="Times New Roman" w:cs="Times New Roman"/>
        </w:rPr>
        <w:t>SCE to more quickly install the first CRAS protection schemes upon completion of the Project Phase.</w:t>
      </w:r>
    </w:p>
    <w:p w14:paraId="2EC7D2C7" w14:textId="77777777" w:rsidR="00B41C69" w:rsidRDefault="003B6306" w:rsidP="00E00368">
      <w:pPr>
        <w:spacing w:line="360" w:lineRule="auto"/>
        <w:ind w:left="360"/>
        <w:rPr>
          <w:rFonts w:ascii="Times New Roman" w:hAnsi="Times New Roman" w:cs="Times New Roman"/>
        </w:rPr>
      </w:pPr>
      <w:r>
        <w:rPr>
          <w:rFonts w:ascii="Times New Roman" w:hAnsi="Times New Roman" w:cs="Times New Roman"/>
        </w:rPr>
        <w:t>SCE’s</w:t>
      </w:r>
      <w:r w:rsidR="00C000FD" w:rsidRPr="00C000FD">
        <w:rPr>
          <w:rFonts w:ascii="Times New Roman" w:hAnsi="Times New Roman" w:cs="Times New Roman"/>
        </w:rPr>
        <w:t xml:space="preserve"> cost forecast reflects this strategy.</w:t>
      </w:r>
      <w:r w:rsidR="004C0048">
        <w:rPr>
          <w:rFonts w:ascii="Times New Roman" w:hAnsi="Times New Roman" w:cs="Times New Roman"/>
        </w:rPr>
        <w:t xml:space="preserve"> </w:t>
      </w:r>
      <w:r w:rsidR="00C000FD" w:rsidRPr="006C1C9C">
        <w:rPr>
          <w:rFonts w:ascii="Times New Roman" w:hAnsi="Times New Roman" w:cs="Times New Roman"/>
        </w:rPr>
        <w:t xml:space="preserve">The estimated ISO-related </w:t>
      </w:r>
      <w:r w:rsidR="00072A96">
        <w:rPr>
          <w:rFonts w:ascii="Times New Roman" w:hAnsi="Times New Roman" w:cs="Times New Roman"/>
        </w:rPr>
        <w:t xml:space="preserve">direct </w:t>
      </w:r>
      <w:r w:rsidR="00C000FD" w:rsidRPr="006C1C9C">
        <w:rPr>
          <w:rFonts w:ascii="Times New Roman" w:hAnsi="Times New Roman" w:cs="Times New Roman"/>
        </w:rPr>
        <w:t>capital expenditures for this program that are expected to be operational in the period January through December 201</w:t>
      </w:r>
      <w:r w:rsidR="00E00368">
        <w:rPr>
          <w:rFonts w:ascii="Times New Roman" w:hAnsi="Times New Roman" w:cs="Times New Roman"/>
        </w:rPr>
        <w:t>6</w:t>
      </w:r>
      <w:r w:rsidR="00C000FD" w:rsidRPr="006C1C9C">
        <w:rPr>
          <w:rFonts w:ascii="Times New Roman" w:hAnsi="Times New Roman" w:cs="Times New Roman"/>
        </w:rPr>
        <w:t xml:space="preserve"> </w:t>
      </w:r>
      <w:r w:rsidR="00C000FD">
        <w:rPr>
          <w:rFonts w:ascii="Times New Roman" w:hAnsi="Times New Roman" w:cs="Times New Roman"/>
        </w:rPr>
        <w:t xml:space="preserve">are </w:t>
      </w:r>
      <w:r w:rsidR="004C0048">
        <w:rPr>
          <w:rFonts w:ascii="Times New Roman" w:hAnsi="Times New Roman" w:cs="Times New Roman"/>
        </w:rPr>
        <w:t>$1</w:t>
      </w:r>
      <w:r w:rsidR="00E00368">
        <w:rPr>
          <w:rFonts w:ascii="Times New Roman" w:hAnsi="Times New Roman" w:cs="Times New Roman"/>
        </w:rPr>
        <w:t>3.8</w:t>
      </w:r>
      <w:r w:rsidR="004C0048">
        <w:rPr>
          <w:rFonts w:ascii="Times New Roman" w:hAnsi="Times New Roman" w:cs="Times New Roman"/>
        </w:rPr>
        <w:t xml:space="preserve"> million.</w:t>
      </w:r>
    </w:p>
    <w:p w14:paraId="42EDF276" w14:textId="77777777" w:rsidR="00E00368" w:rsidRDefault="00E00368" w:rsidP="00E00368">
      <w:pPr>
        <w:spacing w:line="360" w:lineRule="auto"/>
        <w:ind w:left="360"/>
        <w:rPr>
          <w:rFonts w:ascii="Times New Roman" w:hAnsi="Times New Roman" w:cs="Times New Roman"/>
          <w:b/>
        </w:rPr>
      </w:pPr>
    </w:p>
    <w:p w14:paraId="3D7B6E5C" w14:textId="77777777" w:rsidR="00BE6D58" w:rsidRPr="0079185B" w:rsidRDefault="00F51BEA" w:rsidP="00F51BEA">
      <w:pPr>
        <w:pStyle w:val="ListParagraph"/>
        <w:numPr>
          <w:ilvl w:val="0"/>
          <w:numId w:val="2"/>
        </w:numPr>
        <w:adjustRightInd w:val="0"/>
        <w:snapToGrid w:val="0"/>
        <w:spacing w:line="360" w:lineRule="auto"/>
        <w:rPr>
          <w:rFonts w:ascii="Times New Roman" w:hAnsi="Times New Roman" w:cs="Times New Roman"/>
        </w:rPr>
      </w:pPr>
      <w:r w:rsidRPr="00F51BEA">
        <w:rPr>
          <w:rFonts w:ascii="Times New Roman" w:hAnsi="Times New Roman" w:cs="Times New Roman"/>
          <w:b/>
        </w:rPr>
        <w:t xml:space="preserve">Transmission Line Rating Remediation </w:t>
      </w:r>
      <w:r w:rsidR="00D469B9" w:rsidRPr="0079185B">
        <w:rPr>
          <w:rFonts w:ascii="Times New Roman" w:hAnsi="Times New Roman" w:cs="Times New Roman"/>
          <w:b/>
        </w:rPr>
        <w:t xml:space="preserve">(PIN: </w:t>
      </w:r>
      <w:r w:rsidR="008C1DEE" w:rsidRPr="0079185B">
        <w:rPr>
          <w:rFonts w:ascii="Times New Roman" w:hAnsi="Times New Roman" w:cs="Times New Roman"/>
          <w:b/>
        </w:rPr>
        <w:t>7</w:t>
      </w:r>
      <w:r>
        <w:rPr>
          <w:rFonts w:ascii="Times New Roman" w:hAnsi="Times New Roman" w:cs="Times New Roman"/>
          <w:b/>
        </w:rPr>
        <w:t>298</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14:paraId="10F152D5" w14:textId="508FDC50" w:rsidR="008B2014" w:rsidRDefault="00185BD9" w:rsidP="00185BD9">
      <w:pPr>
        <w:adjustRightInd w:val="0"/>
        <w:snapToGrid w:val="0"/>
        <w:spacing w:line="360" w:lineRule="auto"/>
        <w:ind w:left="360"/>
        <w:rPr>
          <w:rFonts w:ascii="Times New Roman" w:hAnsi="Times New Roman" w:cs="Times New Roman"/>
        </w:rPr>
      </w:pPr>
      <w:r w:rsidRPr="00185BD9">
        <w:rPr>
          <w:rFonts w:ascii="Times New Roman" w:hAnsi="Times New Roman" w:cs="Times New Roman"/>
        </w:rPr>
        <w:t>SCE</w:t>
      </w:r>
      <w:r w:rsidR="008B2014">
        <w:rPr>
          <w:rFonts w:ascii="Times New Roman" w:hAnsi="Times New Roman" w:cs="Times New Roman"/>
        </w:rPr>
        <w:t xml:space="preserve"> has been performing the Transmission Line Rating Study, and has developed </w:t>
      </w:r>
      <w:r w:rsidR="00E4330B">
        <w:rPr>
          <w:rFonts w:ascii="Times New Roman" w:hAnsi="Times New Roman" w:cs="Times New Roman"/>
        </w:rPr>
        <w:t xml:space="preserve">a </w:t>
      </w:r>
      <w:r w:rsidR="008B2014">
        <w:rPr>
          <w:rFonts w:ascii="Times New Roman" w:hAnsi="Times New Roman" w:cs="Times New Roman"/>
        </w:rPr>
        <w:t>remed</w:t>
      </w:r>
      <w:r w:rsidR="006B76D2">
        <w:rPr>
          <w:rFonts w:ascii="Times New Roman" w:hAnsi="Times New Roman" w:cs="Times New Roman"/>
        </w:rPr>
        <w:t xml:space="preserve">iation plan to comply with the CPUC General Order </w:t>
      </w:r>
      <w:r w:rsidR="00E4330B">
        <w:rPr>
          <w:rFonts w:ascii="Times New Roman" w:hAnsi="Times New Roman" w:cs="Times New Roman"/>
        </w:rPr>
        <w:t xml:space="preserve">No. </w:t>
      </w:r>
      <w:r w:rsidR="00BE0303">
        <w:rPr>
          <w:rFonts w:ascii="Times New Roman" w:hAnsi="Times New Roman" w:cs="Times New Roman"/>
        </w:rPr>
        <w:t xml:space="preserve">95 </w:t>
      </w:r>
      <w:r w:rsidR="00E4330B">
        <w:rPr>
          <w:rFonts w:ascii="Times New Roman" w:hAnsi="Times New Roman" w:cs="Times New Roman"/>
        </w:rPr>
        <w:t xml:space="preserve">(G.O. 95) </w:t>
      </w:r>
      <w:r w:rsidR="00BE0303">
        <w:rPr>
          <w:rFonts w:ascii="Times New Roman" w:hAnsi="Times New Roman" w:cs="Times New Roman"/>
        </w:rPr>
        <w:t>that establishes the rules that overhead electric utility lines and equipment are governed by</w:t>
      </w:r>
      <w:r w:rsidR="0049747B">
        <w:rPr>
          <w:rFonts w:ascii="Times New Roman" w:hAnsi="Times New Roman" w:cs="Times New Roman"/>
        </w:rPr>
        <w:t>,</w:t>
      </w:r>
      <w:r w:rsidR="00BE0303">
        <w:rPr>
          <w:rFonts w:ascii="Times New Roman" w:hAnsi="Times New Roman" w:cs="Times New Roman"/>
        </w:rPr>
        <w:t xml:space="preserve"> effective 1942.</w:t>
      </w:r>
    </w:p>
    <w:p w14:paraId="2D16B3E7" w14:textId="0EE986D6" w:rsidR="008B2014" w:rsidRDefault="008B2014" w:rsidP="008B2014">
      <w:pPr>
        <w:adjustRightInd w:val="0"/>
        <w:snapToGrid w:val="0"/>
        <w:spacing w:line="360" w:lineRule="auto"/>
        <w:ind w:left="360" w:firstLine="360"/>
        <w:rPr>
          <w:rFonts w:ascii="Times New Roman" w:hAnsi="Times New Roman" w:cs="Times New Roman"/>
        </w:rPr>
      </w:pPr>
      <w:r>
        <w:rPr>
          <w:rFonts w:ascii="Times New Roman" w:hAnsi="Times New Roman" w:cs="Times New Roman"/>
        </w:rPr>
        <w:t>To identify transmission spans that are potentially in violation of G.O. 95 requirements, SCE follows a two-step process:</w:t>
      </w:r>
    </w:p>
    <w:p w14:paraId="5996F2B2" w14:textId="6C1F7163" w:rsidR="008B2014" w:rsidRPr="00502033" w:rsidRDefault="008B2014" w:rsidP="00502033">
      <w:pPr>
        <w:pStyle w:val="ListParagraph"/>
        <w:numPr>
          <w:ilvl w:val="0"/>
          <w:numId w:val="8"/>
        </w:numPr>
        <w:adjustRightInd w:val="0"/>
        <w:snapToGrid w:val="0"/>
        <w:spacing w:line="360" w:lineRule="auto"/>
        <w:rPr>
          <w:rFonts w:ascii="Times New Roman" w:hAnsi="Times New Roman" w:cs="Times New Roman"/>
        </w:rPr>
      </w:pPr>
      <w:r w:rsidRPr="00502033">
        <w:rPr>
          <w:rFonts w:ascii="Times New Roman" w:hAnsi="Times New Roman" w:cs="Times New Roman"/>
        </w:rPr>
        <w:t xml:space="preserve">First, SCE identifies potential transmission line clearance issues using </w:t>
      </w:r>
      <w:r w:rsidR="00502033">
        <w:rPr>
          <w:rFonts w:ascii="Times New Roman" w:hAnsi="Times New Roman" w:cs="Times New Roman"/>
        </w:rPr>
        <w:t>Light Detection and Ranging (</w:t>
      </w:r>
      <w:r w:rsidRPr="00502033">
        <w:rPr>
          <w:rFonts w:ascii="Times New Roman" w:hAnsi="Times New Roman" w:cs="Times New Roman"/>
        </w:rPr>
        <w:t>LiDAR</w:t>
      </w:r>
      <w:r w:rsidR="00502033">
        <w:rPr>
          <w:rFonts w:ascii="Times New Roman" w:hAnsi="Times New Roman" w:cs="Times New Roman"/>
        </w:rPr>
        <w:t>)</w:t>
      </w:r>
      <w:r w:rsidRPr="00502033">
        <w:rPr>
          <w:rFonts w:ascii="Times New Roman" w:hAnsi="Times New Roman" w:cs="Times New Roman"/>
        </w:rPr>
        <w:t xml:space="preserve"> to aerially survey the transmission system; and</w:t>
      </w:r>
    </w:p>
    <w:p w14:paraId="19CFBA8D" w14:textId="1D26C18B" w:rsidR="008B2014" w:rsidRPr="00502033" w:rsidRDefault="008B2014" w:rsidP="00502033">
      <w:pPr>
        <w:pStyle w:val="ListParagraph"/>
        <w:numPr>
          <w:ilvl w:val="0"/>
          <w:numId w:val="8"/>
        </w:numPr>
        <w:adjustRightInd w:val="0"/>
        <w:snapToGrid w:val="0"/>
        <w:spacing w:line="360" w:lineRule="auto"/>
        <w:rPr>
          <w:rFonts w:ascii="Times New Roman" w:hAnsi="Times New Roman" w:cs="Times New Roman"/>
        </w:rPr>
      </w:pPr>
      <w:r w:rsidRPr="00502033">
        <w:rPr>
          <w:rFonts w:ascii="Times New Roman" w:hAnsi="Times New Roman" w:cs="Times New Roman"/>
        </w:rPr>
        <w:t>Second, SCE performs site visits to validate that the violation condition still exists and develop remediation plans.</w:t>
      </w:r>
    </w:p>
    <w:p w14:paraId="358A7E94" w14:textId="79C445E3" w:rsidR="008B2014" w:rsidRDefault="008B2014" w:rsidP="008B2014">
      <w:pPr>
        <w:adjustRightInd w:val="0"/>
        <w:snapToGrid w:val="0"/>
        <w:spacing w:line="360" w:lineRule="auto"/>
        <w:ind w:left="360" w:firstLine="360"/>
        <w:rPr>
          <w:rFonts w:ascii="Times New Roman" w:hAnsi="Times New Roman" w:cs="Times New Roman"/>
        </w:rPr>
      </w:pPr>
      <w:r>
        <w:rPr>
          <w:rFonts w:ascii="Times New Roman" w:hAnsi="Times New Roman" w:cs="Times New Roman"/>
        </w:rPr>
        <w:t>SCE has completed the first step; SCE has performed a LiDAR survey of all of SCE’s CAISO-controlled transmission lines for lines built before 2005.  Based on the results of the survey, SCE has prioritized the spans that may need line clearance remediation.  The prioritization criteria includes line sag when operating at or below 130 degrees Fahrenheit, and potential risk to public safety and system reliability based on location of span, terrain, encroachment type, and extent of deviation from standard.</w:t>
      </w:r>
    </w:p>
    <w:p w14:paraId="4345A2ED" w14:textId="0E6F3ACA" w:rsidR="00185BD9" w:rsidRPr="00185BD9" w:rsidRDefault="008B2014" w:rsidP="008B2014">
      <w:pPr>
        <w:adjustRightInd w:val="0"/>
        <w:snapToGrid w:val="0"/>
        <w:spacing w:line="360" w:lineRule="auto"/>
        <w:ind w:left="360" w:firstLine="360"/>
        <w:rPr>
          <w:rFonts w:ascii="Times New Roman" w:hAnsi="Times New Roman" w:cs="Times New Roman"/>
        </w:rPr>
      </w:pPr>
      <w:r>
        <w:rPr>
          <w:rFonts w:ascii="Times New Roman" w:hAnsi="Times New Roman" w:cs="Times New Roman"/>
        </w:rPr>
        <w:t xml:space="preserve">Currently, SCE has initiated remediation of the inspected line spans that did not meet G.O. 95 requirements.  </w:t>
      </w:r>
      <w:r w:rsidR="00E4330B">
        <w:rPr>
          <w:rFonts w:ascii="Times New Roman" w:hAnsi="Times New Roman" w:cs="Times New Roman"/>
        </w:rPr>
        <w:t xml:space="preserve">Transmission Line Rating </w:t>
      </w:r>
      <w:r w:rsidR="00185BD9" w:rsidRPr="00185BD9">
        <w:rPr>
          <w:rFonts w:ascii="Times New Roman" w:hAnsi="Times New Roman" w:cs="Times New Roman"/>
        </w:rPr>
        <w:t>Remediation</w:t>
      </w:r>
      <w:r w:rsidR="00E4330B">
        <w:rPr>
          <w:rFonts w:ascii="Times New Roman" w:hAnsi="Times New Roman" w:cs="Times New Roman"/>
        </w:rPr>
        <w:t xml:space="preserve"> (TLRR)</w:t>
      </w:r>
      <w:r w:rsidR="00185BD9" w:rsidRPr="00185BD9">
        <w:rPr>
          <w:rFonts w:ascii="Times New Roman" w:hAnsi="Times New Roman" w:cs="Times New Roman"/>
        </w:rPr>
        <w:t xml:space="preserve"> work includes replacing towers and poles, clearing brush, replacing insulators, removing slack from lines, and other efforts to remediate line clearance issues.</w:t>
      </w:r>
    </w:p>
    <w:p w14:paraId="61884054" w14:textId="77777777" w:rsidR="0079185B" w:rsidRDefault="00185BD9" w:rsidP="00185BD9">
      <w:pPr>
        <w:adjustRightInd w:val="0"/>
        <w:snapToGrid w:val="0"/>
        <w:spacing w:line="360" w:lineRule="auto"/>
        <w:ind w:left="360" w:firstLine="360"/>
        <w:rPr>
          <w:rFonts w:ascii="Times New Roman" w:hAnsi="Times New Roman" w:cs="Times New Roman"/>
        </w:rPr>
      </w:pPr>
      <w:r w:rsidRPr="00185BD9">
        <w:rPr>
          <w:rFonts w:ascii="Times New Roman" w:hAnsi="Times New Roman" w:cs="Times New Roman"/>
        </w:rPr>
        <w:lastRenderedPageBreak/>
        <w:t>The forecast of TLRR capital expenditures is based on a specific, project-based forecast. The forecast includes the costs for remediation activities, engineering and design work, and materials, by year and by priority level of the work. Most of these costs are FERC jurisdictional.</w:t>
      </w:r>
      <w:r w:rsidR="0079185B">
        <w:rPr>
          <w:rFonts w:ascii="Times New Roman" w:hAnsi="Times New Roman" w:cs="Times New Roman"/>
        </w:rPr>
        <w:t xml:space="preserve">  </w:t>
      </w:r>
      <w:r w:rsidRPr="00185BD9">
        <w:rPr>
          <w:rFonts w:ascii="Times New Roman" w:hAnsi="Times New Roman" w:cs="Times New Roman"/>
        </w:rPr>
        <w:t xml:space="preserve">The estimated ISO-related </w:t>
      </w:r>
      <w:r w:rsidR="00072A96">
        <w:rPr>
          <w:rFonts w:ascii="Times New Roman" w:hAnsi="Times New Roman" w:cs="Times New Roman"/>
        </w:rPr>
        <w:t xml:space="preserve">direct </w:t>
      </w:r>
      <w:r w:rsidRPr="00185BD9">
        <w:rPr>
          <w:rFonts w:ascii="Times New Roman" w:hAnsi="Times New Roman" w:cs="Times New Roman"/>
        </w:rPr>
        <w:t>capital expenditures for this program that are expected to be operational in the period January through December 201</w:t>
      </w:r>
      <w:r w:rsidR="00E00368">
        <w:rPr>
          <w:rFonts w:ascii="Times New Roman" w:hAnsi="Times New Roman" w:cs="Times New Roman"/>
        </w:rPr>
        <w:t>6</w:t>
      </w:r>
      <w:r w:rsidRPr="00185BD9">
        <w:rPr>
          <w:rFonts w:ascii="Times New Roman" w:hAnsi="Times New Roman" w:cs="Times New Roman"/>
        </w:rPr>
        <w:t xml:space="preserve"> are $</w:t>
      </w:r>
      <w:r w:rsidR="00E00368">
        <w:rPr>
          <w:rFonts w:ascii="Times New Roman" w:hAnsi="Times New Roman" w:cs="Times New Roman"/>
        </w:rPr>
        <w:t>60.4</w:t>
      </w:r>
      <w:r w:rsidRPr="00185BD9">
        <w:rPr>
          <w:rFonts w:ascii="Times New Roman" w:hAnsi="Times New Roman" w:cs="Times New Roman"/>
        </w:rPr>
        <w:t xml:space="preserve"> million.</w:t>
      </w:r>
    </w:p>
    <w:p w14:paraId="2C1CF8E0" w14:textId="77777777" w:rsidR="0031264C" w:rsidRDefault="0031264C" w:rsidP="00185BD9">
      <w:pPr>
        <w:adjustRightInd w:val="0"/>
        <w:snapToGrid w:val="0"/>
        <w:spacing w:line="360" w:lineRule="auto"/>
        <w:ind w:left="360" w:firstLine="360"/>
        <w:rPr>
          <w:rFonts w:ascii="Times New Roman" w:hAnsi="Times New Roman" w:cs="Times New Roman"/>
        </w:rPr>
      </w:pPr>
    </w:p>
    <w:p w14:paraId="01A98A7E" w14:textId="4C4095B1" w:rsidR="0031264C" w:rsidRPr="0031264C" w:rsidRDefault="0031264C" w:rsidP="0031264C">
      <w:pPr>
        <w:pStyle w:val="ListParagraph"/>
        <w:numPr>
          <w:ilvl w:val="0"/>
          <w:numId w:val="2"/>
        </w:numPr>
        <w:spacing w:line="360" w:lineRule="auto"/>
        <w:rPr>
          <w:rFonts w:ascii="Times New Roman" w:hAnsi="Times New Roman" w:cs="Times New Roman"/>
          <w:b/>
        </w:rPr>
      </w:pPr>
      <w:r w:rsidRPr="0031264C">
        <w:rPr>
          <w:rFonts w:ascii="Times New Roman" w:hAnsi="Times New Roman" w:cs="Times New Roman"/>
          <w:b/>
        </w:rPr>
        <w:t xml:space="preserve">Non-Bulk Relay Replacement Program </w:t>
      </w:r>
      <w:r>
        <w:rPr>
          <w:rFonts w:ascii="Times New Roman" w:hAnsi="Times New Roman" w:cs="Times New Roman"/>
          <w:b/>
        </w:rPr>
        <w:t>(PIN: 4343)</w:t>
      </w:r>
    </w:p>
    <w:p w14:paraId="1E0E77F7" w14:textId="14A24D63" w:rsidR="0031264C" w:rsidRDefault="00305C7E" w:rsidP="00305C7E">
      <w:pPr>
        <w:spacing w:line="360" w:lineRule="auto"/>
        <w:ind w:left="360"/>
        <w:rPr>
          <w:rFonts w:ascii="Times New Roman" w:hAnsi="Times New Roman" w:cs="Times New Roman"/>
        </w:rPr>
      </w:pPr>
      <w:r w:rsidRPr="00305C7E">
        <w:rPr>
          <w:rFonts w:ascii="Times New Roman" w:hAnsi="Times New Roman" w:cs="Times New Roman"/>
        </w:rPr>
        <w:t xml:space="preserve">Relays are devices that monitor the currents and voltages for each piece of equipment in substations and actuate circuit breakers should these parameters exceed acceptable limits.  </w:t>
      </w:r>
      <w:r w:rsidR="003E7BA5">
        <w:rPr>
          <w:rFonts w:ascii="Times New Roman" w:hAnsi="Times New Roman" w:cs="Times New Roman"/>
        </w:rPr>
        <w:t>Certain r</w:t>
      </w:r>
      <w:r w:rsidRPr="00305C7E">
        <w:rPr>
          <w:rFonts w:ascii="Times New Roman" w:hAnsi="Times New Roman" w:cs="Times New Roman"/>
        </w:rPr>
        <w:t xml:space="preserve">elays in </w:t>
      </w:r>
      <w:r w:rsidR="00165217">
        <w:rPr>
          <w:rFonts w:ascii="Times New Roman" w:hAnsi="Times New Roman" w:cs="Times New Roman"/>
        </w:rPr>
        <w:t>220/</w:t>
      </w:r>
      <w:r w:rsidR="003E7BA5">
        <w:rPr>
          <w:rFonts w:ascii="Times New Roman" w:hAnsi="Times New Roman" w:cs="Times New Roman"/>
        </w:rPr>
        <w:t xml:space="preserve">115 kV </w:t>
      </w:r>
      <w:r w:rsidR="00165217">
        <w:rPr>
          <w:rFonts w:ascii="Times New Roman" w:hAnsi="Times New Roman" w:cs="Times New Roman"/>
        </w:rPr>
        <w:t xml:space="preserve">and below </w:t>
      </w:r>
      <w:r w:rsidRPr="00305C7E">
        <w:rPr>
          <w:rFonts w:ascii="Times New Roman" w:hAnsi="Times New Roman" w:cs="Times New Roman"/>
        </w:rPr>
        <w:t>substations fall under FERC jurisdiction.</w:t>
      </w:r>
      <w:r>
        <w:rPr>
          <w:rFonts w:ascii="Times New Roman" w:hAnsi="Times New Roman" w:cs="Times New Roman"/>
        </w:rPr>
        <w:t xml:space="preserve">  </w:t>
      </w:r>
      <w:r w:rsidRPr="00305C7E">
        <w:rPr>
          <w:rFonts w:ascii="Times New Roman" w:hAnsi="Times New Roman" w:cs="Times New Roman"/>
        </w:rPr>
        <w:t>SCE has a specific plan for replacing both its distribution protection and control equipment and its relays.</w:t>
      </w:r>
      <w:r w:rsidR="00165217">
        <w:rPr>
          <w:rFonts w:ascii="Times New Roman" w:hAnsi="Times New Roman" w:cs="Times New Roman"/>
        </w:rPr>
        <w:t xml:space="preserve">  </w:t>
      </w:r>
      <w:r w:rsidRPr="00305C7E">
        <w:rPr>
          <w:rFonts w:ascii="Times New Roman" w:hAnsi="Times New Roman" w:cs="Times New Roman"/>
        </w:rPr>
        <w:t xml:space="preserve">The forecast includes replacement of obsolete protection and control systems, first-generation integrated systems (relays and control computers), obsolete </w:t>
      </w:r>
      <w:r w:rsidR="001A5D53">
        <w:rPr>
          <w:rFonts w:ascii="Times New Roman" w:hAnsi="Times New Roman" w:cs="Times New Roman"/>
        </w:rPr>
        <w:t>programmable logic controllers (</w:t>
      </w:r>
      <w:r w:rsidRPr="00305C7E">
        <w:rPr>
          <w:rFonts w:ascii="Times New Roman" w:hAnsi="Times New Roman" w:cs="Times New Roman"/>
        </w:rPr>
        <w:t>PLCs</w:t>
      </w:r>
      <w:r w:rsidR="001A5D53">
        <w:rPr>
          <w:rFonts w:ascii="Times New Roman" w:hAnsi="Times New Roman" w:cs="Times New Roman"/>
        </w:rPr>
        <w:t>)</w:t>
      </w:r>
      <w:r w:rsidRPr="00305C7E">
        <w:rPr>
          <w:rFonts w:ascii="Times New Roman" w:hAnsi="Times New Roman" w:cs="Times New Roman"/>
        </w:rPr>
        <w:t>, and replacement of relays</w:t>
      </w:r>
      <w:r w:rsidR="00165217">
        <w:rPr>
          <w:rFonts w:ascii="Times New Roman" w:hAnsi="Times New Roman" w:cs="Times New Roman"/>
        </w:rPr>
        <w:t xml:space="preserve"> to improve system reliability and safety</w:t>
      </w:r>
      <w:r w:rsidRPr="00305C7E">
        <w:rPr>
          <w:rFonts w:ascii="Times New Roman" w:hAnsi="Times New Roman" w:cs="Times New Roman"/>
        </w:rPr>
        <w:t xml:space="preserve">.  </w:t>
      </w:r>
      <w:r w:rsidR="000707B3">
        <w:rPr>
          <w:rFonts w:ascii="Times New Roman" w:hAnsi="Times New Roman" w:cs="Times New Roman"/>
        </w:rPr>
        <w:t xml:space="preserve"> Examples include replacement of eight </w:t>
      </w:r>
      <w:r w:rsidR="000707B3" w:rsidRPr="00165217">
        <w:rPr>
          <w:rFonts w:ascii="Times New Roman" w:hAnsi="Times New Roman" w:cs="Times New Roman"/>
        </w:rPr>
        <w:t>220kV L</w:t>
      </w:r>
      <w:r w:rsidR="000707B3">
        <w:rPr>
          <w:rFonts w:ascii="Times New Roman" w:hAnsi="Times New Roman" w:cs="Times New Roman"/>
        </w:rPr>
        <w:t>ocal Breaker Failure Backup (L</w:t>
      </w:r>
      <w:r w:rsidR="000707B3" w:rsidRPr="00165217">
        <w:rPr>
          <w:rFonts w:ascii="Times New Roman" w:hAnsi="Times New Roman" w:cs="Times New Roman"/>
        </w:rPr>
        <w:t>BFB</w:t>
      </w:r>
      <w:r w:rsidR="000707B3">
        <w:rPr>
          <w:rFonts w:ascii="Times New Roman" w:hAnsi="Times New Roman" w:cs="Times New Roman"/>
        </w:rPr>
        <w:t>)</w:t>
      </w:r>
      <w:r w:rsidR="000707B3" w:rsidRPr="00165217">
        <w:rPr>
          <w:rFonts w:ascii="Times New Roman" w:hAnsi="Times New Roman" w:cs="Times New Roman"/>
        </w:rPr>
        <w:t xml:space="preserve"> Relays (220kV CBs 4072, 4092, 410</w:t>
      </w:r>
      <w:r w:rsidR="000707B3">
        <w:rPr>
          <w:rFonts w:ascii="Times New Roman" w:hAnsi="Times New Roman" w:cs="Times New Roman"/>
        </w:rPr>
        <w:t>2, 4112, 6072, 6092, 6102, 6112</w:t>
      </w:r>
      <w:r w:rsidR="000707B3" w:rsidRPr="00165217">
        <w:rPr>
          <w:rFonts w:ascii="Times New Roman" w:hAnsi="Times New Roman" w:cs="Times New Roman"/>
        </w:rPr>
        <w:t>)</w:t>
      </w:r>
      <w:r w:rsidR="000707B3">
        <w:rPr>
          <w:rFonts w:ascii="Times New Roman" w:hAnsi="Times New Roman" w:cs="Times New Roman"/>
        </w:rPr>
        <w:t xml:space="preserve"> at Eldorado 500/220kV Substation.  </w:t>
      </w:r>
      <w:r w:rsidRPr="00305C7E">
        <w:rPr>
          <w:rFonts w:ascii="Times New Roman" w:hAnsi="Times New Roman" w:cs="Times New Roman"/>
        </w:rPr>
        <w:t>The estimated ISO-related direct capital expenditures for this program that are expected to be operational in the period January through December 201</w:t>
      </w:r>
      <w:r>
        <w:rPr>
          <w:rFonts w:ascii="Times New Roman" w:hAnsi="Times New Roman" w:cs="Times New Roman"/>
        </w:rPr>
        <w:t>6</w:t>
      </w:r>
      <w:r w:rsidRPr="00305C7E">
        <w:rPr>
          <w:rFonts w:ascii="Times New Roman" w:hAnsi="Times New Roman" w:cs="Times New Roman"/>
        </w:rPr>
        <w:t xml:space="preserve"> are $</w:t>
      </w:r>
      <w:r>
        <w:rPr>
          <w:rFonts w:ascii="Times New Roman" w:hAnsi="Times New Roman" w:cs="Times New Roman"/>
        </w:rPr>
        <w:t>7.7</w:t>
      </w:r>
      <w:r w:rsidRPr="00305C7E">
        <w:rPr>
          <w:rFonts w:ascii="Times New Roman" w:hAnsi="Times New Roman" w:cs="Times New Roman"/>
        </w:rPr>
        <w:t xml:space="preserve"> million.</w:t>
      </w:r>
    </w:p>
    <w:p w14:paraId="4318B560" w14:textId="77777777" w:rsidR="00185BD9" w:rsidRPr="00BE6D58" w:rsidRDefault="00185BD9" w:rsidP="00185BD9">
      <w:pPr>
        <w:adjustRightInd w:val="0"/>
        <w:snapToGrid w:val="0"/>
        <w:spacing w:line="360" w:lineRule="auto"/>
        <w:ind w:left="360" w:firstLine="360"/>
        <w:rPr>
          <w:rFonts w:ascii="Times New Roman" w:hAnsi="Times New Roman" w:cs="Times New Roman"/>
        </w:rPr>
      </w:pPr>
    </w:p>
    <w:p w14:paraId="25F2FC11" w14:textId="77777777" w:rsidR="00A14F06" w:rsidRDefault="00CA7560" w:rsidP="00CA7560">
      <w:pPr>
        <w:pStyle w:val="ListParagraph"/>
        <w:numPr>
          <w:ilvl w:val="0"/>
          <w:numId w:val="2"/>
        </w:numPr>
        <w:spacing w:line="360" w:lineRule="auto"/>
        <w:rPr>
          <w:rFonts w:ascii="Times New Roman" w:hAnsi="Times New Roman" w:cs="Times New Roman"/>
          <w:b/>
        </w:rPr>
      </w:pPr>
      <w:r w:rsidRPr="00CA7560">
        <w:rPr>
          <w:rFonts w:ascii="Times New Roman" w:hAnsi="Times New Roman" w:cs="Times New Roman"/>
          <w:b/>
        </w:rPr>
        <w:t xml:space="preserve">Substation </w:t>
      </w:r>
      <w:r w:rsidR="00395A03">
        <w:rPr>
          <w:rFonts w:ascii="Times New Roman" w:hAnsi="Times New Roman" w:cs="Times New Roman"/>
          <w:b/>
        </w:rPr>
        <w:t xml:space="preserve">Miscellaneous </w:t>
      </w:r>
      <w:r w:rsidRPr="00CA7560">
        <w:rPr>
          <w:rFonts w:ascii="Times New Roman" w:hAnsi="Times New Roman" w:cs="Times New Roman"/>
          <w:b/>
        </w:rPr>
        <w:t xml:space="preserve">Equipment Additions &amp; Betterment </w:t>
      </w:r>
      <w:r w:rsidR="00A14F06">
        <w:rPr>
          <w:rFonts w:ascii="Times New Roman" w:hAnsi="Times New Roman" w:cs="Times New Roman"/>
          <w:b/>
        </w:rPr>
        <w:t xml:space="preserve">(PIN: </w:t>
      </w:r>
      <w:r>
        <w:rPr>
          <w:rFonts w:ascii="Times New Roman" w:hAnsi="Times New Roman" w:cs="Times New Roman"/>
          <w:b/>
        </w:rPr>
        <w:t>4756</w:t>
      </w:r>
      <w:r w:rsidR="00A14F06">
        <w:rPr>
          <w:rFonts w:ascii="Times New Roman" w:hAnsi="Times New Roman" w:cs="Times New Roman"/>
          <w:b/>
        </w:rPr>
        <w:t>)</w:t>
      </w:r>
    </w:p>
    <w:p w14:paraId="75BCE9FF" w14:textId="77777777" w:rsidR="00B41C69" w:rsidRDefault="00AC5BF5" w:rsidP="00AC5BF5">
      <w:pPr>
        <w:spacing w:line="360" w:lineRule="auto"/>
        <w:ind w:left="360"/>
        <w:rPr>
          <w:rFonts w:ascii="Times New Roman" w:hAnsi="Times New Roman" w:cs="Times New Roman"/>
        </w:rPr>
      </w:pPr>
      <w:r w:rsidRPr="00AC5BF5">
        <w:rPr>
          <w:rFonts w:ascii="Times New Roman" w:hAnsi="Times New Roman" w:cs="Times New Roman"/>
        </w:rPr>
        <w:t xml:space="preserve">Substation </w:t>
      </w:r>
      <w:r>
        <w:rPr>
          <w:rFonts w:ascii="Times New Roman" w:hAnsi="Times New Roman" w:cs="Times New Roman"/>
        </w:rPr>
        <w:t xml:space="preserve">Miscellaneous Equipment Additions &amp; Betterment </w:t>
      </w:r>
      <w:r w:rsidRPr="00AC5BF5">
        <w:rPr>
          <w:rFonts w:ascii="Times New Roman" w:hAnsi="Times New Roman" w:cs="Times New Roman"/>
        </w:rPr>
        <w:t xml:space="preserve">captures the cost to remove, replace, and retire </w:t>
      </w:r>
      <w:r>
        <w:rPr>
          <w:rFonts w:ascii="Times New Roman" w:hAnsi="Times New Roman" w:cs="Times New Roman"/>
        </w:rPr>
        <w:t xml:space="preserve">miscellaneous </w:t>
      </w:r>
      <w:r w:rsidRPr="00AC5BF5">
        <w:rPr>
          <w:rFonts w:ascii="Times New Roman" w:hAnsi="Times New Roman" w:cs="Times New Roman"/>
        </w:rPr>
        <w:t>assets on a reactive or programmatic basis. It</w:t>
      </w:r>
      <w:r>
        <w:rPr>
          <w:rFonts w:ascii="Times New Roman" w:hAnsi="Times New Roman" w:cs="Times New Roman"/>
        </w:rPr>
        <w:t xml:space="preserve"> does not </w:t>
      </w:r>
      <w:r w:rsidRPr="00AC5BF5">
        <w:rPr>
          <w:rFonts w:ascii="Times New Roman" w:hAnsi="Times New Roman" w:cs="Times New Roman"/>
        </w:rPr>
        <w:t>include the costs for</w:t>
      </w:r>
      <w:r>
        <w:rPr>
          <w:rFonts w:ascii="Times New Roman" w:hAnsi="Times New Roman" w:cs="Times New Roman"/>
        </w:rPr>
        <w:t xml:space="preserve"> </w:t>
      </w:r>
      <w:r w:rsidRPr="00AC5BF5">
        <w:rPr>
          <w:rFonts w:ascii="Times New Roman" w:hAnsi="Times New Roman" w:cs="Times New Roman"/>
        </w:rPr>
        <w:t>preemptive replacement of circuit</w:t>
      </w:r>
      <w:r>
        <w:rPr>
          <w:rFonts w:ascii="Times New Roman" w:hAnsi="Times New Roman" w:cs="Times New Roman"/>
        </w:rPr>
        <w:t xml:space="preserve"> </w:t>
      </w:r>
      <w:r w:rsidRPr="00AC5BF5">
        <w:rPr>
          <w:rFonts w:ascii="Times New Roman" w:hAnsi="Times New Roman" w:cs="Times New Roman"/>
        </w:rPr>
        <w:t>breakers</w:t>
      </w:r>
      <w:r>
        <w:rPr>
          <w:rFonts w:ascii="Times New Roman" w:hAnsi="Times New Roman" w:cs="Times New Roman"/>
        </w:rPr>
        <w:t xml:space="preserve">, </w:t>
      </w:r>
      <w:r w:rsidRPr="00AC5BF5">
        <w:rPr>
          <w:rFonts w:ascii="Times New Roman" w:hAnsi="Times New Roman" w:cs="Times New Roman"/>
        </w:rPr>
        <w:t>substation transformers</w:t>
      </w:r>
      <w:r>
        <w:rPr>
          <w:rFonts w:ascii="Times New Roman" w:hAnsi="Times New Roman" w:cs="Times New Roman"/>
        </w:rPr>
        <w:t xml:space="preserve">, </w:t>
      </w:r>
      <w:r w:rsidRPr="00AC5BF5">
        <w:rPr>
          <w:rFonts w:ascii="Times New Roman" w:hAnsi="Times New Roman" w:cs="Times New Roman"/>
        </w:rPr>
        <w:t xml:space="preserve">substation protection and control systems. </w:t>
      </w:r>
      <w:r w:rsidR="00E70F66">
        <w:rPr>
          <w:rFonts w:ascii="Times New Roman" w:hAnsi="Times New Roman" w:cs="Times New Roman"/>
        </w:rPr>
        <w:t>Instead, i</w:t>
      </w:r>
      <w:r w:rsidR="006855D4">
        <w:rPr>
          <w:rFonts w:ascii="Times New Roman" w:hAnsi="Times New Roman" w:cs="Times New Roman"/>
        </w:rPr>
        <w:t xml:space="preserve">t is </w:t>
      </w:r>
      <w:r w:rsidRPr="00AC5BF5">
        <w:rPr>
          <w:rFonts w:ascii="Times New Roman" w:hAnsi="Times New Roman" w:cs="Times New Roman"/>
        </w:rPr>
        <w:t>predominantly like-for-like</w:t>
      </w:r>
      <w:r w:rsidR="006855D4">
        <w:rPr>
          <w:rFonts w:ascii="Times New Roman" w:hAnsi="Times New Roman" w:cs="Times New Roman"/>
        </w:rPr>
        <w:t xml:space="preserve"> </w:t>
      </w:r>
      <w:r w:rsidRPr="00AC5BF5">
        <w:rPr>
          <w:rFonts w:ascii="Times New Roman" w:hAnsi="Times New Roman" w:cs="Times New Roman"/>
        </w:rPr>
        <w:t xml:space="preserve">replacement </w:t>
      </w:r>
      <w:r w:rsidR="006855D4">
        <w:rPr>
          <w:rFonts w:ascii="Times New Roman" w:hAnsi="Times New Roman" w:cs="Times New Roman"/>
        </w:rPr>
        <w:t xml:space="preserve">of miscellaneous substation equipment </w:t>
      </w:r>
      <w:r w:rsidRPr="00AC5BF5">
        <w:rPr>
          <w:rFonts w:ascii="Times New Roman" w:hAnsi="Times New Roman" w:cs="Times New Roman"/>
        </w:rPr>
        <w:t>with limited engineering. Equipment that is identified as requiring replacement must be</w:t>
      </w:r>
      <w:r w:rsidR="006855D4">
        <w:rPr>
          <w:rFonts w:ascii="Times New Roman" w:hAnsi="Times New Roman" w:cs="Times New Roman"/>
        </w:rPr>
        <w:t xml:space="preserve"> </w:t>
      </w:r>
      <w:r w:rsidRPr="00AC5BF5">
        <w:rPr>
          <w:rFonts w:ascii="Times New Roman" w:hAnsi="Times New Roman" w:cs="Times New Roman"/>
        </w:rPr>
        <w:t>replaced in a timely manner because substation equipment failures may lead to prolonged outages,</w:t>
      </w:r>
      <w:r w:rsidR="006855D4">
        <w:rPr>
          <w:rFonts w:ascii="Times New Roman" w:hAnsi="Times New Roman" w:cs="Times New Roman"/>
        </w:rPr>
        <w:t xml:space="preserve"> </w:t>
      </w:r>
      <w:r w:rsidRPr="00AC5BF5">
        <w:rPr>
          <w:rFonts w:ascii="Times New Roman" w:hAnsi="Times New Roman" w:cs="Times New Roman"/>
        </w:rPr>
        <w:t>unsafe operating conditions, or more expensive reactive solutions</w:t>
      </w:r>
      <w:r w:rsidR="006855D4">
        <w:rPr>
          <w:rFonts w:ascii="Times New Roman" w:hAnsi="Times New Roman" w:cs="Times New Roman"/>
        </w:rPr>
        <w:t xml:space="preserve">.  </w:t>
      </w:r>
      <w:r w:rsidR="00E70F66">
        <w:rPr>
          <w:rFonts w:ascii="Times New Roman" w:hAnsi="Times New Roman" w:cs="Times New Roman"/>
        </w:rPr>
        <w:t xml:space="preserve">Examples include the replacement of </w:t>
      </w:r>
      <w:r w:rsidR="006855D4">
        <w:rPr>
          <w:rFonts w:ascii="Times New Roman" w:hAnsi="Times New Roman" w:cs="Times New Roman"/>
        </w:rPr>
        <w:t>six sets of 500</w:t>
      </w:r>
      <w:r w:rsidR="00E70F66">
        <w:rPr>
          <w:rFonts w:ascii="Times New Roman" w:hAnsi="Times New Roman" w:cs="Times New Roman"/>
        </w:rPr>
        <w:t xml:space="preserve"> </w:t>
      </w:r>
      <w:r w:rsidR="006855D4">
        <w:rPr>
          <w:rFonts w:ascii="Times New Roman" w:hAnsi="Times New Roman" w:cs="Times New Roman"/>
        </w:rPr>
        <w:t xml:space="preserve">kV and </w:t>
      </w:r>
      <w:r>
        <w:rPr>
          <w:rFonts w:ascii="Times New Roman" w:hAnsi="Times New Roman" w:cs="Times New Roman"/>
        </w:rPr>
        <w:t>four</w:t>
      </w:r>
      <w:r w:rsidRPr="00AC5BF5">
        <w:rPr>
          <w:rFonts w:ascii="Times New Roman" w:hAnsi="Times New Roman" w:cs="Times New Roman"/>
        </w:rPr>
        <w:t xml:space="preserve"> sets of 220</w:t>
      </w:r>
      <w:r w:rsidR="00E70F66">
        <w:rPr>
          <w:rFonts w:ascii="Times New Roman" w:hAnsi="Times New Roman" w:cs="Times New Roman"/>
        </w:rPr>
        <w:t xml:space="preserve"> </w:t>
      </w:r>
      <w:r w:rsidRPr="00AC5BF5">
        <w:rPr>
          <w:rFonts w:ascii="Times New Roman" w:hAnsi="Times New Roman" w:cs="Times New Roman"/>
        </w:rPr>
        <w:lastRenderedPageBreak/>
        <w:t>kV Surge Arrestors</w:t>
      </w:r>
      <w:r>
        <w:rPr>
          <w:rFonts w:ascii="Times New Roman" w:hAnsi="Times New Roman" w:cs="Times New Roman"/>
        </w:rPr>
        <w:t xml:space="preserve"> at Vincent </w:t>
      </w:r>
      <w:r w:rsidR="00E70F66">
        <w:rPr>
          <w:rFonts w:ascii="Times New Roman" w:hAnsi="Times New Roman" w:cs="Times New Roman"/>
        </w:rPr>
        <w:t xml:space="preserve">500/220 kV </w:t>
      </w:r>
      <w:r>
        <w:rPr>
          <w:rFonts w:ascii="Times New Roman" w:hAnsi="Times New Roman" w:cs="Times New Roman"/>
        </w:rPr>
        <w:t xml:space="preserve">Substation.  The </w:t>
      </w:r>
      <w:r w:rsidR="007F1491" w:rsidRPr="007F1491">
        <w:rPr>
          <w:rFonts w:ascii="Times New Roman" w:hAnsi="Times New Roman" w:cs="Times New Roman"/>
        </w:rPr>
        <w:t>estimated ISO-related direct capital expenditures of $</w:t>
      </w:r>
      <w:r>
        <w:rPr>
          <w:rFonts w:ascii="Times New Roman" w:hAnsi="Times New Roman" w:cs="Times New Roman"/>
        </w:rPr>
        <w:t>10.0</w:t>
      </w:r>
      <w:r w:rsidR="007F1491" w:rsidRPr="007F1491">
        <w:rPr>
          <w:rFonts w:ascii="Times New Roman" w:hAnsi="Times New Roman" w:cs="Times New Roman"/>
        </w:rPr>
        <w:t xml:space="preserve"> million.</w:t>
      </w:r>
    </w:p>
    <w:p w14:paraId="6B69C2F6" w14:textId="77777777" w:rsidR="00AC5BF5" w:rsidRDefault="00AC5BF5" w:rsidP="00AC5BF5">
      <w:pPr>
        <w:spacing w:line="360" w:lineRule="auto"/>
        <w:ind w:left="360"/>
        <w:rPr>
          <w:rFonts w:ascii="Times New Roman" w:hAnsi="Times New Roman" w:cs="Times New Roman"/>
          <w:b/>
        </w:rPr>
      </w:pPr>
    </w:p>
    <w:p w14:paraId="536943CA" w14:textId="0A1EFB6C" w:rsidR="0015500C" w:rsidRPr="0079185B" w:rsidRDefault="00C70D41" w:rsidP="00C70D41">
      <w:pPr>
        <w:pStyle w:val="ListParagraph"/>
        <w:numPr>
          <w:ilvl w:val="0"/>
          <w:numId w:val="2"/>
        </w:numPr>
        <w:spacing w:line="360" w:lineRule="auto"/>
        <w:rPr>
          <w:rFonts w:ascii="Times New Roman" w:hAnsi="Times New Roman" w:cs="Times New Roman"/>
          <w:b/>
        </w:rPr>
      </w:pPr>
      <w:r w:rsidRPr="00C70D41">
        <w:rPr>
          <w:rFonts w:ascii="Times New Roman" w:hAnsi="Times New Roman" w:cs="Times New Roman"/>
          <w:b/>
        </w:rPr>
        <w:t>Engineer and construct new interconnection facilities</w:t>
      </w:r>
      <w:r w:rsidR="0052476C">
        <w:rPr>
          <w:rFonts w:ascii="Times New Roman" w:hAnsi="Times New Roman" w:cs="Times New Roman"/>
          <w:b/>
        </w:rPr>
        <w:t xml:space="preserve"> – Network U</w:t>
      </w:r>
      <w:r w:rsidR="00C925B8">
        <w:rPr>
          <w:rFonts w:ascii="Times New Roman" w:hAnsi="Times New Roman" w:cs="Times New Roman"/>
          <w:b/>
        </w:rPr>
        <w:t>pgrades</w:t>
      </w:r>
      <w:r w:rsidRPr="00C70D41">
        <w:rPr>
          <w:rFonts w:ascii="Times New Roman" w:hAnsi="Times New Roman" w:cs="Times New Roman"/>
          <w:b/>
        </w:rPr>
        <w:t xml:space="preserve"> </w:t>
      </w:r>
      <w:r w:rsidR="00D469B9" w:rsidRPr="0079185B">
        <w:rPr>
          <w:rFonts w:ascii="Times New Roman" w:hAnsi="Times New Roman" w:cs="Times New Roman"/>
          <w:b/>
        </w:rPr>
        <w:t xml:space="preserve">(PIN: </w:t>
      </w:r>
      <w:r>
        <w:rPr>
          <w:rFonts w:ascii="Times New Roman" w:hAnsi="Times New Roman" w:cs="Times New Roman"/>
          <w:b/>
        </w:rPr>
        <w:t>4791</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14:paraId="085A6FEE" w14:textId="77777777" w:rsidR="00251F03" w:rsidRDefault="001002BF" w:rsidP="001002BF">
      <w:pPr>
        <w:spacing w:line="360" w:lineRule="auto"/>
        <w:ind w:left="360"/>
        <w:rPr>
          <w:rFonts w:ascii="Times New Roman" w:hAnsi="Times New Roman" w:cs="Times New Roman"/>
        </w:rPr>
      </w:pPr>
      <w:r w:rsidRPr="001002BF">
        <w:rPr>
          <w:rFonts w:ascii="Times New Roman" w:hAnsi="Times New Roman" w:cs="Times New Roman"/>
        </w:rPr>
        <w:t>The Generation Interconnection program includes projects required to interconnect new</w:t>
      </w:r>
      <w:r>
        <w:rPr>
          <w:rFonts w:ascii="Times New Roman" w:hAnsi="Times New Roman" w:cs="Times New Roman"/>
        </w:rPr>
        <w:t xml:space="preserve"> </w:t>
      </w:r>
      <w:r w:rsidRPr="001002BF">
        <w:rPr>
          <w:rFonts w:ascii="Times New Roman" w:hAnsi="Times New Roman" w:cs="Times New Roman"/>
        </w:rPr>
        <w:t xml:space="preserve">generating plants to </w:t>
      </w:r>
      <w:r w:rsidR="00E300E8">
        <w:rPr>
          <w:rFonts w:ascii="Times New Roman" w:hAnsi="Times New Roman" w:cs="Times New Roman"/>
        </w:rPr>
        <w:t>SCE’s</w:t>
      </w:r>
      <w:r w:rsidRPr="001002BF">
        <w:rPr>
          <w:rFonts w:ascii="Times New Roman" w:hAnsi="Times New Roman" w:cs="Times New Roman"/>
        </w:rPr>
        <w:t xml:space="preserve"> electrical system. These expenditures are driven by requests from generation</w:t>
      </w:r>
      <w:r>
        <w:rPr>
          <w:rFonts w:ascii="Times New Roman" w:hAnsi="Times New Roman" w:cs="Times New Roman"/>
        </w:rPr>
        <w:t xml:space="preserve"> </w:t>
      </w:r>
      <w:r w:rsidRPr="001002BF">
        <w:rPr>
          <w:rFonts w:ascii="Times New Roman" w:hAnsi="Times New Roman" w:cs="Times New Roman"/>
        </w:rPr>
        <w:t>project developers who choose to have SCE construct the facilities necessary to interconnect their</w:t>
      </w:r>
      <w:r>
        <w:rPr>
          <w:rFonts w:ascii="Times New Roman" w:hAnsi="Times New Roman" w:cs="Times New Roman"/>
        </w:rPr>
        <w:t xml:space="preserve"> </w:t>
      </w:r>
      <w:r w:rsidRPr="001002BF">
        <w:rPr>
          <w:rFonts w:ascii="Times New Roman" w:hAnsi="Times New Roman" w:cs="Times New Roman"/>
        </w:rPr>
        <w:t>projects to the SCE grid.</w:t>
      </w:r>
      <w:r w:rsidR="00251F03" w:rsidRPr="00251F03">
        <w:rPr>
          <w:rFonts w:ascii="Times New Roman" w:hAnsi="Times New Roman" w:cs="Times New Roman"/>
        </w:rPr>
        <w:t xml:space="preserve"> </w:t>
      </w:r>
      <w:r>
        <w:rPr>
          <w:rFonts w:ascii="Times New Roman" w:hAnsi="Times New Roman" w:cs="Times New Roman"/>
        </w:rPr>
        <w:t xml:space="preserve"> </w:t>
      </w:r>
      <w:r w:rsidRPr="001002BF">
        <w:rPr>
          <w:rFonts w:ascii="Times New Roman" w:hAnsi="Times New Roman" w:cs="Times New Roman"/>
        </w:rPr>
        <w:t>Interconnection requests are made pursuant to SCE’s Wholesale Distribution Access Tariff (WDAT) for connections to</w:t>
      </w:r>
      <w:r>
        <w:rPr>
          <w:rFonts w:ascii="Times New Roman" w:hAnsi="Times New Roman" w:cs="Times New Roman"/>
        </w:rPr>
        <w:t xml:space="preserve"> </w:t>
      </w:r>
      <w:r w:rsidRPr="001002BF">
        <w:rPr>
          <w:rFonts w:ascii="Times New Roman" w:hAnsi="Times New Roman" w:cs="Times New Roman"/>
        </w:rPr>
        <w:t xml:space="preserve">the CPUC-jurisdictional distribution system or SCE’s </w:t>
      </w:r>
      <w:r>
        <w:rPr>
          <w:rFonts w:ascii="Times New Roman" w:hAnsi="Times New Roman" w:cs="Times New Roman"/>
        </w:rPr>
        <w:t>t</w:t>
      </w:r>
      <w:r w:rsidRPr="001002BF">
        <w:rPr>
          <w:rFonts w:ascii="Times New Roman" w:hAnsi="Times New Roman" w:cs="Times New Roman"/>
        </w:rPr>
        <w:t>ransmission Owner (TO) Tariff for connections to the FERC</w:t>
      </w:r>
      <w:r>
        <w:rPr>
          <w:rFonts w:ascii="Times New Roman" w:hAnsi="Times New Roman" w:cs="Times New Roman"/>
        </w:rPr>
        <w:t xml:space="preserve"> </w:t>
      </w:r>
      <w:r w:rsidRPr="001002BF">
        <w:rPr>
          <w:rFonts w:ascii="Times New Roman" w:hAnsi="Times New Roman" w:cs="Times New Roman"/>
        </w:rPr>
        <w:t>jurisdictional</w:t>
      </w:r>
      <w:r>
        <w:rPr>
          <w:rFonts w:ascii="Times New Roman" w:hAnsi="Times New Roman" w:cs="Times New Roman"/>
        </w:rPr>
        <w:t xml:space="preserve"> </w:t>
      </w:r>
      <w:r w:rsidRPr="001002BF">
        <w:rPr>
          <w:rFonts w:ascii="Times New Roman" w:hAnsi="Times New Roman" w:cs="Times New Roman"/>
        </w:rPr>
        <w:t xml:space="preserve">transmission system. </w:t>
      </w:r>
      <w:r w:rsidR="00251F03" w:rsidRPr="00251F03">
        <w:rPr>
          <w:rFonts w:ascii="Times New Roman" w:hAnsi="Times New Roman" w:cs="Times New Roman"/>
        </w:rPr>
        <w:t xml:space="preserve">The </w:t>
      </w:r>
      <w:r w:rsidR="00175965">
        <w:rPr>
          <w:rFonts w:ascii="Times New Roman" w:hAnsi="Times New Roman" w:cs="Times New Roman"/>
        </w:rPr>
        <w:t xml:space="preserve">estimated </w:t>
      </w:r>
      <w:r w:rsidR="00251F03">
        <w:rPr>
          <w:rFonts w:ascii="Times New Roman" w:hAnsi="Times New Roman" w:cs="Times New Roman"/>
        </w:rPr>
        <w:t xml:space="preserve">ISO-related </w:t>
      </w:r>
      <w:r w:rsidR="00072A96">
        <w:rPr>
          <w:rFonts w:ascii="Times New Roman" w:hAnsi="Times New Roman" w:cs="Times New Roman"/>
        </w:rPr>
        <w:t xml:space="preserve">direct </w:t>
      </w:r>
      <w:r w:rsidR="00251F03">
        <w:rPr>
          <w:rFonts w:ascii="Times New Roman" w:hAnsi="Times New Roman" w:cs="Times New Roman"/>
        </w:rPr>
        <w:t xml:space="preserve">capital expenditures </w:t>
      </w:r>
      <w:r w:rsidR="00642BE4">
        <w:rPr>
          <w:rFonts w:ascii="Times New Roman" w:hAnsi="Times New Roman" w:cs="Times New Roman"/>
        </w:rPr>
        <w:t xml:space="preserve">for 2016 Rate Year </w:t>
      </w:r>
      <w:r>
        <w:rPr>
          <w:rFonts w:ascii="Times New Roman" w:hAnsi="Times New Roman" w:cs="Times New Roman"/>
        </w:rPr>
        <w:t>are $</w:t>
      </w:r>
      <w:r w:rsidR="00251F03">
        <w:rPr>
          <w:rFonts w:ascii="Times New Roman" w:hAnsi="Times New Roman" w:cs="Times New Roman"/>
        </w:rPr>
        <w:t>5.</w:t>
      </w:r>
      <w:r>
        <w:rPr>
          <w:rFonts w:ascii="Times New Roman" w:hAnsi="Times New Roman" w:cs="Times New Roman"/>
        </w:rPr>
        <w:t>0</w:t>
      </w:r>
      <w:r w:rsidR="00251F03">
        <w:rPr>
          <w:rFonts w:ascii="Times New Roman" w:hAnsi="Times New Roman" w:cs="Times New Roman"/>
        </w:rPr>
        <w:t xml:space="preserve"> million.  </w:t>
      </w:r>
    </w:p>
    <w:p w14:paraId="1084C53F" w14:textId="77777777" w:rsidR="0015500C" w:rsidRPr="00F96FBF" w:rsidRDefault="0015500C" w:rsidP="00FB635B">
      <w:pPr>
        <w:spacing w:line="360" w:lineRule="auto"/>
        <w:ind w:left="360"/>
        <w:rPr>
          <w:rFonts w:ascii="Times New Roman" w:hAnsi="Times New Roman" w:cs="Times New Roman"/>
        </w:rPr>
      </w:pPr>
    </w:p>
    <w:p w14:paraId="508FB5D0" w14:textId="77777777" w:rsidR="00D469B9" w:rsidRPr="00F96FBF" w:rsidRDefault="0023374C" w:rsidP="0023374C">
      <w:pPr>
        <w:pStyle w:val="ListParagraph"/>
        <w:numPr>
          <w:ilvl w:val="0"/>
          <w:numId w:val="2"/>
        </w:numPr>
        <w:spacing w:line="360" w:lineRule="auto"/>
        <w:rPr>
          <w:rFonts w:ascii="Times New Roman" w:hAnsi="Times New Roman" w:cs="Times New Roman"/>
          <w:b/>
        </w:rPr>
      </w:pPr>
      <w:r w:rsidRPr="0023374C">
        <w:rPr>
          <w:rFonts w:ascii="Times New Roman" w:hAnsi="Times New Roman" w:cs="Times New Roman"/>
          <w:b/>
        </w:rPr>
        <w:t>Lugo 500</w:t>
      </w:r>
      <w:r w:rsidR="00D35E44">
        <w:rPr>
          <w:rFonts w:ascii="Times New Roman" w:hAnsi="Times New Roman" w:cs="Times New Roman"/>
          <w:b/>
        </w:rPr>
        <w:t xml:space="preserve"> </w:t>
      </w:r>
      <w:r w:rsidR="00677B05">
        <w:rPr>
          <w:rFonts w:ascii="Times New Roman" w:hAnsi="Times New Roman" w:cs="Times New Roman"/>
          <w:b/>
        </w:rPr>
        <w:t>kV</w:t>
      </w:r>
      <w:r w:rsidRPr="0023374C">
        <w:rPr>
          <w:rFonts w:ascii="Times New Roman" w:hAnsi="Times New Roman" w:cs="Times New Roman"/>
          <w:b/>
        </w:rPr>
        <w:t xml:space="preserve"> Substation Breaker Installation </w:t>
      </w:r>
      <w:r w:rsidR="00D469B9" w:rsidRPr="00F96FBF">
        <w:rPr>
          <w:rFonts w:ascii="Times New Roman" w:hAnsi="Times New Roman" w:cs="Times New Roman"/>
          <w:b/>
        </w:rPr>
        <w:t>(PIN: 6</w:t>
      </w:r>
      <w:r>
        <w:rPr>
          <w:rFonts w:ascii="Times New Roman" w:hAnsi="Times New Roman" w:cs="Times New Roman"/>
          <w:b/>
        </w:rPr>
        <w:t>791</w:t>
      </w:r>
      <w:r w:rsidR="00D469B9" w:rsidRPr="00F96FBF">
        <w:rPr>
          <w:rFonts w:ascii="Times New Roman" w:hAnsi="Times New Roman" w:cs="Times New Roman"/>
          <w:b/>
        </w:rPr>
        <w:t>)</w:t>
      </w:r>
    </w:p>
    <w:p w14:paraId="343EC1AF" w14:textId="41E40BF3" w:rsidR="00601D3A" w:rsidRPr="00601D3A" w:rsidRDefault="0023374C" w:rsidP="00601D3A">
      <w:pPr>
        <w:spacing w:line="360" w:lineRule="auto"/>
        <w:ind w:left="360"/>
        <w:rPr>
          <w:rFonts w:ascii="Times New Roman" w:hAnsi="Times New Roman" w:cs="Times New Roman"/>
        </w:rPr>
      </w:pPr>
      <w:r w:rsidRPr="0023374C">
        <w:rPr>
          <w:rFonts w:ascii="Times New Roman" w:hAnsi="Times New Roman" w:cs="Times New Roman"/>
        </w:rPr>
        <w:t>Currently, both No. 1AA and No. 2AA 500/</w:t>
      </w:r>
      <w:r w:rsidR="00976850">
        <w:rPr>
          <w:rFonts w:ascii="Times New Roman" w:hAnsi="Times New Roman" w:cs="Times New Roman"/>
        </w:rPr>
        <w:t>220</w:t>
      </w:r>
      <w:r w:rsidRPr="0023374C">
        <w:rPr>
          <w:rFonts w:ascii="Times New Roman" w:hAnsi="Times New Roman" w:cs="Times New Roman"/>
        </w:rPr>
        <w:t xml:space="preserve"> </w:t>
      </w:r>
      <w:r w:rsidR="00677B05">
        <w:rPr>
          <w:rFonts w:ascii="Times New Roman" w:hAnsi="Times New Roman" w:cs="Times New Roman"/>
        </w:rPr>
        <w:t>kV</w:t>
      </w:r>
      <w:r w:rsidRPr="0023374C">
        <w:rPr>
          <w:rFonts w:ascii="Times New Roman" w:hAnsi="Times New Roman" w:cs="Times New Roman"/>
        </w:rPr>
        <w:t xml:space="preserve"> transformer banks at Lugo substation are connected to the North and South Buses (respectively) via a bank-on-bus configuration. This configuration violates SCE's existing Transmission Planning Criteria. </w:t>
      </w:r>
      <w:r w:rsidR="00BF011A">
        <w:rPr>
          <w:rFonts w:ascii="Times New Roman" w:hAnsi="Times New Roman" w:cs="Times New Roman"/>
        </w:rPr>
        <w:t xml:space="preserve">The proposed project scope includes relocation of the existing </w:t>
      </w:r>
      <w:r w:rsidR="00945575">
        <w:rPr>
          <w:rFonts w:ascii="Times New Roman" w:hAnsi="Times New Roman" w:cs="Times New Roman"/>
        </w:rPr>
        <w:t xml:space="preserve">Lugo - </w:t>
      </w:r>
      <w:r w:rsidR="00BF011A">
        <w:rPr>
          <w:rFonts w:ascii="Times New Roman" w:hAnsi="Times New Roman" w:cs="Times New Roman"/>
        </w:rPr>
        <w:t xml:space="preserve">Rancho Vista 500kV line from position 5 east to position 4 west bus as well as equipping position 4 with double breakers.  The project scope also includes equipping position 3 with double breakers and connecting the No.1 AA bank to the position 3 east.  </w:t>
      </w:r>
      <w:r w:rsidRPr="0023374C">
        <w:rPr>
          <w:rFonts w:ascii="Times New Roman" w:hAnsi="Times New Roman" w:cs="Times New Roman"/>
        </w:rPr>
        <w:t>The project will improve operational flexibility, simplify future additions, and minimize the loss of station capacity during planned outages</w:t>
      </w:r>
      <w:r>
        <w:rPr>
          <w:rFonts w:ascii="Times New Roman" w:hAnsi="Times New Roman" w:cs="Times New Roman"/>
        </w:rPr>
        <w:t xml:space="preserve">.  </w:t>
      </w:r>
      <w:r w:rsidR="00601D3A" w:rsidRPr="00601D3A">
        <w:rPr>
          <w:rFonts w:ascii="Times New Roman" w:hAnsi="Times New Roman" w:cs="Times New Roman"/>
        </w:rPr>
        <w:t xml:space="preserve">The proposed operating date is </w:t>
      </w:r>
      <w:r>
        <w:rPr>
          <w:rFonts w:ascii="Times New Roman" w:hAnsi="Times New Roman" w:cs="Times New Roman"/>
        </w:rPr>
        <w:t>December 201</w:t>
      </w:r>
      <w:r w:rsidR="00945575">
        <w:rPr>
          <w:rFonts w:ascii="Times New Roman" w:hAnsi="Times New Roman" w:cs="Times New Roman"/>
        </w:rPr>
        <w:t>6</w:t>
      </w:r>
      <w:r w:rsidR="00601D3A" w:rsidRPr="00601D3A">
        <w:rPr>
          <w:rFonts w:ascii="Times New Roman" w:hAnsi="Times New Roman" w:cs="Times New Roman"/>
        </w:rPr>
        <w:t xml:space="preserve"> with estimated ISO-related </w:t>
      </w:r>
      <w:r w:rsidR="00072A96">
        <w:rPr>
          <w:rFonts w:ascii="Times New Roman" w:hAnsi="Times New Roman" w:cs="Times New Roman"/>
        </w:rPr>
        <w:t xml:space="preserve">direct </w:t>
      </w:r>
      <w:r w:rsidR="00601D3A" w:rsidRPr="00601D3A">
        <w:rPr>
          <w:rFonts w:ascii="Times New Roman" w:hAnsi="Times New Roman" w:cs="Times New Roman"/>
        </w:rPr>
        <w:t>capital expenditures of $</w:t>
      </w:r>
      <w:r w:rsidR="002E75B2">
        <w:rPr>
          <w:rFonts w:ascii="Times New Roman" w:hAnsi="Times New Roman" w:cs="Times New Roman"/>
        </w:rPr>
        <w:t>9.4</w:t>
      </w:r>
      <w:r w:rsidR="00EE73FF">
        <w:rPr>
          <w:rFonts w:ascii="Times New Roman" w:hAnsi="Times New Roman" w:cs="Times New Roman"/>
        </w:rPr>
        <w:t xml:space="preserve"> million </w:t>
      </w:r>
      <w:r w:rsidR="00EE73FF" w:rsidRPr="006C1C9C">
        <w:rPr>
          <w:rFonts w:ascii="Times New Roman" w:hAnsi="Times New Roman" w:cs="Times New Roman"/>
        </w:rPr>
        <w:t>in the period January through December 201</w:t>
      </w:r>
      <w:r w:rsidR="00EE73FF">
        <w:rPr>
          <w:rFonts w:ascii="Times New Roman" w:hAnsi="Times New Roman" w:cs="Times New Roman"/>
        </w:rPr>
        <w:t>6.</w:t>
      </w:r>
    </w:p>
    <w:p w14:paraId="6699173C" w14:textId="77777777" w:rsidR="00FB635B" w:rsidRPr="00F96FBF" w:rsidRDefault="00FB635B" w:rsidP="00FB635B">
      <w:pPr>
        <w:spacing w:line="360" w:lineRule="auto"/>
        <w:ind w:left="360"/>
        <w:rPr>
          <w:rFonts w:ascii="Times New Roman" w:hAnsi="Times New Roman" w:cs="Times New Roman"/>
        </w:rPr>
      </w:pPr>
    </w:p>
    <w:p w14:paraId="1A1D4FA3" w14:textId="77777777" w:rsidR="00E76144" w:rsidRPr="00F96FBF" w:rsidRDefault="00656E8D" w:rsidP="00967F5F">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Victor Loop-in</w:t>
      </w:r>
      <w:r w:rsidR="00967F5F" w:rsidRPr="00967F5F">
        <w:rPr>
          <w:rFonts w:ascii="Times New Roman" w:hAnsi="Times New Roman" w:cs="Times New Roman"/>
          <w:b/>
        </w:rPr>
        <w:t xml:space="preserve"> </w:t>
      </w:r>
      <w:r w:rsidR="00967F5F">
        <w:rPr>
          <w:rFonts w:ascii="Times New Roman" w:hAnsi="Times New Roman" w:cs="Times New Roman"/>
          <w:b/>
        </w:rPr>
        <w:t xml:space="preserve"> </w:t>
      </w:r>
      <w:r w:rsidR="0091587C" w:rsidRPr="00F96FBF">
        <w:rPr>
          <w:rFonts w:ascii="Times New Roman" w:hAnsi="Times New Roman" w:cs="Times New Roman"/>
          <w:b/>
        </w:rPr>
        <w:t xml:space="preserve">(PIN: </w:t>
      </w:r>
      <w:r w:rsidR="00967F5F">
        <w:rPr>
          <w:rFonts w:ascii="Times New Roman" w:hAnsi="Times New Roman" w:cs="Times New Roman"/>
          <w:b/>
        </w:rPr>
        <w:t>7</w:t>
      </w:r>
      <w:r>
        <w:rPr>
          <w:rFonts w:ascii="Times New Roman" w:hAnsi="Times New Roman" w:cs="Times New Roman"/>
          <w:b/>
        </w:rPr>
        <w:t>645</w:t>
      </w:r>
      <w:r w:rsidR="0091587C" w:rsidRPr="00F96FBF">
        <w:rPr>
          <w:rFonts w:ascii="Times New Roman" w:hAnsi="Times New Roman" w:cs="Times New Roman"/>
          <w:b/>
        </w:rPr>
        <w:t>)</w:t>
      </w:r>
    </w:p>
    <w:p w14:paraId="7184D6D6" w14:textId="77777777" w:rsidR="007B78D9" w:rsidRDefault="00656E8D" w:rsidP="00400009">
      <w:pPr>
        <w:spacing w:line="360" w:lineRule="auto"/>
        <w:ind w:left="360"/>
        <w:rPr>
          <w:rFonts w:ascii="Times New Roman" w:hAnsi="Times New Roman" w:cs="Times New Roman"/>
        </w:rPr>
      </w:pPr>
      <w:bookmarkStart w:id="1" w:name="OLE_LINK4"/>
      <w:bookmarkStart w:id="2" w:name="OLE_LINK8"/>
      <w:r>
        <w:rPr>
          <w:rFonts w:ascii="Times New Roman" w:hAnsi="Times New Roman" w:cs="Times New Roman"/>
        </w:rPr>
        <w:t xml:space="preserve">The purpose of this project is to eliminate </w:t>
      </w:r>
      <w:r w:rsidRPr="00656E8D">
        <w:rPr>
          <w:rFonts w:ascii="Times New Roman" w:hAnsi="Times New Roman" w:cs="Times New Roman"/>
        </w:rPr>
        <w:t>system instability under outage of Victor-Lugo 2</w:t>
      </w:r>
      <w:r w:rsidR="00FC7A7A">
        <w:rPr>
          <w:rFonts w:ascii="Times New Roman" w:hAnsi="Times New Roman" w:cs="Times New Roman"/>
        </w:rPr>
        <w:t>2</w:t>
      </w:r>
      <w:r w:rsidRPr="00656E8D">
        <w:rPr>
          <w:rFonts w:ascii="Times New Roman" w:hAnsi="Times New Roman" w:cs="Times New Roman"/>
        </w:rPr>
        <w:t>0 kV #1 &amp; #2 with Victor high load. Looping Kramer-Lugo 2</w:t>
      </w:r>
      <w:r w:rsidR="00FC7A7A">
        <w:rPr>
          <w:rFonts w:ascii="Times New Roman" w:hAnsi="Times New Roman" w:cs="Times New Roman"/>
        </w:rPr>
        <w:t>2</w:t>
      </w:r>
      <w:r w:rsidRPr="00656E8D">
        <w:rPr>
          <w:rFonts w:ascii="Times New Roman" w:hAnsi="Times New Roman" w:cs="Times New Roman"/>
        </w:rPr>
        <w:t>0 kV #1 &amp; #2 into Victor</w:t>
      </w:r>
      <w:r w:rsidR="00EC24F3">
        <w:rPr>
          <w:rFonts w:ascii="Times New Roman" w:hAnsi="Times New Roman" w:cs="Times New Roman"/>
        </w:rPr>
        <w:t xml:space="preserve"> S</w:t>
      </w:r>
      <w:r w:rsidRPr="00656E8D">
        <w:rPr>
          <w:rFonts w:ascii="Times New Roman" w:hAnsi="Times New Roman" w:cs="Times New Roman"/>
        </w:rPr>
        <w:t>ubsta</w:t>
      </w:r>
      <w:r w:rsidRPr="00656E8D">
        <w:rPr>
          <w:rFonts w:ascii="Times New Roman" w:hAnsi="Times New Roman" w:cs="Times New Roman"/>
        </w:rPr>
        <w:lastRenderedPageBreak/>
        <w:t>tion will eliminate the problem</w:t>
      </w:r>
      <w:r>
        <w:rPr>
          <w:rFonts w:ascii="Times New Roman" w:hAnsi="Times New Roman" w:cs="Times New Roman"/>
        </w:rPr>
        <w:t xml:space="preserve">. </w:t>
      </w:r>
      <w:r w:rsidR="00400009">
        <w:rPr>
          <w:rFonts w:ascii="Times New Roman" w:hAnsi="Times New Roman" w:cs="Times New Roman"/>
        </w:rPr>
        <w:t xml:space="preserve"> </w:t>
      </w:r>
      <w:r w:rsidR="00400009" w:rsidRPr="00400009">
        <w:rPr>
          <w:rFonts w:ascii="Times New Roman" w:hAnsi="Times New Roman" w:cs="Times New Roman"/>
        </w:rPr>
        <w:t>Loop</w:t>
      </w:r>
      <w:r w:rsidR="00400009">
        <w:rPr>
          <w:rFonts w:ascii="Times New Roman" w:hAnsi="Times New Roman" w:cs="Times New Roman"/>
        </w:rPr>
        <w:t>ing</w:t>
      </w:r>
      <w:r w:rsidR="00400009" w:rsidRPr="00400009">
        <w:rPr>
          <w:rFonts w:ascii="Times New Roman" w:hAnsi="Times New Roman" w:cs="Times New Roman"/>
        </w:rPr>
        <w:t xml:space="preserve"> </w:t>
      </w:r>
      <w:r w:rsidR="00CD3EDC">
        <w:rPr>
          <w:rFonts w:ascii="Times New Roman" w:hAnsi="Times New Roman" w:cs="Times New Roman"/>
        </w:rPr>
        <w:t xml:space="preserve">the </w:t>
      </w:r>
      <w:r w:rsidR="00400009">
        <w:rPr>
          <w:rFonts w:ascii="Times New Roman" w:hAnsi="Times New Roman" w:cs="Times New Roman"/>
        </w:rPr>
        <w:t xml:space="preserve">existing </w:t>
      </w:r>
      <w:r w:rsidR="00400009" w:rsidRPr="00400009">
        <w:rPr>
          <w:rFonts w:ascii="Times New Roman" w:hAnsi="Times New Roman" w:cs="Times New Roman"/>
        </w:rPr>
        <w:t>Kramer-Lugo 220 kV #2</w:t>
      </w:r>
      <w:r w:rsidR="00400009">
        <w:rPr>
          <w:rFonts w:ascii="Times New Roman" w:hAnsi="Times New Roman" w:cs="Times New Roman"/>
        </w:rPr>
        <w:t xml:space="preserve"> </w:t>
      </w:r>
      <w:r w:rsidR="00400009" w:rsidRPr="00400009">
        <w:rPr>
          <w:rFonts w:ascii="Times New Roman" w:hAnsi="Times New Roman" w:cs="Times New Roman"/>
        </w:rPr>
        <w:t>line into Victor</w:t>
      </w:r>
      <w:r w:rsidR="00400009">
        <w:rPr>
          <w:rFonts w:ascii="Times New Roman" w:hAnsi="Times New Roman" w:cs="Times New Roman"/>
        </w:rPr>
        <w:t xml:space="preserve"> </w:t>
      </w:r>
      <w:r w:rsidR="00400009" w:rsidRPr="00400009">
        <w:rPr>
          <w:rFonts w:ascii="Times New Roman" w:hAnsi="Times New Roman" w:cs="Times New Roman"/>
        </w:rPr>
        <w:t>Substation</w:t>
      </w:r>
      <w:r w:rsidR="00400009">
        <w:rPr>
          <w:rFonts w:ascii="Times New Roman" w:hAnsi="Times New Roman" w:cs="Times New Roman"/>
        </w:rPr>
        <w:t xml:space="preserve"> will </w:t>
      </w:r>
      <w:r w:rsidR="00400009" w:rsidRPr="00400009">
        <w:rPr>
          <w:rFonts w:ascii="Times New Roman" w:hAnsi="Times New Roman" w:cs="Times New Roman"/>
        </w:rPr>
        <w:t>form Kramer-Victor</w:t>
      </w:r>
      <w:r w:rsidR="00400009">
        <w:rPr>
          <w:rFonts w:ascii="Times New Roman" w:hAnsi="Times New Roman" w:cs="Times New Roman"/>
        </w:rPr>
        <w:t xml:space="preserve"> </w:t>
      </w:r>
      <w:r w:rsidR="00400009" w:rsidRPr="00400009">
        <w:rPr>
          <w:rFonts w:ascii="Times New Roman" w:hAnsi="Times New Roman" w:cs="Times New Roman"/>
        </w:rPr>
        <w:t>220 kV #1 and Lugo-Victor 220 kV #3</w:t>
      </w:r>
      <w:r w:rsidR="00CD3EDC">
        <w:rPr>
          <w:rFonts w:ascii="Times New Roman" w:hAnsi="Times New Roman" w:cs="Times New Roman"/>
        </w:rPr>
        <w:t xml:space="preserve"> lines</w:t>
      </w:r>
      <w:r w:rsidR="00400009" w:rsidRPr="00400009">
        <w:rPr>
          <w:rFonts w:ascii="Times New Roman" w:hAnsi="Times New Roman" w:cs="Times New Roman"/>
        </w:rPr>
        <w:t>.</w:t>
      </w:r>
      <w:r w:rsidR="00400009">
        <w:rPr>
          <w:rFonts w:ascii="Times New Roman" w:hAnsi="Times New Roman" w:cs="Times New Roman"/>
        </w:rPr>
        <w:t xml:space="preserve">  Looping </w:t>
      </w:r>
      <w:r w:rsidR="00CD3EDC">
        <w:rPr>
          <w:rFonts w:ascii="Times New Roman" w:hAnsi="Times New Roman" w:cs="Times New Roman"/>
        </w:rPr>
        <w:t xml:space="preserve">the </w:t>
      </w:r>
      <w:r w:rsidR="00400009">
        <w:rPr>
          <w:rFonts w:ascii="Times New Roman" w:hAnsi="Times New Roman" w:cs="Times New Roman"/>
        </w:rPr>
        <w:t xml:space="preserve">existing </w:t>
      </w:r>
      <w:r w:rsidR="00400009" w:rsidRPr="00400009">
        <w:rPr>
          <w:rFonts w:ascii="Times New Roman" w:hAnsi="Times New Roman" w:cs="Times New Roman"/>
        </w:rPr>
        <w:t>Kramer-Lugo 220 kV #2 line into Victor</w:t>
      </w:r>
      <w:r w:rsidR="00400009">
        <w:rPr>
          <w:rFonts w:ascii="Times New Roman" w:hAnsi="Times New Roman" w:cs="Times New Roman"/>
        </w:rPr>
        <w:t xml:space="preserve"> Substation will </w:t>
      </w:r>
      <w:r w:rsidR="00400009" w:rsidRPr="00400009">
        <w:rPr>
          <w:rFonts w:ascii="Times New Roman" w:hAnsi="Times New Roman" w:cs="Times New Roman"/>
        </w:rPr>
        <w:t>form Kramer-Victor</w:t>
      </w:r>
      <w:r w:rsidR="00400009">
        <w:rPr>
          <w:rFonts w:ascii="Times New Roman" w:hAnsi="Times New Roman" w:cs="Times New Roman"/>
        </w:rPr>
        <w:t xml:space="preserve"> </w:t>
      </w:r>
      <w:r w:rsidR="00400009" w:rsidRPr="00400009">
        <w:rPr>
          <w:rFonts w:ascii="Times New Roman" w:hAnsi="Times New Roman" w:cs="Times New Roman"/>
        </w:rPr>
        <w:t>220 kV #2 and Lugo-Victor 220 kV #4</w:t>
      </w:r>
      <w:r w:rsidR="00CD3EDC">
        <w:rPr>
          <w:rFonts w:ascii="Times New Roman" w:hAnsi="Times New Roman" w:cs="Times New Roman"/>
        </w:rPr>
        <w:t xml:space="preserve"> lines</w:t>
      </w:r>
      <w:r w:rsidR="00400009" w:rsidRPr="00400009">
        <w:rPr>
          <w:rFonts w:ascii="Times New Roman" w:hAnsi="Times New Roman" w:cs="Times New Roman"/>
        </w:rPr>
        <w:t>.</w:t>
      </w:r>
      <w:r>
        <w:rPr>
          <w:rFonts w:ascii="Times New Roman" w:hAnsi="Times New Roman" w:cs="Times New Roman"/>
        </w:rPr>
        <w:t xml:space="preserve"> </w:t>
      </w:r>
      <w:r w:rsidR="00CD3EDC">
        <w:rPr>
          <w:rFonts w:ascii="Times New Roman" w:hAnsi="Times New Roman" w:cs="Times New Roman"/>
        </w:rPr>
        <w:t xml:space="preserve">The project </w:t>
      </w:r>
      <w:r w:rsidR="00400009" w:rsidRPr="00400009">
        <w:rPr>
          <w:rFonts w:ascii="Times New Roman" w:hAnsi="Times New Roman" w:cs="Times New Roman"/>
        </w:rPr>
        <w:t xml:space="preserve">will </w:t>
      </w:r>
      <w:r w:rsidR="00400009">
        <w:rPr>
          <w:rFonts w:ascii="Times New Roman" w:hAnsi="Times New Roman" w:cs="Times New Roman"/>
        </w:rPr>
        <w:t xml:space="preserve">also </w:t>
      </w:r>
      <w:r w:rsidR="00400009" w:rsidRPr="00400009">
        <w:rPr>
          <w:rFonts w:ascii="Times New Roman" w:hAnsi="Times New Roman" w:cs="Times New Roman"/>
        </w:rPr>
        <w:t>include the Mojave RAS modifications</w:t>
      </w:r>
      <w:r w:rsidR="00400009">
        <w:rPr>
          <w:rFonts w:ascii="Times New Roman" w:hAnsi="Times New Roman" w:cs="Times New Roman"/>
        </w:rPr>
        <w:t xml:space="preserve">.  </w:t>
      </w:r>
      <w:r w:rsidR="00601D3A">
        <w:rPr>
          <w:rFonts w:ascii="Times New Roman" w:hAnsi="Times New Roman" w:cs="Times New Roman"/>
        </w:rPr>
        <w:t xml:space="preserve">The proposed operating date is </w:t>
      </w:r>
      <w:r>
        <w:rPr>
          <w:rFonts w:ascii="Times New Roman" w:hAnsi="Times New Roman" w:cs="Times New Roman"/>
        </w:rPr>
        <w:t>June 2016</w:t>
      </w:r>
      <w:r w:rsidR="00601D3A">
        <w:rPr>
          <w:rFonts w:ascii="Times New Roman" w:hAnsi="Times New Roman" w:cs="Times New Roman"/>
        </w:rPr>
        <w:t xml:space="preserve"> with </w:t>
      </w:r>
      <w:r w:rsidR="00601D3A" w:rsidRPr="00F96FBF">
        <w:rPr>
          <w:rFonts w:ascii="Times New Roman" w:hAnsi="Times New Roman" w:cs="Times New Roman"/>
        </w:rPr>
        <w:t>estimated ISO-related</w:t>
      </w:r>
      <w:r w:rsidR="00072A96">
        <w:rPr>
          <w:rFonts w:ascii="Times New Roman" w:hAnsi="Times New Roman" w:cs="Times New Roman"/>
        </w:rPr>
        <w:t xml:space="preserve"> direct </w:t>
      </w:r>
      <w:r w:rsidR="00601D3A" w:rsidRPr="00F96FBF">
        <w:rPr>
          <w:rFonts w:ascii="Times New Roman" w:hAnsi="Times New Roman" w:cs="Times New Roman"/>
        </w:rPr>
        <w:t xml:space="preserve">capital expenditures </w:t>
      </w:r>
      <w:r w:rsidR="00601D3A">
        <w:rPr>
          <w:rFonts w:ascii="Times New Roman" w:hAnsi="Times New Roman" w:cs="Times New Roman"/>
        </w:rPr>
        <w:t xml:space="preserve">of </w:t>
      </w:r>
      <w:r w:rsidR="00601D3A" w:rsidRPr="00F96FBF">
        <w:rPr>
          <w:rFonts w:ascii="Times New Roman" w:hAnsi="Times New Roman" w:cs="Times New Roman"/>
        </w:rPr>
        <w:t>$</w:t>
      </w:r>
      <w:r>
        <w:rPr>
          <w:rFonts w:ascii="Times New Roman" w:hAnsi="Times New Roman" w:cs="Times New Roman"/>
        </w:rPr>
        <w:t>5.5</w:t>
      </w:r>
      <w:r w:rsidR="00601D3A" w:rsidRPr="00F96FBF">
        <w:rPr>
          <w:rFonts w:ascii="Times New Roman" w:hAnsi="Times New Roman" w:cs="Times New Roman"/>
        </w:rPr>
        <w:t xml:space="preserve"> million</w:t>
      </w:r>
      <w:bookmarkEnd w:id="1"/>
      <w:bookmarkEnd w:id="2"/>
      <w:r w:rsidR="00601D3A" w:rsidRPr="00F96FBF">
        <w:rPr>
          <w:rFonts w:ascii="Times New Roman" w:hAnsi="Times New Roman" w:cs="Times New Roman"/>
        </w:rPr>
        <w:t>.</w:t>
      </w:r>
    </w:p>
    <w:p w14:paraId="1032B98B" w14:textId="77777777" w:rsidR="00A12248" w:rsidRPr="00A12248" w:rsidRDefault="00A12248" w:rsidP="00A12248">
      <w:pPr>
        <w:spacing w:line="360" w:lineRule="auto"/>
        <w:rPr>
          <w:rFonts w:ascii="Times New Roman" w:hAnsi="Times New Roman" w:cs="Times New Roman"/>
          <w:b/>
        </w:rPr>
      </w:pPr>
    </w:p>
    <w:p w14:paraId="0504CF42" w14:textId="77777777" w:rsidR="00A12248" w:rsidRPr="00F96FBF" w:rsidRDefault="004A0FDF" w:rsidP="004A0FDF">
      <w:pPr>
        <w:pStyle w:val="ListParagraph"/>
        <w:numPr>
          <w:ilvl w:val="0"/>
          <w:numId w:val="2"/>
        </w:numPr>
        <w:spacing w:line="360" w:lineRule="auto"/>
        <w:rPr>
          <w:rFonts w:ascii="Times New Roman" w:hAnsi="Times New Roman" w:cs="Times New Roman"/>
          <w:b/>
        </w:rPr>
      </w:pPr>
      <w:r w:rsidRPr="004A0FDF">
        <w:rPr>
          <w:rFonts w:ascii="Times New Roman" w:hAnsi="Times New Roman" w:cs="Times New Roman"/>
          <w:b/>
        </w:rPr>
        <w:t>El Nido 2</w:t>
      </w:r>
      <w:r w:rsidR="00976850">
        <w:rPr>
          <w:rFonts w:ascii="Times New Roman" w:hAnsi="Times New Roman" w:cs="Times New Roman"/>
          <w:b/>
        </w:rPr>
        <w:t>2</w:t>
      </w:r>
      <w:r w:rsidRPr="004A0FDF">
        <w:rPr>
          <w:rFonts w:ascii="Times New Roman" w:hAnsi="Times New Roman" w:cs="Times New Roman"/>
          <w:b/>
        </w:rPr>
        <w:t xml:space="preserve">0/66 kV: Bank on Circuit Breaker Project </w:t>
      </w:r>
      <w:r w:rsidR="00A12248" w:rsidRPr="00F96FBF">
        <w:rPr>
          <w:rFonts w:ascii="Times New Roman" w:hAnsi="Times New Roman" w:cs="Times New Roman"/>
          <w:b/>
        </w:rPr>
        <w:t xml:space="preserve">(PIN: </w:t>
      </w:r>
      <w:r>
        <w:rPr>
          <w:rFonts w:ascii="Times New Roman" w:hAnsi="Times New Roman" w:cs="Times New Roman"/>
          <w:b/>
        </w:rPr>
        <w:t>7113</w:t>
      </w:r>
      <w:r w:rsidR="00A12248" w:rsidRPr="00F96FBF">
        <w:rPr>
          <w:rFonts w:ascii="Times New Roman" w:hAnsi="Times New Roman" w:cs="Times New Roman"/>
          <w:b/>
        </w:rPr>
        <w:t>)</w:t>
      </w:r>
    </w:p>
    <w:p w14:paraId="248FCE93" w14:textId="77777777" w:rsidR="00A12248" w:rsidRDefault="00FC7A7A" w:rsidP="00FC7A7A">
      <w:pPr>
        <w:spacing w:line="360" w:lineRule="auto"/>
        <w:ind w:left="360"/>
        <w:rPr>
          <w:rFonts w:ascii="Times New Roman" w:hAnsi="Times New Roman" w:cs="Times New Roman"/>
        </w:rPr>
      </w:pPr>
      <w:r w:rsidRPr="00FC7A7A">
        <w:rPr>
          <w:rFonts w:ascii="Times New Roman" w:hAnsi="Times New Roman" w:cs="Times New Roman"/>
        </w:rPr>
        <w:t>Currently</w:t>
      </w:r>
      <w:r>
        <w:rPr>
          <w:rFonts w:ascii="Times New Roman" w:hAnsi="Times New Roman" w:cs="Times New Roman"/>
        </w:rPr>
        <w:t>,</w:t>
      </w:r>
      <w:r w:rsidRPr="00FC7A7A">
        <w:rPr>
          <w:rFonts w:ascii="Times New Roman" w:hAnsi="Times New Roman" w:cs="Times New Roman"/>
        </w:rPr>
        <w:t xml:space="preserve"> No. 1A and 3A banks at El Nido 2</w:t>
      </w:r>
      <w:r>
        <w:rPr>
          <w:rFonts w:ascii="Times New Roman" w:hAnsi="Times New Roman" w:cs="Times New Roman"/>
        </w:rPr>
        <w:t>2</w:t>
      </w:r>
      <w:r w:rsidRPr="00FC7A7A">
        <w:rPr>
          <w:rFonts w:ascii="Times New Roman" w:hAnsi="Times New Roman" w:cs="Times New Roman"/>
        </w:rPr>
        <w:t>0/66 kV Substation are connected in bank-on-bus configuration.</w:t>
      </w:r>
      <w:r>
        <w:rPr>
          <w:rFonts w:ascii="Times New Roman" w:hAnsi="Times New Roman" w:cs="Times New Roman"/>
        </w:rPr>
        <w:t xml:space="preserve">  </w:t>
      </w:r>
      <w:r w:rsidRPr="00FC7A7A">
        <w:rPr>
          <w:rFonts w:ascii="Times New Roman" w:hAnsi="Times New Roman" w:cs="Times New Roman"/>
        </w:rPr>
        <w:t xml:space="preserve">Equipping the banks in circuit breakers configuration </w:t>
      </w:r>
      <w:r>
        <w:rPr>
          <w:rFonts w:ascii="Times New Roman" w:hAnsi="Times New Roman" w:cs="Times New Roman"/>
        </w:rPr>
        <w:t xml:space="preserve">would </w:t>
      </w:r>
      <w:r w:rsidRPr="00FC7A7A">
        <w:rPr>
          <w:rFonts w:ascii="Times New Roman" w:hAnsi="Times New Roman" w:cs="Times New Roman"/>
        </w:rPr>
        <w:t>ensure compliance with current planning</w:t>
      </w:r>
      <w:r>
        <w:rPr>
          <w:rFonts w:ascii="Times New Roman" w:hAnsi="Times New Roman" w:cs="Times New Roman"/>
        </w:rPr>
        <w:t xml:space="preserve"> </w:t>
      </w:r>
      <w:r w:rsidRPr="00FC7A7A">
        <w:rPr>
          <w:rFonts w:ascii="Times New Roman" w:hAnsi="Times New Roman" w:cs="Times New Roman"/>
        </w:rPr>
        <w:t>criteria and guidelines which would offer higher operation flexibility</w:t>
      </w:r>
      <w:r w:rsidR="00BB6827">
        <w:rPr>
          <w:rFonts w:ascii="Times New Roman" w:hAnsi="Times New Roman" w:cs="Times New Roman"/>
        </w:rPr>
        <w:t>, simplify future additions, and minimize the loss of station capacity during planned outages.</w:t>
      </w:r>
      <w:r>
        <w:rPr>
          <w:rFonts w:ascii="Times New Roman" w:hAnsi="Times New Roman" w:cs="Times New Roman"/>
        </w:rPr>
        <w:t xml:space="preserve">  Project scope is to install 220 kV (63 kA) double breakers on No. 1A bank at position 3 and No. 3A bank at position 6.  </w:t>
      </w:r>
      <w:r w:rsidR="00A12248">
        <w:rPr>
          <w:rFonts w:ascii="Times New Roman" w:hAnsi="Times New Roman" w:cs="Times New Roman"/>
        </w:rPr>
        <w:t>The proposed operating date is December 201</w:t>
      </w:r>
      <w:r>
        <w:rPr>
          <w:rFonts w:ascii="Times New Roman" w:hAnsi="Times New Roman" w:cs="Times New Roman"/>
        </w:rPr>
        <w:t>6</w:t>
      </w:r>
      <w:r w:rsidR="00A12248">
        <w:rPr>
          <w:rFonts w:ascii="Times New Roman" w:hAnsi="Times New Roman" w:cs="Times New Roman"/>
        </w:rPr>
        <w:t xml:space="preserve"> with </w:t>
      </w:r>
      <w:r w:rsidR="00A12248" w:rsidRPr="00F96FBF">
        <w:rPr>
          <w:rFonts w:ascii="Times New Roman" w:hAnsi="Times New Roman" w:cs="Times New Roman"/>
        </w:rPr>
        <w:t xml:space="preserve">estimated ISO-related </w:t>
      </w:r>
      <w:r w:rsidR="00072A96">
        <w:rPr>
          <w:rFonts w:ascii="Times New Roman" w:hAnsi="Times New Roman" w:cs="Times New Roman"/>
        </w:rPr>
        <w:t xml:space="preserve">direct </w:t>
      </w:r>
      <w:r w:rsidR="00A12248" w:rsidRPr="00F96FBF">
        <w:rPr>
          <w:rFonts w:ascii="Times New Roman" w:hAnsi="Times New Roman" w:cs="Times New Roman"/>
        </w:rPr>
        <w:t xml:space="preserve">capital expenditures </w:t>
      </w:r>
      <w:r w:rsidR="00A12248">
        <w:rPr>
          <w:rFonts w:ascii="Times New Roman" w:hAnsi="Times New Roman" w:cs="Times New Roman"/>
        </w:rPr>
        <w:t xml:space="preserve">of </w:t>
      </w:r>
      <w:r w:rsidR="00A12248" w:rsidRPr="00F96FBF">
        <w:rPr>
          <w:rFonts w:ascii="Times New Roman" w:hAnsi="Times New Roman" w:cs="Times New Roman"/>
        </w:rPr>
        <w:t>$</w:t>
      </w:r>
      <w:r>
        <w:rPr>
          <w:rFonts w:ascii="Times New Roman" w:hAnsi="Times New Roman" w:cs="Times New Roman"/>
        </w:rPr>
        <w:t>5.0</w:t>
      </w:r>
      <w:r w:rsidR="00A12248" w:rsidRPr="00F96FBF">
        <w:rPr>
          <w:rFonts w:ascii="Times New Roman" w:hAnsi="Times New Roman" w:cs="Times New Roman"/>
        </w:rPr>
        <w:t xml:space="preserve"> million.</w:t>
      </w:r>
    </w:p>
    <w:p w14:paraId="3BF4AEB3" w14:textId="77777777" w:rsidR="009D5395" w:rsidRPr="00F96FBF" w:rsidRDefault="009D5395" w:rsidP="00FB635B">
      <w:pPr>
        <w:spacing w:line="360" w:lineRule="auto"/>
        <w:ind w:left="360"/>
        <w:rPr>
          <w:rFonts w:ascii="Times New Roman" w:hAnsi="Times New Roman" w:cs="Times New Roman"/>
        </w:rPr>
      </w:pPr>
    </w:p>
    <w:p w14:paraId="34DEE5F0" w14:textId="77777777" w:rsidR="00976850" w:rsidRPr="00976850" w:rsidRDefault="00976850" w:rsidP="00976850">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Springville 220/66 kV Sub: Bank on Circuit Breaker Project </w:t>
      </w:r>
      <w:r w:rsidRPr="00976850">
        <w:rPr>
          <w:rFonts w:ascii="Times New Roman" w:hAnsi="Times New Roman" w:cs="Times New Roman"/>
          <w:b/>
        </w:rPr>
        <w:t>(PIN: 7518)</w:t>
      </w:r>
    </w:p>
    <w:p w14:paraId="66280B04" w14:textId="632A6E3A" w:rsidR="00601D3A" w:rsidRDefault="00976850" w:rsidP="00976850">
      <w:pPr>
        <w:spacing w:line="360" w:lineRule="auto"/>
        <w:ind w:left="360"/>
        <w:rPr>
          <w:rFonts w:ascii="Times New Roman" w:eastAsia="Times New Roman" w:hAnsi="Times New Roman" w:cs="Times New Roman"/>
          <w:sz w:val="24"/>
          <w:szCs w:val="20"/>
          <w:lang w:eastAsia="en-US"/>
        </w:rPr>
      </w:pPr>
      <w:r>
        <w:rPr>
          <w:rFonts w:ascii="Times New Roman" w:eastAsia="Times New Roman" w:hAnsi="Times New Roman" w:cs="Times New Roman"/>
          <w:szCs w:val="20"/>
          <w:lang w:eastAsia="en-US"/>
        </w:rPr>
        <w:t>I</w:t>
      </w:r>
      <w:r w:rsidRPr="00976850">
        <w:rPr>
          <w:rFonts w:ascii="Times New Roman" w:eastAsia="Times New Roman" w:hAnsi="Times New Roman" w:cs="Times New Roman"/>
          <w:szCs w:val="20"/>
          <w:lang w:eastAsia="en-US"/>
        </w:rPr>
        <w:t xml:space="preserve">n order to comply with the Line &amp; Bus criteria that all "A" banks must be connected to a Double Breaker or </w:t>
      </w:r>
      <w:r>
        <w:rPr>
          <w:rFonts w:ascii="Times New Roman" w:eastAsia="Times New Roman" w:hAnsi="Times New Roman" w:cs="Times New Roman"/>
          <w:szCs w:val="20"/>
          <w:lang w:eastAsia="en-US"/>
        </w:rPr>
        <w:t xml:space="preserve">a Breaker-and-a-half position, two </w:t>
      </w:r>
      <w:r w:rsidRPr="00976850">
        <w:rPr>
          <w:rFonts w:ascii="Times New Roman" w:eastAsia="Times New Roman" w:hAnsi="Times New Roman" w:cs="Times New Roman"/>
          <w:szCs w:val="20"/>
          <w:lang w:eastAsia="en-US"/>
        </w:rPr>
        <w:t>2</w:t>
      </w:r>
      <w:r>
        <w:rPr>
          <w:rFonts w:ascii="Times New Roman" w:eastAsia="Times New Roman" w:hAnsi="Times New Roman" w:cs="Times New Roman"/>
          <w:szCs w:val="20"/>
          <w:lang w:eastAsia="en-US"/>
        </w:rPr>
        <w:t>2</w:t>
      </w:r>
      <w:r w:rsidRPr="00976850">
        <w:rPr>
          <w:rFonts w:ascii="Times New Roman" w:eastAsia="Times New Roman" w:hAnsi="Times New Roman" w:cs="Times New Roman"/>
          <w:szCs w:val="20"/>
          <w:lang w:eastAsia="en-US"/>
        </w:rPr>
        <w:t xml:space="preserve">0 kV </w:t>
      </w:r>
      <w:r>
        <w:rPr>
          <w:rFonts w:ascii="Times New Roman" w:eastAsia="Times New Roman" w:hAnsi="Times New Roman" w:cs="Times New Roman"/>
          <w:szCs w:val="20"/>
          <w:lang w:eastAsia="en-US"/>
        </w:rPr>
        <w:t>circuit breakers (CBs)</w:t>
      </w:r>
      <w:r w:rsidRPr="00976850">
        <w:rPr>
          <w:rFonts w:ascii="Times New Roman" w:eastAsia="Times New Roman" w:hAnsi="Times New Roman" w:cs="Times New Roman"/>
          <w:szCs w:val="20"/>
          <w:lang w:eastAsia="en-US"/>
        </w:rPr>
        <w:t xml:space="preserve"> will</w:t>
      </w:r>
      <w:r>
        <w:rPr>
          <w:rFonts w:ascii="Times New Roman" w:eastAsia="Times New Roman" w:hAnsi="Times New Roman" w:cs="Times New Roman"/>
          <w:szCs w:val="20"/>
          <w:lang w:eastAsia="en-US"/>
        </w:rPr>
        <w:t xml:space="preserve"> </w:t>
      </w:r>
      <w:r w:rsidRPr="00976850">
        <w:rPr>
          <w:rFonts w:ascii="Times New Roman" w:eastAsia="Times New Roman" w:hAnsi="Times New Roman" w:cs="Times New Roman"/>
          <w:szCs w:val="20"/>
          <w:lang w:eastAsia="en-US"/>
        </w:rPr>
        <w:t xml:space="preserve">be installed at Springville </w:t>
      </w:r>
      <w:r>
        <w:rPr>
          <w:rFonts w:ascii="Times New Roman" w:eastAsia="Times New Roman" w:hAnsi="Times New Roman" w:cs="Times New Roman"/>
          <w:szCs w:val="20"/>
          <w:lang w:eastAsia="en-US"/>
        </w:rPr>
        <w:t xml:space="preserve">220/66 kV </w:t>
      </w:r>
      <w:r w:rsidRPr="00976850">
        <w:rPr>
          <w:rFonts w:ascii="Times New Roman" w:eastAsia="Times New Roman" w:hAnsi="Times New Roman" w:cs="Times New Roman"/>
          <w:szCs w:val="20"/>
          <w:lang w:eastAsia="en-US"/>
        </w:rPr>
        <w:t>Substation.</w:t>
      </w:r>
      <w:r>
        <w:rPr>
          <w:rFonts w:ascii="Times New Roman" w:eastAsia="Times New Roman" w:hAnsi="Times New Roman" w:cs="Times New Roman"/>
          <w:lang w:eastAsia="en-US"/>
        </w:rPr>
        <w:t xml:space="preserve">  Project scope includes: redesigning </w:t>
      </w:r>
      <w:r w:rsidR="001229C1">
        <w:rPr>
          <w:rFonts w:ascii="Times New Roman" w:eastAsia="Times New Roman" w:hAnsi="Times New Roman" w:cs="Times New Roman"/>
          <w:lang w:eastAsia="en-US"/>
        </w:rPr>
        <w:t xml:space="preserve">of </w:t>
      </w:r>
      <w:r w:rsidR="001229C1" w:rsidRPr="00976850">
        <w:rPr>
          <w:rFonts w:ascii="Times New Roman" w:eastAsia="Times New Roman" w:hAnsi="Times New Roman" w:cs="Times New Roman"/>
          <w:lang w:eastAsia="en-US"/>
        </w:rPr>
        <w:t>high</w:t>
      </w:r>
      <w:r w:rsidRPr="00976850">
        <w:rPr>
          <w:rFonts w:ascii="Times New Roman" w:eastAsia="Times New Roman" w:hAnsi="Times New Roman" w:cs="Times New Roman"/>
          <w:lang w:eastAsia="en-US"/>
        </w:rPr>
        <w:t xml:space="preserve"> side feed</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from bank on bus to double CB at 220</w:t>
      </w:r>
      <w:r w:rsidR="00F72EF7">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kV</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position 4 equipped with two new 3000A</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220</w:t>
      </w:r>
      <w:r w:rsidR="00F72EF7">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kV CB’s and disconnects</w:t>
      </w:r>
      <w:r>
        <w:rPr>
          <w:rFonts w:ascii="Times New Roman" w:eastAsia="Times New Roman" w:hAnsi="Times New Roman" w:cs="Times New Roman"/>
          <w:lang w:eastAsia="en-US"/>
        </w:rPr>
        <w:t>; and re</w:t>
      </w:r>
      <w:r w:rsidRPr="00976850">
        <w:rPr>
          <w:rFonts w:ascii="Times New Roman" w:eastAsia="Times New Roman" w:hAnsi="Times New Roman" w:cs="Times New Roman"/>
          <w:lang w:eastAsia="en-US"/>
        </w:rPr>
        <w:t>build</w:t>
      </w:r>
      <w:r>
        <w:rPr>
          <w:rFonts w:ascii="Times New Roman" w:eastAsia="Times New Roman" w:hAnsi="Times New Roman" w:cs="Times New Roman"/>
          <w:lang w:eastAsia="en-US"/>
        </w:rPr>
        <w:t xml:space="preserve">ing </w:t>
      </w:r>
      <w:r w:rsidR="001229C1">
        <w:rPr>
          <w:rFonts w:ascii="Times New Roman" w:eastAsia="Times New Roman" w:hAnsi="Times New Roman" w:cs="Times New Roman"/>
          <w:lang w:eastAsia="en-US"/>
        </w:rPr>
        <w:t xml:space="preserve">of </w:t>
      </w:r>
      <w:r w:rsidR="001229C1" w:rsidRPr="00976850">
        <w:rPr>
          <w:rFonts w:ascii="Times New Roman" w:eastAsia="Times New Roman" w:hAnsi="Times New Roman" w:cs="Times New Roman"/>
          <w:lang w:eastAsia="en-US"/>
        </w:rPr>
        <w:t>the</w:t>
      </w:r>
      <w:r w:rsidRPr="00976850">
        <w:rPr>
          <w:rFonts w:ascii="Times New Roman" w:eastAsia="Times New Roman" w:hAnsi="Times New Roman" w:cs="Times New Roman"/>
          <w:lang w:eastAsia="en-US"/>
        </w:rPr>
        <w:t xml:space="preserve"> low</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side at 66</w:t>
      </w:r>
      <w:r w:rsidR="00F72EF7">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kV position 20, with two new</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3000A 66</w:t>
      </w:r>
      <w:r w:rsidR="00F72EF7">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kV CB’s, disconnects/ Remove and</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re-install the existing 1A ground bank to the</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new 1A ground bank.</w:t>
      </w:r>
      <w:r>
        <w:rPr>
          <w:rFonts w:ascii="Times New Roman" w:eastAsia="Times New Roman" w:hAnsi="Times New Roman" w:cs="Times New Roman"/>
          <w:lang w:eastAsia="en-US"/>
        </w:rPr>
        <w:t xml:space="preserve">  Project scope also includes r</w:t>
      </w:r>
      <w:r w:rsidRPr="00976850">
        <w:rPr>
          <w:rFonts w:ascii="Times New Roman" w:eastAsia="Times New Roman" w:hAnsi="Times New Roman" w:cs="Times New Roman"/>
          <w:lang w:eastAsia="en-US"/>
        </w:rPr>
        <w:t>eplac</w:t>
      </w:r>
      <w:r>
        <w:rPr>
          <w:rFonts w:ascii="Times New Roman" w:eastAsia="Times New Roman" w:hAnsi="Times New Roman" w:cs="Times New Roman"/>
          <w:lang w:eastAsia="en-US"/>
        </w:rPr>
        <w:t>ing</w:t>
      </w:r>
      <w:r w:rsidRPr="00976850">
        <w:rPr>
          <w:rFonts w:ascii="Times New Roman" w:eastAsia="Times New Roman" w:hAnsi="Times New Roman" w:cs="Times New Roman"/>
          <w:lang w:eastAsia="en-US"/>
        </w:rPr>
        <w:t xml:space="preserve"> the L90 relays on</w:t>
      </w:r>
      <w:r>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the Springville 220</w:t>
      </w:r>
      <w:r w:rsidR="00F72EF7">
        <w:rPr>
          <w:rFonts w:ascii="Times New Roman" w:eastAsia="Times New Roman" w:hAnsi="Times New Roman" w:cs="Times New Roman"/>
          <w:lang w:eastAsia="en-US"/>
        </w:rPr>
        <w:t xml:space="preserve"> </w:t>
      </w:r>
      <w:r w:rsidRPr="00976850">
        <w:rPr>
          <w:rFonts w:ascii="Times New Roman" w:eastAsia="Times New Roman" w:hAnsi="Times New Roman" w:cs="Times New Roman"/>
          <w:lang w:eastAsia="en-US"/>
        </w:rPr>
        <w:t>kV Transmission line</w:t>
      </w:r>
      <w:r>
        <w:rPr>
          <w:rFonts w:ascii="Times New Roman" w:eastAsia="Times New Roman" w:hAnsi="Times New Roman" w:cs="Times New Roman"/>
          <w:lang w:eastAsia="en-US"/>
        </w:rPr>
        <w:t xml:space="preserve"> at Magund</w:t>
      </w:r>
      <w:r w:rsidR="00610C7F">
        <w:rPr>
          <w:rFonts w:ascii="Times New Roman" w:eastAsia="Times New Roman" w:hAnsi="Times New Roman" w:cs="Times New Roman"/>
          <w:lang w:eastAsia="en-US"/>
        </w:rPr>
        <w:t>e</w:t>
      </w:r>
      <w:r>
        <w:rPr>
          <w:rFonts w:ascii="Times New Roman" w:eastAsia="Times New Roman" w:hAnsi="Times New Roman" w:cs="Times New Roman"/>
          <w:lang w:eastAsia="en-US"/>
        </w:rPr>
        <w:t>n 220</w:t>
      </w:r>
      <w:r w:rsidR="00F72EF7">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 xml:space="preserve">kV Substation.  </w:t>
      </w:r>
      <w:r w:rsidRPr="00976850">
        <w:rPr>
          <w:rFonts w:ascii="Times New Roman" w:eastAsia="Times New Roman" w:hAnsi="Times New Roman" w:cs="Times New Roman"/>
          <w:lang w:eastAsia="en-US"/>
        </w:rPr>
        <w:t xml:space="preserve"> </w:t>
      </w:r>
      <w:r>
        <w:rPr>
          <w:rFonts w:ascii="Times New Roman" w:eastAsia="Times New Roman" w:hAnsi="Times New Roman" w:cs="Times New Roman"/>
          <w:lang w:eastAsia="en-US"/>
        </w:rPr>
        <w:t>The proposed operating date is June 2016</w:t>
      </w:r>
      <w:r w:rsidR="00175965" w:rsidRPr="00976850">
        <w:rPr>
          <w:rFonts w:ascii="Times New Roman" w:eastAsia="Times New Roman" w:hAnsi="Times New Roman" w:cs="Times New Roman"/>
          <w:lang w:eastAsia="en-US"/>
        </w:rPr>
        <w:t xml:space="preserve">, with total ISO related </w:t>
      </w:r>
      <w:r w:rsidR="00072A96" w:rsidRPr="00976850">
        <w:rPr>
          <w:rFonts w:ascii="Times New Roman" w:eastAsia="Times New Roman" w:hAnsi="Times New Roman" w:cs="Times New Roman"/>
          <w:lang w:eastAsia="en-US"/>
        </w:rPr>
        <w:t xml:space="preserve">direct </w:t>
      </w:r>
      <w:r w:rsidR="00175965" w:rsidRPr="00976850">
        <w:rPr>
          <w:rFonts w:ascii="Times New Roman" w:eastAsia="Times New Roman" w:hAnsi="Times New Roman" w:cs="Times New Roman"/>
          <w:lang w:eastAsia="en-US"/>
        </w:rPr>
        <w:t>capital expenditures of $</w:t>
      </w:r>
      <w:r w:rsidR="00B33D38">
        <w:rPr>
          <w:rFonts w:ascii="Times New Roman" w:eastAsia="Times New Roman" w:hAnsi="Times New Roman" w:cs="Times New Roman"/>
          <w:lang w:eastAsia="en-US"/>
        </w:rPr>
        <w:t>5.8</w:t>
      </w:r>
      <w:r w:rsidR="00175965" w:rsidRPr="00976850">
        <w:rPr>
          <w:rFonts w:ascii="Times New Roman" w:eastAsia="Times New Roman" w:hAnsi="Times New Roman" w:cs="Times New Roman"/>
          <w:lang w:eastAsia="en-US"/>
        </w:rPr>
        <w:t xml:space="preserve"> million.</w:t>
      </w:r>
    </w:p>
    <w:p w14:paraId="293B88B3" w14:textId="77777777" w:rsidR="00175965" w:rsidRPr="00601D3A" w:rsidRDefault="00175965" w:rsidP="00175965">
      <w:pPr>
        <w:spacing w:line="360" w:lineRule="auto"/>
        <w:ind w:left="360"/>
        <w:rPr>
          <w:rFonts w:ascii="Times New Roman" w:hAnsi="Times New Roman" w:cs="Times New Roman"/>
        </w:rPr>
      </w:pPr>
    </w:p>
    <w:p w14:paraId="6BF7F23F" w14:textId="77777777" w:rsidR="00C80C0B" w:rsidRPr="00C80C0B" w:rsidRDefault="00E700BB" w:rsidP="00E700BB">
      <w:pPr>
        <w:pStyle w:val="ListParagraph"/>
        <w:numPr>
          <w:ilvl w:val="0"/>
          <w:numId w:val="2"/>
        </w:numPr>
        <w:spacing w:line="360" w:lineRule="auto"/>
        <w:rPr>
          <w:rFonts w:ascii="Times New Roman" w:hAnsi="Times New Roman" w:cs="Times New Roman"/>
          <w:b/>
        </w:rPr>
      </w:pPr>
      <w:r w:rsidRPr="00E700BB">
        <w:rPr>
          <w:rFonts w:ascii="Times New Roman" w:hAnsi="Times New Roman" w:cs="Times New Roman"/>
          <w:b/>
        </w:rPr>
        <w:t xml:space="preserve">LADWP DC electrode replacement (LAND segment) </w:t>
      </w:r>
      <w:r w:rsidR="00C80C0B" w:rsidRPr="00C80C0B">
        <w:rPr>
          <w:rFonts w:ascii="Times New Roman" w:hAnsi="Times New Roman" w:cs="Times New Roman"/>
          <w:b/>
        </w:rPr>
        <w:t xml:space="preserve">(PIN: </w:t>
      </w:r>
      <w:r>
        <w:rPr>
          <w:rFonts w:ascii="Times New Roman" w:hAnsi="Times New Roman" w:cs="Times New Roman"/>
          <w:b/>
        </w:rPr>
        <w:t>3138</w:t>
      </w:r>
      <w:r w:rsidR="00C80C0B" w:rsidRPr="00C80C0B">
        <w:rPr>
          <w:rFonts w:ascii="Times New Roman" w:hAnsi="Times New Roman" w:cs="Times New Roman"/>
          <w:b/>
        </w:rPr>
        <w:t xml:space="preserve"> )</w:t>
      </w:r>
    </w:p>
    <w:p w14:paraId="22155612" w14:textId="20C50ACD" w:rsidR="00F75079" w:rsidRDefault="00F209A8" w:rsidP="00F209A8">
      <w:pPr>
        <w:spacing w:line="360" w:lineRule="auto"/>
        <w:ind w:left="360"/>
        <w:rPr>
          <w:rFonts w:ascii="Times New Roman" w:hAnsi="Times New Roman" w:cs="Times New Roman"/>
        </w:rPr>
      </w:pPr>
      <w:r w:rsidRPr="00F209A8">
        <w:rPr>
          <w:rFonts w:ascii="Times New Roman" w:hAnsi="Times New Roman" w:cs="Times New Roman"/>
        </w:rPr>
        <w:lastRenderedPageBreak/>
        <w:t xml:space="preserve">The purpose of </w:t>
      </w:r>
      <w:r w:rsidR="00334950">
        <w:rPr>
          <w:rFonts w:ascii="Times New Roman" w:hAnsi="Times New Roman" w:cs="Times New Roman"/>
        </w:rPr>
        <w:t xml:space="preserve">this project is to replace the existing underground cables </w:t>
      </w:r>
      <w:r w:rsidR="00D31C54">
        <w:rPr>
          <w:rFonts w:ascii="Times New Roman" w:hAnsi="Times New Roman" w:cs="Times New Roman"/>
        </w:rPr>
        <w:t>with higher-rated, insulated cables that eliminates oil pressure build-up and rupturing of the external lead sheath</w:t>
      </w:r>
      <w:r w:rsidRPr="00F209A8">
        <w:rPr>
          <w:rFonts w:ascii="Times New Roman" w:hAnsi="Times New Roman" w:cs="Times New Roman"/>
        </w:rPr>
        <w:t>.</w:t>
      </w:r>
      <w:r w:rsidR="00F041C1">
        <w:rPr>
          <w:rFonts w:ascii="Times New Roman" w:hAnsi="Times New Roman" w:cs="Times New Roman"/>
        </w:rPr>
        <w:t xml:space="preserve">  </w:t>
      </w:r>
      <w:r w:rsidR="00334950">
        <w:rPr>
          <w:rFonts w:ascii="Times New Roman" w:hAnsi="Times New Roman" w:cs="Times New Roman"/>
        </w:rPr>
        <w:t>The existing cables carry ground return current to ocean electrodes for the Sylmar High Voltage Direct Current (HVDC) transmission system and they were</w:t>
      </w:r>
      <w:r w:rsidR="00F041C1">
        <w:rPr>
          <w:rFonts w:ascii="Times New Roman" w:hAnsi="Times New Roman" w:cs="Times New Roman"/>
        </w:rPr>
        <w:t xml:space="preserve"> installed in 19</w:t>
      </w:r>
      <w:r w:rsidR="00334950">
        <w:rPr>
          <w:rFonts w:ascii="Times New Roman" w:hAnsi="Times New Roman" w:cs="Times New Roman"/>
        </w:rPr>
        <w:t>69</w:t>
      </w:r>
      <w:r w:rsidR="00F041C1">
        <w:rPr>
          <w:rFonts w:ascii="Times New Roman" w:hAnsi="Times New Roman" w:cs="Times New Roman"/>
        </w:rPr>
        <w:t xml:space="preserve"> when the Pacific DC Intertie (“PDCI”) w</w:t>
      </w:r>
      <w:r w:rsidR="00906579">
        <w:rPr>
          <w:rFonts w:ascii="Times New Roman" w:hAnsi="Times New Roman" w:cs="Times New Roman"/>
        </w:rPr>
        <w:t>as</w:t>
      </w:r>
      <w:r w:rsidR="00F041C1">
        <w:rPr>
          <w:rFonts w:ascii="Times New Roman" w:hAnsi="Times New Roman" w:cs="Times New Roman"/>
        </w:rPr>
        <w:t xml:space="preserve"> originally energized at +/- 400</w:t>
      </w:r>
      <w:r w:rsidR="00F72EF7">
        <w:rPr>
          <w:rFonts w:ascii="Times New Roman" w:hAnsi="Times New Roman" w:cs="Times New Roman"/>
        </w:rPr>
        <w:t xml:space="preserve"> </w:t>
      </w:r>
      <w:r w:rsidR="00F041C1">
        <w:rPr>
          <w:rFonts w:ascii="Times New Roman" w:hAnsi="Times New Roman" w:cs="Times New Roman"/>
        </w:rPr>
        <w:t xml:space="preserve">kV, 1800 Amps, </w:t>
      </w:r>
      <w:r w:rsidR="008F56BD">
        <w:rPr>
          <w:rFonts w:ascii="Times New Roman" w:hAnsi="Times New Roman" w:cs="Times New Roman"/>
        </w:rPr>
        <w:t>and 1440</w:t>
      </w:r>
      <w:r w:rsidR="00F041C1">
        <w:rPr>
          <w:rFonts w:ascii="Times New Roman" w:hAnsi="Times New Roman" w:cs="Times New Roman"/>
        </w:rPr>
        <w:t xml:space="preserve"> MW.  After several upgrades to the PDCI, there have been no upgrades to the electrode and numerous failures have been sustained.  Current operations are at a higher rating of +/- 500</w:t>
      </w:r>
      <w:r w:rsidR="00F72EF7">
        <w:rPr>
          <w:rFonts w:ascii="Times New Roman" w:hAnsi="Times New Roman" w:cs="Times New Roman"/>
        </w:rPr>
        <w:t xml:space="preserve"> </w:t>
      </w:r>
      <w:r w:rsidR="00F041C1">
        <w:rPr>
          <w:rFonts w:ascii="Times New Roman" w:hAnsi="Times New Roman" w:cs="Times New Roman"/>
        </w:rPr>
        <w:t xml:space="preserve">kV, 3100 Amps, </w:t>
      </w:r>
      <w:r w:rsidR="008F56BD">
        <w:rPr>
          <w:rFonts w:ascii="Times New Roman" w:hAnsi="Times New Roman" w:cs="Times New Roman"/>
        </w:rPr>
        <w:t>and 3100</w:t>
      </w:r>
      <w:r w:rsidR="00F041C1">
        <w:rPr>
          <w:rFonts w:ascii="Times New Roman" w:hAnsi="Times New Roman" w:cs="Times New Roman"/>
        </w:rPr>
        <w:t xml:space="preserve"> MW.  </w:t>
      </w:r>
      <w:r>
        <w:rPr>
          <w:rFonts w:ascii="Times New Roman" w:hAnsi="Times New Roman" w:cs="Times New Roman"/>
        </w:rPr>
        <w:t>T</w:t>
      </w:r>
      <w:r w:rsidRPr="00F209A8">
        <w:rPr>
          <w:rFonts w:ascii="Times New Roman" w:hAnsi="Times New Roman" w:cs="Times New Roman"/>
        </w:rPr>
        <w:t xml:space="preserve">o replace the </w:t>
      </w:r>
      <w:r>
        <w:rPr>
          <w:rFonts w:ascii="Times New Roman" w:hAnsi="Times New Roman" w:cs="Times New Roman"/>
        </w:rPr>
        <w:t>underground portion of the PDCI ground return system</w:t>
      </w:r>
      <w:r w:rsidR="00F041C1">
        <w:rPr>
          <w:rFonts w:ascii="Times New Roman" w:hAnsi="Times New Roman" w:cs="Times New Roman"/>
        </w:rPr>
        <w:t>, p</w:t>
      </w:r>
      <w:r>
        <w:rPr>
          <w:rFonts w:ascii="Times New Roman" w:hAnsi="Times New Roman" w:cs="Times New Roman"/>
        </w:rPr>
        <w:t>roject scope includes 7-8 miles of underground line from Kenter Terminal Tower and installation of up to 8 new miles of concrete encased conduit bank and 120,000 feet of new cable</w:t>
      </w:r>
      <w:r w:rsidRPr="00F209A8">
        <w:rPr>
          <w:rFonts w:ascii="Times New Roman" w:hAnsi="Times New Roman" w:cs="Times New Roman"/>
        </w:rPr>
        <w:t>.</w:t>
      </w:r>
      <w:r w:rsidR="00F75079">
        <w:rPr>
          <w:rFonts w:ascii="Times New Roman" w:hAnsi="Times New Roman" w:cs="Times New Roman"/>
        </w:rPr>
        <w:t xml:space="preserve">  </w:t>
      </w:r>
      <w:r>
        <w:rPr>
          <w:rFonts w:ascii="Times New Roman" w:hAnsi="Times New Roman" w:cs="Times New Roman"/>
        </w:rPr>
        <w:t>The proposed operating date is March 2016</w:t>
      </w:r>
      <w:r w:rsidR="00F75079">
        <w:rPr>
          <w:rFonts w:ascii="Times New Roman" w:hAnsi="Times New Roman" w:cs="Times New Roman"/>
        </w:rPr>
        <w:t xml:space="preserve"> with </w:t>
      </w:r>
      <w:r w:rsidR="00F75079" w:rsidRPr="00F96FBF">
        <w:rPr>
          <w:rFonts w:ascii="Times New Roman" w:hAnsi="Times New Roman" w:cs="Times New Roman"/>
        </w:rPr>
        <w:t xml:space="preserve">estimated ISO-related </w:t>
      </w:r>
      <w:r w:rsidR="00F75079">
        <w:rPr>
          <w:rFonts w:ascii="Times New Roman" w:hAnsi="Times New Roman" w:cs="Times New Roman"/>
        </w:rPr>
        <w:t xml:space="preserve">direct </w:t>
      </w:r>
      <w:r w:rsidR="00F75079" w:rsidRPr="00F96FBF">
        <w:rPr>
          <w:rFonts w:ascii="Times New Roman" w:hAnsi="Times New Roman" w:cs="Times New Roman"/>
        </w:rPr>
        <w:t xml:space="preserve">capital expenditures </w:t>
      </w:r>
      <w:r w:rsidR="00F75079">
        <w:rPr>
          <w:rFonts w:ascii="Times New Roman" w:hAnsi="Times New Roman" w:cs="Times New Roman"/>
        </w:rPr>
        <w:t xml:space="preserve">of </w:t>
      </w:r>
      <w:r w:rsidR="00F75079" w:rsidRPr="00F96FBF">
        <w:rPr>
          <w:rFonts w:ascii="Times New Roman" w:hAnsi="Times New Roman" w:cs="Times New Roman"/>
        </w:rPr>
        <w:t>$</w:t>
      </w:r>
      <w:r>
        <w:rPr>
          <w:rFonts w:ascii="Times New Roman" w:hAnsi="Times New Roman" w:cs="Times New Roman"/>
        </w:rPr>
        <w:t>24.7 million, which represents SCE’s 50% share of the project.</w:t>
      </w:r>
    </w:p>
    <w:p w14:paraId="2793BBB2" w14:textId="77777777" w:rsidR="00F75079" w:rsidRPr="00C80C0B" w:rsidRDefault="00F75079" w:rsidP="00F75079">
      <w:pPr>
        <w:spacing w:line="360" w:lineRule="auto"/>
        <w:ind w:left="360"/>
        <w:rPr>
          <w:rFonts w:ascii="Times New Roman" w:hAnsi="Times New Roman" w:cs="Times New Roman"/>
          <w:b/>
        </w:rPr>
      </w:pPr>
    </w:p>
    <w:p w14:paraId="69945641" w14:textId="77777777" w:rsidR="0091587C" w:rsidRPr="0001316C" w:rsidRDefault="0091587C" w:rsidP="0001316C">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w:t>
      </w:r>
      <w:r w:rsidR="00AD38E7" w:rsidRPr="0001316C">
        <w:rPr>
          <w:rFonts w:ascii="Times New Roman" w:hAnsi="Times New Roman" w:cs="Times New Roman"/>
          <w:b/>
        </w:rPr>
        <w:t>Segment</w:t>
      </w:r>
      <w:r w:rsidR="006E7DB9" w:rsidRPr="0001316C">
        <w:rPr>
          <w:rFonts w:ascii="Times New Roman" w:hAnsi="Times New Roman" w:cs="Times New Roman"/>
          <w:b/>
        </w:rPr>
        <w:t xml:space="preserve"> </w:t>
      </w:r>
      <w:r w:rsidR="00B009CC">
        <w:rPr>
          <w:rFonts w:ascii="Times New Roman" w:hAnsi="Times New Roman" w:cs="Times New Roman"/>
          <w:b/>
        </w:rPr>
        <w:t>8A</w:t>
      </w:r>
      <w:r w:rsidR="00AD38E7" w:rsidRPr="0001316C">
        <w:rPr>
          <w:rFonts w:ascii="Times New Roman" w:hAnsi="Times New Roman" w:cs="Times New Roman"/>
          <w:b/>
        </w:rPr>
        <w:t xml:space="preserve"> </w:t>
      </w:r>
      <w:r w:rsidRPr="0001316C">
        <w:rPr>
          <w:rFonts w:ascii="Times New Roman" w:hAnsi="Times New Roman" w:cs="Times New Roman"/>
          <w:b/>
        </w:rPr>
        <w:t>(PIN:</w:t>
      </w:r>
      <w:r w:rsidR="00850E87" w:rsidRPr="0001316C">
        <w:rPr>
          <w:rFonts w:ascii="Times New Roman" w:hAnsi="Times New Roman" w:cs="Times New Roman"/>
          <w:b/>
        </w:rPr>
        <w:t xml:space="preserve"> </w:t>
      </w:r>
      <w:r w:rsidR="00B009CC">
        <w:rPr>
          <w:rFonts w:ascii="Times New Roman" w:hAnsi="Times New Roman" w:cs="Times New Roman"/>
          <w:b/>
        </w:rPr>
        <w:t>7553</w:t>
      </w:r>
      <w:r w:rsidRPr="0001316C">
        <w:rPr>
          <w:rFonts w:ascii="Times New Roman" w:hAnsi="Times New Roman" w:cs="Times New Roman"/>
          <w:b/>
        </w:rPr>
        <w:t xml:space="preserve"> )</w:t>
      </w:r>
    </w:p>
    <w:p w14:paraId="7ABDFD76" w14:textId="77777777" w:rsidR="00AD38E7" w:rsidRDefault="00F16BFE" w:rsidP="007B78D9">
      <w:pPr>
        <w:spacing w:line="360" w:lineRule="auto"/>
        <w:ind w:left="360"/>
        <w:rPr>
          <w:rFonts w:ascii="Times New Roman" w:hAnsi="Times New Roman" w:cs="Times New Roman"/>
        </w:rPr>
      </w:pPr>
      <w:r>
        <w:rPr>
          <w:rFonts w:ascii="Times New Roman" w:hAnsi="Times New Roman" w:cs="Times New Roman"/>
        </w:rPr>
        <w:t>TRTP 500 kV Underground Project (</w:t>
      </w:r>
      <w:r w:rsidR="007B78D9" w:rsidRPr="007B78D9">
        <w:rPr>
          <w:rFonts w:ascii="Times New Roman" w:hAnsi="Times New Roman" w:cs="Times New Roman"/>
        </w:rPr>
        <w:t xml:space="preserve">Segment </w:t>
      </w:r>
      <w:r w:rsidR="00773EF9">
        <w:rPr>
          <w:rFonts w:ascii="Times New Roman" w:hAnsi="Times New Roman" w:cs="Times New Roman"/>
        </w:rPr>
        <w:t>8A</w:t>
      </w:r>
      <w:r>
        <w:rPr>
          <w:rFonts w:ascii="Times New Roman" w:hAnsi="Times New Roman" w:cs="Times New Roman"/>
        </w:rPr>
        <w:t xml:space="preserve">)’s scope includes </w:t>
      </w:r>
      <w:r w:rsidRPr="00F16BFE">
        <w:rPr>
          <w:rFonts w:ascii="Times New Roman" w:hAnsi="Times New Roman" w:cs="Times New Roman"/>
        </w:rPr>
        <w:t>placing a 500</w:t>
      </w:r>
      <w:r w:rsidR="009E29AB">
        <w:rPr>
          <w:rFonts w:ascii="Times New Roman" w:hAnsi="Times New Roman" w:cs="Times New Roman"/>
        </w:rPr>
        <w:t xml:space="preserve"> </w:t>
      </w:r>
      <w:r w:rsidRPr="00F16BFE">
        <w:rPr>
          <w:rFonts w:ascii="Times New Roman" w:hAnsi="Times New Roman" w:cs="Times New Roman"/>
        </w:rPr>
        <w:t>kV single-circuit transmission line underground in an approximately 3.5-mile segment of existing right-of-way (ROW) through Chino Hills.</w:t>
      </w:r>
      <w:r>
        <w:rPr>
          <w:rFonts w:ascii="Times New Roman" w:hAnsi="Times New Roman" w:cs="Times New Roman"/>
        </w:rPr>
        <w:t xml:space="preserve"> Under project’s scope, SCE will also construct </w:t>
      </w:r>
      <w:r w:rsidR="004D4E5C">
        <w:rPr>
          <w:rFonts w:ascii="Times New Roman" w:hAnsi="Times New Roman" w:cs="Times New Roman"/>
        </w:rPr>
        <w:t xml:space="preserve">two </w:t>
      </w:r>
      <w:r>
        <w:rPr>
          <w:rFonts w:ascii="Times New Roman" w:hAnsi="Times New Roman" w:cs="Times New Roman"/>
        </w:rPr>
        <w:t>new transition station</w:t>
      </w:r>
      <w:r w:rsidR="004D4E5C">
        <w:rPr>
          <w:rFonts w:ascii="Times New Roman" w:hAnsi="Times New Roman" w:cs="Times New Roman"/>
        </w:rPr>
        <w:t>s, one each</w:t>
      </w:r>
      <w:r>
        <w:rPr>
          <w:rFonts w:ascii="Times New Roman" w:hAnsi="Times New Roman" w:cs="Times New Roman"/>
        </w:rPr>
        <w:t xml:space="preserve"> on the Eastern and Western boundaries of Chino Hills to transition the overhead 500 kV transmission line to underground cable</w:t>
      </w:r>
      <w:r w:rsidR="004D4E5C">
        <w:rPr>
          <w:rFonts w:ascii="Times New Roman" w:hAnsi="Times New Roman" w:cs="Times New Roman"/>
        </w:rPr>
        <w:t xml:space="preserve"> and vice versa</w:t>
      </w:r>
      <w:r>
        <w:rPr>
          <w:rFonts w:ascii="Times New Roman" w:hAnsi="Times New Roman" w:cs="Times New Roman"/>
        </w:rPr>
        <w:t>.</w:t>
      </w:r>
      <w:r w:rsidR="004D4E5C">
        <w:rPr>
          <w:rFonts w:ascii="Times New Roman" w:hAnsi="Times New Roman" w:cs="Times New Roman"/>
        </w:rPr>
        <w:t xml:space="preserve">  Project scope </w:t>
      </w:r>
      <w:r>
        <w:rPr>
          <w:rFonts w:ascii="Times New Roman" w:hAnsi="Times New Roman" w:cs="Times New Roman"/>
        </w:rPr>
        <w:t xml:space="preserve">also includes </w:t>
      </w:r>
      <w:r w:rsidRPr="00F16BFE">
        <w:rPr>
          <w:rFonts w:ascii="Times New Roman" w:hAnsi="Times New Roman" w:cs="Times New Roman"/>
        </w:rPr>
        <w:t>construct</w:t>
      </w:r>
      <w:r>
        <w:rPr>
          <w:rFonts w:ascii="Times New Roman" w:hAnsi="Times New Roman" w:cs="Times New Roman"/>
        </w:rPr>
        <w:t xml:space="preserve">ion </w:t>
      </w:r>
      <w:r w:rsidR="009E29AB">
        <w:rPr>
          <w:rFonts w:ascii="Times New Roman" w:hAnsi="Times New Roman" w:cs="Times New Roman"/>
        </w:rPr>
        <w:t xml:space="preserve">of </w:t>
      </w:r>
      <w:r w:rsidR="009E29AB" w:rsidRPr="00F16BFE">
        <w:rPr>
          <w:rFonts w:ascii="Times New Roman" w:hAnsi="Times New Roman" w:cs="Times New Roman"/>
        </w:rPr>
        <w:t>voltage</w:t>
      </w:r>
      <w:r w:rsidRPr="00F16BFE">
        <w:rPr>
          <w:rFonts w:ascii="Times New Roman" w:hAnsi="Times New Roman" w:cs="Times New Roman"/>
        </w:rPr>
        <w:t xml:space="preserve"> control equipment, also referred to as reactive compensation, within the footprint of the Mira Loma Substation as a part of its construction of underground</w:t>
      </w:r>
      <w:r>
        <w:rPr>
          <w:rFonts w:ascii="Times New Roman" w:hAnsi="Times New Roman" w:cs="Times New Roman"/>
        </w:rPr>
        <w:t>.</w:t>
      </w:r>
      <w:r w:rsidR="004D4E5C">
        <w:rPr>
          <w:rFonts w:ascii="Times New Roman" w:hAnsi="Times New Roman" w:cs="Times New Roman"/>
        </w:rPr>
        <w:t xml:space="preserve">  </w:t>
      </w:r>
      <w:r w:rsidR="00773EF9">
        <w:rPr>
          <w:rFonts w:ascii="Times New Roman" w:hAnsi="Times New Roman" w:cs="Times New Roman"/>
        </w:rPr>
        <w:t xml:space="preserve"> The proposed operating date is October 2016 </w:t>
      </w:r>
      <w:r w:rsidR="00BE6D58">
        <w:rPr>
          <w:rFonts w:ascii="Times New Roman" w:hAnsi="Times New Roman" w:cs="Times New Roman"/>
        </w:rPr>
        <w:t>with estimated ISO-related d</w:t>
      </w:r>
      <w:r w:rsidR="00B009CC">
        <w:rPr>
          <w:rFonts w:ascii="Times New Roman" w:hAnsi="Times New Roman" w:cs="Times New Roman"/>
        </w:rPr>
        <w:t>irect capital expenditures of $331.2</w:t>
      </w:r>
      <w:r w:rsidR="00BE6D58">
        <w:rPr>
          <w:rFonts w:ascii="Times New Roman" w:hAnsi="Times New Roman" w:cs="Times New Roman"/>
        </w:rPr>
        <w:t xml:space="preserve"> million.</w:t>
      </w:r>
    </w:p>
    <w:p w14:paraId="65B18FC0" w14:textId="77777777" w:rsidR="00852B51" w:rsidRDefault="00852B51" w:rsidP="007B78D9">
      <w:pPr>
        <w:spacing w:line="360" w:lineRule="auto"/>
        <w:ind w:left="360"/>
        <w:rPr>
          <w:rFonts w:ascii="Times New Roman" w:hAnsi="Times New Roman" w:cs="Times New Roman"/>
        </w:rPr>
      </w:pPr>
    </w:p>
    <w:p w14:paraId="67E4AA90" w14:textId="77777777" w:rsidR="00661963" w:rsidRPr="0001316C" w:rsidRDefault="00661963" w:rsidP="00661963">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Segment </w:t>
      </w:r>
      <w:r>
        <w:rPr>
          <w:rFonts w:ascii="Times New Roman" w:hAnsi="Times New Roman" w:cs="Times New Roman"/>
          <w:b/>
        </w:rPr>
        <w:t>11</w:t>
      </w:r>
      <w:r w:rsidR="007B13C4">
        <w:rPr>
          <w:rFonts w:ascii="Times New Roman" w:hAnsi="Times New Roman" w:cs="Times New Roman"/>
          <w:b/>
        </w:rPr>
        <w:t xml:space="preserve"> </w:t>
      </w:r>
      <w:r w:rsidRPr="0001316C">
        <w:rPr>
          <w:rFonts w:ascii="Times New Roman" w:hAnsi="Times New Roman" w:cs="Times New Roman"/>
          <w:b/>
        </w:rPr>
        <w:t xml:space="preserve">(PIN: </w:t>
      </w:r>
      <w:r>
        <w:rPr>
          <w:rFonts w:ascii="Times New Roman" w:hAnsi="Times New Roman" w:cs="Times New Roman"/>
          <w:b/>
        </w:rPr>
        <w:t>6442</w:t>
      </w:r>
      <w:r w:rsidRPr="0001316C">
        <w:rPr>
          <w:rFonts w:ascii="Times New Roman" w:hAnsi="Times New Roman" w:cs="Times New Roman"/>
          <w:b/>
        </w:rPr>
        <w:t xml:space="preserve"> )</w:t>
      </w:r>
    </w:p>
    <w:p w14:paraId="4A705325" w14:textId="3FA6B6C3" w:rsidR="007B78D9" w:rsidRDefault="001C2F8A" w:rsidP="001C2F8A">
      <w:pPr>
        <w:spacing w:line="360" w:lineRule="auto"/>
        <w:ind w:left="360"/>
        <w:rPr>
          <w:rFonts w:ascii="Times New Roman" w:hAnsi="Times New Roman" w:cs="Times New Roman"/>
        </w:rPr>
      </w:pPr>
      <w:r>
        <w:rPr>
          <w:rFonts w:ascii="Times New Roman" w:hAnsi="Times New Roman" w:cs="Times New Roman"/>
        </w:rPr>
        <w:t>Segment 11’s scope includes r</w:t>
      </w:r>
      <w:r w:rsidRPr="001C2F8A">
        <w:rPr>
          <w:rFonts w:ascii="Times New Roman" w:hAnsi="Times New Roman" w:cs="Times New Roman"/>
        </w:rPr>
        <w:t>ebuild</w:t>
      </w:r>
      <w:r>
        <w:rPr>
          <w:rFonts w:ascii="Times New Roman" w:hAnsi="Times New Roman" w:cs="Times New Roman"/>
        </w:rPr>
        <w:t>ing</w:t>
      </w:r>
      <w:r w:rsidRPr="001C2F8A">
        <w:rPr>
          <w:rFonts w:ascii="Times New Roman" w:hAnsi="Times New Roman" w:cs="Times New Roman"/>
        </w:rPr>
        <w:t xml:space="preserve"> approximately 18.7 miles of existing 220</w:t>
      </w:r>
      <w:r w:rsidR="00F72EF7">
        <w:rPr>
          <w:rFonts w:ascii="Times New Roman" w:hAnsi="Times New Roman" w:cs="Times New Roman"/>
        </w:rPr>
        <w:t xml:space="preserve"> </w:t>
      </w:r>
      <w:r w:rsidR="00677B05">
        <w:rPr>
          <w:rFonts w:ascii="Times New Roman" w:hAnsi="Times New Roman" w:cs="Times New Roman"/>
        </w:rPr>
        <w:t>kV</w:t>
      </w:r>
      <w:r w:rsidRPr="001C2F8A">
        <w:rPr>
          <w:rFonts w:ascii="Times New Roman" w:hAnsi="Times New Roman" w:cs="Times New Roman"/>
        </w:rPr>
        <w:t xml:space="preserve"> transmission line to 500</w:t>
      </w:r>
      <w:r w:rsidR="00F72EF7">
        <w:rPr>
          <w:rFonts w:ascii="Times New Roman" w:hAnsi="Times New Roman" w:cs="Times New Roman"/>
        </w:rPr>
        <w:t xml:space="preserve"> </w:t>
      </w:r>
      <w:r w:rsidR="00677B05">
        <w:rPr>
          <w:rFonts w:ascii="Times New Roman" w:hAnsi="Times New Roman" w:cs="Times New Roman"/>
        </w:rPr>
        <w:t>kV</w:t>
      </w:r>
      <w:r w:rsidRPr="001C2F8A">
        <w:rPr>
          <w:rFonts w:ascii="Times New Roman" w:hAnsi="Times New Roman" w:cs="Times New Roman"/>
        </w:rPr>
        <w:t xml:space="preserve"> standards between the existing Vincent and Gould Substations. This </w:t>
      </w:r>
      <w:r w:rsidRPr="001C2F8A">
        <w:rPr>
          <w:rFonts w:ascii="Times New Roman" w:hAnsi="Times New Roman" w:cs="Times New Roman"/>
        </w:rPr>
        <w:lastRenderedPageBreak/>
        <w:t>segment would also include the addition of a new 220</w:t>
      </w:r>
      <w:r w:rsidR="00F72EF7">
        <w:rPr>
          <w:rFonts w:ascii="Times New Roman" w:hAnsi="Times New Roman" w:cs="Times New Roman"/>
        </w:rPr>
        <w:t xml:space="preserve"> </w:t>
      </w:r>
      <w:r w:rsidR="00677B05">
        <w:rPr>
          <w:rFonts w:ascii="Times New Roman" w:hAnsi="Times New Roman" w:cs="Times New Roman"/>
        </w:rPr>
        <w:t>kV</w:t>
      </w:r>
      <w:r w:rsidRPr="001C2F8A">
        <w:rPr>
          <w:rFonts w:ascii="Times New Roman" w:hAnsi="Times New Roman" w:cs="Times New Roman"/>
        </w:rPr>
        <w:t xml:space="preserve"> circuit on the vacant side of the existing double-circuit structures of the Eagle Rock-Mesa 220</w:t>
      </w:r>
      <w:r w:rsidR="00F72EF7">
        <w:rPr>
          <w:rFonts w:ascii="Times New Roman" w:hAnsi="Times New Roman" w:cs="Times New Roman"/>
        </w:rPr>
        <w:t xml:space="preserve"> </w:t>
      </w:r>
      <w:r w:rsidR="00677B05">
        <w:rPr>
          <w:rFonts w:ascii="Times New Roman" w:hAnsi="Times New Roman" w:cs="Times New Roman"/>
        </w:rPr>
        <w:t>kV</w:t>
      </w:r>
      <w:r w:rsidRPr="001C2F8A">
        <w:rPr>
          <w:rFonts w:ascii="Times New Roman" w:hAnsi="Times New Roman" w:cs="Times New Roman"/>
        </w:rPr>
        <w:t xml:space="preserve"> transmission line, between the existing Gould Substation and the existing Mesa Substation (Segment 11).</w:t>
      </w:r>
      <w:r w:rsidR="00404623">
        <w:rPr>
          <w:rFonts w:ascii="Times New Roman" w:hAnsi="Times New Roman" w:cs="Times New Roman"/>
        </w:rPr>
        <w:t xml:space="preserve"> </w:t>
      </w:r>
      <w:r w:rsidR="00F02B94">
        <w:rPr>
          <w:rFonts w:ascii="Times New Roman" w:hAnsi="Times New Roman" w:cs="Times New Roman"/>
        </w:rPr>
        <w:t xml:space="preserve"> </w:t>
      </w:r>
      <w:r w:rsidR="00DD5D5F">
        <w:rPr>
          <w:rFonts w:ascii="Times New Roman" w:hAnsi="Times New Roman" w:cs="Times New Roman"/>
        </w:rPr>
        <w:t>During the Rate Year</w:t>
      </w:r>
      <w:r w:rsidR="00CF5E13">
        <w:rPr>
          <w:rFonts w:ascii="Times New Roman" w:hAnsi="Times New Roman" w:cs="Times New Roman"/>
        </w:rPr>
        <w:t xml:space="preserve">, </w:t>
      </w:r>
      <w:r w:rsidR="000707B3">
        <w:rPr>
          <w:rFonts w:ascii="Times New Roman" w:hAnsi="Times New Roman" w:cs="Times New Roman"/>
        </w:rPr>
        <w:t xml:space="preserve">remaining </w:t>
      </w:r>
      <w:r w:rsidR="00C665B6">
        <w:rPr>
          <w:rFonts w:ascii="Times New Roman" w:hAnsi="Times New Roman" w:cs="Times New Roman"/>
        </w:rPr>
        <w:t xml:space="preserve">environmental monitoring and mitigation and construction activity are </w:t>
      </w:r>
      <w:r w:rsidR="00CF5E13">
        <w:rPr>
          <w:rFonts w:ascii="Times New Roman" w:hAnsi="Times New Roman" w:cs="Times New Roman"/>
        </w:rPr>
        <w:t>scheduled to be completed</w:t>
      </w:r>
      <w:r w:rsidR="00DD5D5F">
        <w:rPr>
          <w:rFonts w:ascii="Times New Roman" w:hAnsi="Times New Roman" w:cs="Times New Roman"/>
        </w:rPr>
        <w:t xml:space="preserve"> with estimated ISO-</w:t>
      </w:r>
      <w:r w:rsidR="00D2445F">
        <w:rPr>
          <w:rFonts w:ascii="Times New Roman" w:hAnsi="Times New Roman" w:cs="Times New Roman"/>
        </w:rPr>
        <w:t>related direct</w:t>
      </w:r>
      <w:r w:rsidR="00404623">
        <w:rPr>
          <w:rFonts w:ascii="Times New Roman" w:hAnsi="Times New Roman" w:cs="Times New Roman"/>
        </w:rPr>
        <w:t xml:space="preserve"> capital expenditures of $</w:t>
      </w:r>
      <w:r w:rsidR="007B13C4">
        <w:rPr>
          <w:rFonts w:ascii="Times New Roman" w:hAnsi="Times New Roman" w:cs="Times New Roman"/>
        </w:rPr>
        <w:t>11.8</w:t>
      </w:r>
      <w:r w:rsidR="00404623" w:rsidRPr="00072A96">
        <w:rPr>
          <w:rFonts w:ascii="Times New Roman" w:hAnsi="Times New Roman" w:cs="Times New Roman"/>
        </w:rPr>
        <w:t xml:space="preserve"> million.</w:t>
      </w:r>
    </w:p>
    <w:p w14:paraId="52327D72" w14:textId="77777777" w:rsidR="00D2445F" w:rsidRDefault="00D2445F" w:rsidP="001C2F8A">
      <w:pPr>
        <w:spacing w:line="360" w:lineRule="auto"/>
        <w:ind w:left="360"/>
        <w:rPr>
          <w:rFonts w:ascii="Times New Roman" w:hAnsi="Times New Roman" w:cs="Times New Roman"/>
        </w:rPr>
      </w:pPr>
    </w:p>
    <w:p w14:paraId="7603516E" w14:textId="77777777" w:rsidR="00D2445F" w:rsidRPr="00D2445F" w:rsidRDefault="00D2445F" w:rsidP="00D2445F">
      <w:pPr>
        <w:pStyle w:val="ListParagraph"/>
        <w:numPr>
          <w:ilvl w:val="0"/>
          <w:numId w:val="2"/>
        </w:numPr>
        <w:spacing w:line="360" w:lineRule="auto"/>
        <w:rPr>
          <w:rFonts w:ascii="Times New Roman" w:hAnsi="Times New Roman" w:cs="Times New Roman"/>
          <w:b/>
        </w:rPr>
      </w:pPr>
      <w:r w:rsidRPr="00D2445F">
        <w:rPr>
          <w:rFonts w:ascii="Times New Roman" w:hAnsi="Times New Roman" w:cs="Times New Roman"/>
          <w:b/>
        </w:rPr>
        <w:t>Whirlwind Substation Expansion (PIN</w:t>
      </w:r>
      <w:r w:rsidR="0051327E">
        <w:rPr>
          <w:rFonts w:ascii="Times New Roman" w:hAnsi="Times New Roman" w:cs="Times New Roman"/>
          <w:b/>
        </w:rPr>
        <w:t>s</w:t>
      </w:r>
      <w:r w:rsidRPr="00D2445F">
        <w:rPr>
          <w:rFonts w:ascii="Times New Roman" w:hAnsi="Times New Roman" w:cs="Times New Roman"/>
          <w:b/>
        </w:rPr>
        <w:t>: 7650</w:t>
      </w:r>
      <w:r w:rsidR="0051327E">
        <w:rPr>
          <w:rFonts w:ascii="Times New Roman" w:hAnsi="Times New Roman" w:cs="Times New Roman"/>
          <w:b/>
        </w:rPr>
        <w:t xml:space="preserve"> &amp; 7695</w:t>
      </w:r>
      <w:r w:rsidRPr="00D2445F">
        <w:rPr>
          <w:rFonts w:ascii="Times New Roman" w:hAnsi="Times New Roman" w:cs="Times New Roman"/>
          <w:b/>
        </w:rPr>
        <w:t>)</w:t>
      </w:r>
    </w:p>
    <w:p w14:paraId="7857F30D" w14:textId="77777777" w:rsidR="001229C1" w:rsidRDefault="00363A8B" w:rsidP="001C2F8A">
      <w:pPr>
        <w:spacing w:line="360" w:lineRule="auto"/>
        <w:ind w:left="360"/>
        <w:rPr>
          <w:rFonts w:ascii="Times New Roman" w:hAnsi="Times New Roman" w:cs="Times New Roman"/>
        </w:rPr>
      </w:pPr>
      <w:r w:rsidRPr="00363A8B">
        <w:rPr>
          <w:rFonts w:ascii="Times New Roman" w:hAnsi="Times New Roman" w:cs="Times New Roman"/>
        </w:rPr>
        <w:t>The transmission facilities that SCE propose</w:t>
      </w:r>
      <w:r>
        <w:rPr>
          <w:rFonts w:ascii="Times New Roman" w:hAnsi="Times New Roman" w:cs="Times New Roman"/>
        </w:rPr>
        <w:t>d</w:t>
      </w:r>
      <w:r w:rsidRPr="00363A8B">
        <w:rPr>
          <w:rFonts w:ascii="Times New Roman" w:hAnsi="Times New Roman" w:cs="Times New Roman"/>
        </w:rPr>
        <w:t xml:space="preserve"> to build as part of the Whirlwind</w:t>
      </w:r>
      <w:r>
        <w:rPr>
          <w:rFonts w:ascii="Times New Roman" w:hAnsi="Times New Roman" w:cs="Times New Roman"/>
        </w:rPr>
        <w:t xml:space="preserve"> </w:t>
      </w:r>
      <w:r w:rsidRPr="00363A8B">
        <w:rPr>
          <w:rFonts w:ascii="Times New Roman" w:hAnsi="Times New Roman" w:cs="Times New Roman"/>
        </w:rPr>
        <w:t>Substation Expansion w</w:t>
      </w:r>
      <w:r>
        <w:rPr>
          <w:rFonts w:ascii="Times New Roman" w:hAnsi="Times New Roman" w:cs="Times New Roman"/>
        </w:rPr>
        <w:t>ould</w:t>
      </w:r>
      <w:r w:rsidRPr="00363A8B">
        <w:rPr>
          <w:rFonts w:ascii="Times New Roman" w:hAnsi="Times New Roman" w:cs="Times New Roman"/>
        </w:rPr>
        <w:t xml:space="preserve"> provide capacity for an additional 2,000 MW of new generation</w:t>
      </w:r>
      <w:r>
        <w:rPr>
          <w:rFonts w:ascii="Times New Roman" w:hAnsi="Times New Roman" w:cs="Times New Roman"/>
        </w:rPr>
        <w:t xml:space="preserve"> </w:t>
      </w:r>
      <w:r w:rsidRPr="00363A8B">
        <w:rPr>
          <w:rFonts w:ascii="Times New Roman" w:hAnsi="Times New Roman" w:cs="Times New Roman"/>
        </w:rPr>
        <w:t>resources at Whirlwind and include the following: 1) expansion of the Whirlwind 220 kV</w:t>
      </w:r>
      <w:r>
        <w:rPr>
          <w:rFonts w:ascii="Times New Roman" w:hAnsi="Times New Roman" w:cs="Times New Roman"/>
        </w:rPr>
        <w:t xml:space="preserve"> </w:t>
      </w:r>
      <w:r w:rsidRPr="00363A8B">
        <w:rPr>
          <w:rFonts w:ascii="Times New Roman" w:hAnsi="Times New Roman" w:cs="Times New Roman"/>
        </w:rPr>
        <w:t>Switchrack; 2) installation of two additional 500/220</w:t>
      </w:r>
      <w:r w:rsidR="00D35E44">
        <w:rPr>
          <w:rFonts w:ascii="Times New Roman" w:hAnsi="Times New Roman" w:cs="Times New Roman"/>
        </w:rPr>
        <w:t xml:space="preserve"> </w:t>
      </w:r>
      <w:r w:rsidRPr="00363A8B">
        <w:rPr>
          <w:rFonts w:ascii="Times New Roman" w:hAnsi="Times New Roman" w:cs="Times New Roman"/>
        </w:rPr>
        <w:t xml:space="preserve">kV </w:t>
      </w:r>
      <w:r w:rsidR="001229C1">
        <w:rPr>
          <w:rFonts w:ascii="Times New Roman" w:hAnsi="Times New Roman" w:cs="Times New Roman"/>
        </w:rPr>
        <w:t xml:space="preserve">AA </w:t>
      </w:r>
      <w:r w:rsidRPr="00363A8B">
        <w:rPr>
          <w:rFonts w:ascii="Times New Roman" w:hAnsi="Times New Roman" w:cs="Times New Roman"/>
        </w:rPr>
        <w:t>transformer banks</w:t>
      </w:r>
      <w:r w:rsidR="001229C1">
        <w:rPr>
          <w:rFonts w:ascii="Times New Roman" w:hAnsi="Times New Roman" w:cs="Times New Roman"/>
        </w:rPr>
        <w:t xml:space="preserve"> (No.’s 3&amp;4)</w:t>
      </w:r>
      <w:r w:rsidRPr="00363A8B">
        <w:rPr>
          <w:rFonts w:ascii="Times New Roman" w:hAnsi="Times New Roman" w:cs="Times New Roman"/>
        </w:rPr>
        <w:t>; (3) equipping of</w:t>
      </w:r>
      <w:r>
        <w:rPr>
          <w:rFonts w:ascii="Times New Roman" w:hAnsi="Times New Roman" w:cs="Times New Roman"/>
        </w:rPr>
        <w:t xml:space="preserve"> </w:t>
      </w:r>
      <w:r w:rsidRPr="00363A8B">
        <w:rPr>
          <w:rFonts w:ascii="Times New Roman" w:hAnsi="Times New Roman" w:cs="Times New Roman"/>
        </w:rPr>
        <w:t>500 kV and 220 kV positions to terminate the two new transformer banks; 4) equipping multiple</w:t>
      </w:r>
      <w:r>
        <w:rPr>
          <w:rFonts w:ascii="Times New Roman" w:hAnsi="Times New Roman" w:cs="Times New Roman"/>
        </w:rPr>
        <w:t xml:space="preserve"> </w:t>
      </w:r>
      <w:r w:rsidRPr="00363A8B">
        <w:rPr>
          <w:rFonts w:ascii="Times New Roman" w:hAnsi="Times New Roman" w:cs="Times New Roman"/>
        </w:rPr>
        <w:t>220 kV positions to support interconnection of new generation; and 5) use of an SPS.</w:t>
      </w:r>
      <w:r>
        <w:rPr>
          <w:rFonts w:ascii="Times New Roman" w:hAnsi="Times New Roman" w:cs="Times New Roman"/>
        </w:rPr>
        <w:t xml:space="preserve">  </w:t>
      </w:r>
    </w:p>
    <w:p w14:paraId="611430EF" w14:textId="77777777" w:rsidR="00D02B77" w:rsidRDefault="001229C1" w:rsidP="001229C1">
      <w:pPr>
        <w:spacing w:line="360" w:lineRule="auto"/>
        <w:ind w:left="360" w:firstLine="360"/>
        <w:rPr>
          <w:rFonts w:ascii="Times New Roman" w:hAnsi="Times New Roman" w:cs="Times New Roman"/>
        </w:rPr>
      </w:pPr>
      <w:r w:rsidRPr="001229C1">
        <w:rPr>
          <w:rFonts w:ascii="Times New Roman" w:hAnsi="Times New Roman" w:cs="Times New Roman"/>
        </w:rPr>
        <w:t xml:space="preserve">Installation of the </w:t>
      </w:r>
      <w:r>
        <w:rPr>
          <w:rFonts w:ascii="Times New Roman" w:hAnsi="Times New Roman" w:cs="Times New Roman"/>
        </w:rPr>
        <w:t>second</w:t>
      </w:r>
      <w:r w:rsidRPr="001229C1">
        <w:rPr>
          <w:rFonts w:ascii="Times New Roman" w:hAnsi="Times New Roman" w:cs="Times New Roman"/>
        </w:rPr>
        <w:t xml:space="preserve"> AA-bank and </w:t>
      </w:r>
      <w:r>
        <w:rPr>
          <w:rFonts w:ascii="Times New Roman" w:hAnsi="Times New Roman" w:cs="Times New Roman"/>
        </w:rPr>
        <w:t xml:space="preserve">AA Bank </w:t>
      </w:r>
      <w:r w:rsidRPr="001229C1">
        <w:rPr>
          <w:rFonts w:ascii="Times New Roman" w:hAnsi="Times New Roman" w:cs="Times New Roman"/>
        </w:rPr>
        <w:t>N-1 SPS</w:t>
      </w:r>
      <w:r w:rsidR="00D35E44">
        <w:rPr>
          <w:rFonts w:ascii="Times New Roman" w:hAnsi="Times New Roman" w:cs="Times New Roman"/>
        </w:rPr>
        <w:t xml:space="preserve"> was co</w:t>
      </w:r>
      <w:r>
        <w:rPr>
          <w:rFonts w:ascii="Times New Roman" w:hAnsi="Times New Roman" w:cs="Times New Roman"/>
        </w:rPr>
        <w:t>mpleted in 2014</w:t>
      </w:r>
      <w:r w:rsidRPr="001229C1">
        <w:rPr>
          <w:rFonts w:ascii="Times New Roman" w:hAnsi="Times New Roman" w:cs="Times New Roman"/>
        </w:rPr>
        <w:t xml:space="preserve">. </w:t>
      </w:r>
      <w:r>
        <w:rPr>
          <w:rFonts w:ascii="Times New Roman" w:hAnsi="Times New Roman" w:cs="Times New Roman"/>
        </w:rPr>
        <w:t xml:space="preserve"> The second AA-bank was labelled No.3 AA bank.  </w:t>
      </w:r>
      <w:r w:rsidR="00363A8B">
        <w:rPr>
          <w:rFonts w:ascii="Times New Roman" w:hAnsi="Times New Roman" w:cs="Times New Roman"/>
        </w:rPr>
        <w:t xml:space="preserve">During the Rate Year, installation of </w:t>
      </w:r>
      <w:r>
        <w:rPr>
          <w:rFonts w:ascii="Times New Roman" w:hAnsi="Times New Roman" w:cs="Times New Roman"/>
        </w:rPr>
        <w:t>the third AA</w:t>
      </w:r>
      <w:r w:rsidR="00363A8B" w:rsidRPr="00363A8B">
        <w:rPr>
          <w:rFonts w:ascii="Times New Roman" w:hAnsi="Times New Roman" w:cs="Times New Roman"/>
        </w:rPr>
        <w:t xml:space="preserve"> bank </w:t>
      </w:r>
      <w:r w:rsidR="00363A8B">
        <w:rPr>
          <w:rFonts w:ascii="Times New Roman" w:hAnsi="Times New Roman" w:cs="Times New Roman"/>
        </w:rPr>
        <w:t xml:space="preserve">is </w:t>
      </w:r>
      <w:r>
        <w:rPr>
          <w:rFonts w:ascii="Times New Roman" w:hAnsi="Times New Roman" w:cs="Times New Roman"/>
        </w:rPr>
        <w:t>scheduled to be completed</w:t>
      </w:r>
      <w:r w:rsidR="00363A8B" w:rsidRPr="00363A8B">
        <w:rPr>
          <w:rFonts w:ascii="Times New Roman" w:hAnsi="Times New Roman" w:cs="Times New Roman"/>
        </w:rPr>
        <w:t>. The third AA bank will be labeled No.4</w:t>
      </w:r>
      <w:r w:rsidR="00363A8B">
        <w:rPr>
          <w:rFonts w:ascii="Times New Roman" w:hAnsi="Times New Roman" w:cs="Times New Roman"/>
        </w:rPr>
        <w:t xml:space="preserve"> </w:t>
      </w:r>
      <w:r w:rsidR="00363A8B" w:rsidRPr="00363A8B">
        <w:rPr>
          <w:rFonts w:ascii="Times New Roman" w:hAnsi="Times New Roman" w:cs="Times New Roman"/>
        </w:rPr>
        <w:t>AA</w:t>
      </w:r>
      <w:r w:rsidR="00363A8B">
        <w:rPr>
          <w:rFonts w:ascii="Times New Roman" w:hAnsi="Times New Roman" w:cs="Times New Roman"/>
        </w:rPr>
        <w:t xml:space="preserve"> </w:t>
      </w:r>
      <w:r>
        <w:rPr>
          <w:rFonts w:ascii="Times New Roman" w:hAnsi="Times New Roman" w:cs="Times New Roman"/>
        </w:rPr>
        <w:t>bank. Th</w:t>
      </w:r>
      <w:r w:rsidR="00363A8B" w:rsidRPr="00363A8B">
        <w:rPr>
          <w:rFonts w:ascii="Times New Roman" w:hAnsi="Times New Roman" w:cs="Times New Roman"/>
        </w:rPr>
        <w:t xml:space="preserve">e addition of the </w:t>
      </w:r>
      <w:r>
        <w:rPr>
          <w:rFonts w:ascii="Times New Roman" w:hAnsi="Times New Roman" w:cs="Times New Roman"/>
        </w:rPr>
        <w:t>third</w:t>
      </w:r>
      <w:r>
        <w:rPr>
          <w:rFonts w:ascii="Times New Roman" w:hAnsi="Times New Roman" w:cs="Times New Roman"/>
          <w:vertAlign w:val="superscript"/>
        </w:rPr>
        <w:t xml:space="preserve"> </w:t>
      </w:r>
      <w:r w:rsidR="00363A8B" w:rsidRPr="00363A8B">
        <w:rPr>
          <w:rFonts w:ascii="Times New Roman" w:hAnsi="Times New Roman" w:cs="Times New Roman"/>
        </w:rPr>
        <w:t>AA bank will trigger the need to modify the Whirlwind AA Bank N-1 SPS</w:t>
      </w:r>
      <w:r w:rsidR="00363A8B">
        <w:rPr>
          <w:rFonts w:ascii="Times New Roman" w:hAnsi="Times New Roman" w:cs="Times New Roman"/>
        </w:rPr>
        <w:t xml:space="preserve">. It </w:t>
      </w:r>
      <w:r w:rsidR="00D35E44">
        <w:rPr>
          <w:rFonts w:ascii="Times New Roman" w:hAnsi="Times New Roman" w:cs="Times New Roman"/>
        </w:rPr>
        <w:t>will also trigger</w:t>
      </w:r>
      <w:r w:rsidR="00363A8B">
        <w:rPr>
          <w:rFonts w:ascii="Times New Roman" w:hAnsi="Times New Roman" w:cs="Times New Roman"/>
        </w:rPr>
        <w:t xml:space="preserve"> the need to install two </w:t>
      </w:r>
      <w:r w:rsidR="00363A8B" w:rsidRPr="00363A8B">
        <w:rPr>
          <w:rFonts w:ascii="Times New Roman" w:hAnsi="Times New Roman" w:cs="Times New Roman"/>
        </w:rPr>
        <w:t>GE N-60</w:t>
      </w:r>
      <w:r w:rsidR="00363A8B">
        <w:rPr>
          <w:rFonts w:ascii="Times New Roman" w:hAnsi="Times New Roman" w:cs="Times New Roman"/>
        </w:rPr>
        <w:t xml:space="preserve"> </w:t>
      </w:r>
      <w:r w:rsidR="00363A8B" w:rsidRPr="00363A8B">
        <w:rPr>
          <w:rFonts w:ascii="Times New Roman" w:hAnsi="Times New Roman" w:cs="Times New Roman"/>
        </w:rPr>
        <w:t>Relays for bank monitoring for the</w:t>
      </w:r>
      <w:r w:rsidR="00363A8B">
        <w:rPr>
          <w:rFonts w:ascii="Times New Roman" w:hAnsi="Times New Roman" w:cs="Times New Roman"/>
        </w:rPr>
        <w:t xml:space="preserve"> </w:t>
      </w:r>
      <w:r w:rsidR="00363A8B" w:rsidRPr="00363A8B">
        <w:rPr>
          <w:rFonts w:ascii="Times New Roman" w:hAnsi="Times New Roman" w:cs="Times New Roman"/>
        </w:rPr>
        <w:t xml:space="preserve">participation in the Whirlwind AA Bank RAS and add the third bank as part of the SPS. </w:t>
      </w:r>
      <w:r w:rsidR="00363A8B">
        <w:rPr>
          <w:rFonts w:ascii="Times New Roman" w:hAnsi="Times New Roman" w:cs="Times New Roman"/>
        </w:rPr>
        <w:t xml:space="preserve"> The proposed operating date for the third AA bank is December 2016 with estimated ISO-related direct capital expenditures of $3</w:t>
      </w:r>
      <w:r w:rsidR="00883DDA">
        <w:rPr>
          <w:rFonts w:ascii="Times New Roman" w:hAnsi="Times New Roman" w:cs="Times New Roman"/>
        </w:rPr>
        <w:t>8.8</w:t>
      </w:r>
      <w:r w:rsidR="00363A8B">
        <w:rPr>
          <w:rFonts w:ascii="Times New Roman" w:hAnsi="Times New Roman" w:cs="Times New Roman"/>
        </w:rPr>
        <w:t xml:space="preserve"> million.</w:t>
      </w:r>
    </w:p>
    <w:p w14:paraId="5EA61A5D" w14:textId="77777777" w:rsidR="00D02B77" w:rsidRPr="00F96FBF" w:rsidRDefault="00D02B77" w:rsidP="001C2F8A">
      <w:pPr>
        <w:spacing w:line="360" w:lineRule="auto"/>
        <w:ind w:left="360"/>
        <w:rPr>
          <w:rFonts w:ascii="Times New Roman" w:hAnsi="Times New Roman" w:cs="Times New Roman"/>
        </w:rPr>
      </w:pPr>
    </w:p>
    <w:p w14:paraId="254E3DF3" w14:textId="77777777" w:rsidR="0093505A" w:rsidRPr="00F96FBF" w:rsidRDefault="0093505A" w:rsidP="001C2F8A">
      <w:pPr>
        <w:spacing w:line="360" w:lineRule="auto"/>
        <w:ind w:left="360"/>
        <w:rPr>
          <w:rFonts w:ascii="Times New Roman" w:hAnsi="Times New Roman" w:cs="Times New Roman"/>
        </w:rPr>
      </w:pPr>
      <w:r w:rsidRPr="00F96FBF">
        <w:rPr>
          <w:rFonts w:ascii="Times New Roman" w:hAnsi="Times New Roman" w:cs="Times New Roman"/>
        </w:rPr>
        <w:t>For further details, please see</w:t>
      </w:r>
      <w:r w:rsidR="002479DA" w:rsidRPr="00F96FBF">
        <w:rPr>
          <w:rFonts w:ascii="Times New Roman" w:hAnsi="Times New Roman" w:cs="Times New Roman"/>
        </w:rPr>
        <w:t xml:space="preserve"> </w:t>
      </w:r>
      <w:r w:rsidR="004E5E62" w:rsidRPr="00F96FBF">
        <w:rPr>
          <w:rFonts w:ascii="Times New Roman" w:hAnsi="Times New Roman" w:cs="Times New Roman"/>
        </w:rPr>
        <w:t xml:space="preserve">the following workpapers: </w:t>
      </w:r>
      <w:r w:rsidR="00090267" w:rsidRPr="00F96FBF">
        <w:rPr>
          <w:rFonts w:ascii="Times New Roman" w:hAnsi="Times New Roman" w:cs="Times New Roman"/>
        </w:rPr>
        <w:t>“WP-Schedule 10-Summary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 xml:space="preserve">Incentive Projects”, </w:t>
      </w:r>
      <w:r w:rsidR="002479DA" w:rsidRPr="00F96FBF">
        <w:rPr>
          <w:rFonts w:ascii="Times New Roman" w:hAnsi="Times New Roman" w:cs="Times New Roman"/>
        </w:rPr>
        <w:t>“</w:t>
      </w:r>
      <w:r w:rsidRPr="00F96FBF">
        <w:rPr>
          <w:rFonts w:ascii="Times New Roman" w:hAnsi="Times New Roman" w:cs="Times New Roman"/>
        </w:rPr>
        <w:t>WP-Schedule 16</w:t>
      </w:r>
      <w:r w:rsidR="00090267" w:rsidRPr="00F96FBF">
        <w:rPr>
          <w:rFonts w:ascii="Times New Roman" w:hAnsi="Times New Roman" w:cs="Times New Roman"/>
        </w:rPr>
        <w:t>-Summary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Non-Incentive Projects</w:t>
      </w:r>
      <w:r w:rsidRPr="00F96FBF">
        <w:rPr>
          <w:rFonts w:ascii="Times New Roman" w:hAnsi="Times New Roman" w:cs="Times New Roman"/>
        </w:rPr>
        <w:t>”</w:t>
      </w:r>
      <w:r w:rsidR="00090267" w:rsidRPr="00F96FBF">
        <w:rPr>
          <w:rFonts w:ascii="Times New Roman" w:hAnsi="Times New Roman" w:cs="Times New Roman"/>
        </w:rPr>
        <w:t xml:space="preserve">, and “WP-Schedule </w:t>
      </w:r>
      <w:r w:rsidR="00CC43AE">
        <w:rPr>
          <w:rFonts w:ascii="Times New Roman" w:hAnsi="Times New Roman" w:cs="Times New Roman"/>
        </w:rPr>
        <w:t xml:space="preserve">10 &amp; </w:t>
      </w:r>
      <w:r w:rsidR="00090267" w:rsidRPr="00F96FBF">
        <w:rPr>
          <w:rFonts w:ascii="Times New Roman" w:hAnsi="Times New Roman" w:cs="Times New Roman"/>
        </w:rPr>
        <w:t>16.”</w:t>
      </w:r>
    </w:p>
    <w:sectPr w:rsidR="0093505A" w:rsidRPr="00F96FBF" w:rsidSect="00674ECE">
      <w:headerReference w:type="default" r:id="rId8"/>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07A36" w14:textId="77777777" w:rsidR="00263143" w:rsidRDefault="00263143" w:rsidP="00FB635B">
      <w:r>
        <w:separator/>
      </w:r>
    </w:p>
  </w:endnote>
  <w:endnote w:type="continuationSeparator" w:id="0">
    <w:p w14:paraId="6F3ECF23" w14:textId="77777777" w:rsidR="00263143" w:rsidRDefault="00263143"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1ABAB" w14:textId="77777777" w:rsidR="00263143" w:rsidRDefault="00263143" w:rsidP="00FB635B">
      <w:r>
        <w:separator/>
      </w:r>
    </w:p>
  </w:footnote>
  <w:footnote w:type="continuationSeparator" w:id="0">
    <w:p w14:paraId="76AA58F5" w14:textId="77777777" w:rsidR="00263143" w:rsidRDefault="00263143" w:rsidP="00FB635B">
      <w:r>
        <w:continuationSeparator/>
      </w:r>
    </w:p>
  </w:footnote>
  <w:footnote w:id="1">
    <w:p w14:paraId="2FABDD69" w14:textId="35FDB72E"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PINs </w:t>
      </w:r>
      <w:r w:rsidR="009B0443">
        <w:rPr>
          <w:rFonts w:ascii="Times New Roman" w:hAnsi="Times New Roman" w:cs="Times New Roman"/>
        </w:rPr>
        <w:t>3364</w:t>
      </w:r>
      <w:r w:rsidR="00C6195D">
        <w:rPr>
          <w:rFonts w:ascii="Times New Roman" w:hAnsi="Times New Roman" w:cs="Times New Roman"/>
        </w:rPr>
        <w:t xml:space="preserve">, </w:t>
      </w:r>
      <w:r w:rsidR="001A52E7">
        <w:rPr>
          <w:rFonts w:ascii="Times New Roman" w:hAnsi="Times New Roman" w:cs="Times New Roman"/>
        </w:rPr>
        <w:t>5210</w:t>
      </w:r>
      <w:r w:rsidR="00C6195D">
        <w:rPr>
          <w:rFonts w:ascii="Times New Roman" w:hAnsi="Times New Roman" w:cs="Times New Roman"/>
        </w:rPr>
        <w:t xml:space="preserve">, </w:t>
      </w:r>
      <w:r w:rsidR="001A52E7">
        <w:rPr>
          <w:rFonts w:ascii="Times New Roman" w:hAnsi="Times New Roman" w:cs="Times New Roman"/>
        </w:rPr>
        <w:t>6428</w:t>
      </w:r>
      <w:r w:rsidR="00C6195D">
        <w:rPr>
          <w:rFonts w:ascii="Times New Roman" w:hAnsi="Times New Roman" w:cs="Times New Roman"/>
        </w:rPr>
        <w:t>, 72</w:t>
      </w:r>
      <w:r w:rsidR="001A52E7">
        <w:rPr>
          <w:rFonts w:ascii="Times New Roman" w:hAnsi="Times New Roman" w:cs="Times New Roman"/>
        </w:rPr>
        <w:t>98</w:t>
      </w:r>
      <w:r w:rsidR="00C6195D">
        <w:rPr>
          <w:rFonts w:ascii="Times New Roman" w:hAnsi="Times New Roman" w:cs="Times New Roman"/>
        </w:rPr>
        <w:t xml:space="preserve">, </w:t>
      </w:r>
      <w:r w:rsidR="001A3C91">
        <w:rPr>
          <w:rFonts w:ascii="Times New Roman" w:hAnsi="Times New Roman" w:cs="Times New Roman"/>
        </w:rPr>
        <w:t xml:space="preserve">4343, </w:t>
      </w:r>
      <w:r w:rsidR="009B0443">
        <w:rPr>
          <w:rFonts w:ascii="Times New Roman" w:hAnsi="Times New Roman" w:cs="Times New Roman"/>
        </w:rPr>
        <w:t>4756, 4791, 6791, 7645, 7113, 7518, and 3138</w:t>
      </w:r>
      <w:r w:rsidRPr="00F041E2">
        <w:rPr>
          <w:rFonts w:ascii="Times New Roman" w:hAnsi="Times New Roman" w:cs="Times New Roman"/>
        </w:rPr>
        <w:t>; “WP-Schedule 10-Summary of ISO Capital Expenditure</w:t>
      </w:r>
      <w:r w:rsidR="00E25EEC">
        <w:rPr>
          <w:rFonts w:ascii="Times New Roman" w:hAnsi="Times New Roman" w:cs="Times New Roman"/>
        </w:rPr>
        <w:t>s</w:t>
      </w:r>
      <w:r w:rsidRPr="00F041E2">
        <w:rPr>
          <w:rFonts w:ascii="Times New Roman" w:hAnsi="Times New Roman" w:cs="Times New Roman"/>
        </w:rPr>
        <w:t xml:space="preserve"> – Incentive Projects” for TRTP</w:t>
      </w:r>
      <w:r w:rsidR="001A52E7">
        <w:rPr>
          <w:rFonts w:ascii="Times New Roman" w:hAnsi="Times New Roman" w:cs="Times New Roman"/>
        </w:rPr>
        <w:t xml:space="preserve"> Segments </w:t>
      </w:r>
      <w:r w:rsidR="009B0443">
        <w:rPr>
          <w:rFonts w:ascii="Times New Roman" w:hAnsi="Times New Roman" w:cs="Times New Roman"/>
        </w:rPr>
        <w:t>8A &amp;</w:t>
      </w:r>
      <w:r w:rsidR="001A52E7">
        <w:rPr>
          <w:rFonts w:ascii="Times New Roman" w:hAnsi="Times New Roman" w:cs="Times New Roman"/>
        </w:rPr>
        <w:t xml:space="preserve"> 11</w:t>
      </w:r>
      <w:r w:rsidR="009B0443">
        <w:rPr>
          <w:rFonts w:ascii="Times New Roman" w:hAnsi="Times New Roman" w:cs="Times New Roman"/>
        </w:rPr>
        <w:t xml:space="preserve"> and Whirlwind Substation Expansion</w:t>
      </w:r>
      <w:r w:rsidRPr="00F041E2">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00997" w14:textId="77777777"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w:t>
    </w:r>
    <w:r w:rsidR="00260302">
      <w:rPr>
        <w:rFonts w:ascii="Times New Roman" w:hAnsi="Times New Roman" w:cs="Times New Roman"/>
        <w:b/>
        <w:sz w:val="20"/>
      </w:rPr>
      <w:t>10</w:t>
    </w:r>
    <w:r w:rsidR="00556945">
      <w:rPr>
        <w:rFonts w:ascii="Times New Roman" w:hAnsi="Times New Roman" w:cs="Times New Roman"/>
        <w:b/>
        <w:sz w:val="20"/>
      </w:rPr>
      <w:t xml:space="preserve"> </w:t>
    </w:r>
    <w:r w:rsidR="00260302">
      <w:rPr>
        <w:rFonts w:ascii="Times New Roman" w:hAnsi="Times New Roman" w:cs="Times New Roman"/>
        <w:b/>
        <w:sz w:val="20"/>
      </w:rPr>
      <w:t xml:space="preserve">Draft </w:t>
    </w:r>
    <w:r w:rsidR="00556945">
      <w:rPr>
        <w:rFonts w:ascii="Times New Roman" w:hAnsi="Times New Roman" w:cs="Times New Roman"/>
        <w:b/>
        <w:sz w:val="20"/>
      </w:rPr>
      <w:t>Annual Update</w:t>
    </w:r>
  </w:p>
  <w:p w14:paraId="016CBCC7"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14:paraId="4392C661" w14:textId="77777777"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14:paraId="70D157E5"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14:paraId="2A25DDA2" w14:textId="77777777"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E53827">
      <w:rPr>
        <w:rFonts w:ascii="Times New Roman" w:hAnsi="Times New Roman" w:cs="Times New Roman"/>
        <w:b/>
        <w:noProof/>
        <w:sz w:val="20"/>
      </w:rPr>
      <w:t>2</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E53827">
      <w:rPr>
        <w:rFonts w:ascii="Times New Roman" w:hAnsi="Times New Roman" w:cs="Times New Roman"/>
        <w:b/>
        <w:noProof/>
        <w:sz w:val="20"/>
      </w:rPr>
      <w:t>8</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1292D"/>
    <w:multiLevelType w:val="hybridMultilevel"/>
    <w:tmpl w:val="D488E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F74DE1"/>
    <w:multiLevelType w:val="hybridMultilevel"/>
    <w:tmpl w:val="D8F824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6">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560C4C"/>
    <w:multiLevelType w:val="hybridMultilevel"/>
    <w:tmpl w:val="85626A86"/>
    <w:lvl w:ilvl="0" w:tplc="8B887FA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7"/>
  </w:num>
  <w:num w:numId="3">
    <w:abstractNumId w:val="4"/>
  </w:num>
  <w:num w:numId="4">
    <w:abstractNumId w:val="5"/>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152"/>
    <w:rsid w:val="0001316C"/>
    <w:rsid w:val="000133A6"/>
    <w:rsid w:val="00024311"/>
    <w:rsid w:val="00033E12"/>
    <w:rsid w:val="000509ED"/>
    <w:rsid w:val="00063099"/>
    <w:rsid w:val="00063872"/>
    <w:rsid w:val="00066B42"/>
    <w:rsid w:val="000707B3"/>
    <w:rsid w:val="00072A96"/>
    <w:rsid w:val="00075AB5"/>
    <w:rsid w:val="00090267"/>
    <w:rsid w:val="000945E3"/>
    <w:rsid w:val="000A1BFE"/>
    <w:rsid w:val="000B16C0"/>
    <w:rsid w:val="000C1A09"/>
    <w:rsid w:val="000C6CC5"/>
    <w:rsid w:val="000D0CCB"/>
    <w:rsid w:val="000D376C"/>
    <w:rsid w:val="000F27CE"/>
    <w:rsid w:val="001002BF"/>
    <w:rsid w:val="00110E42"/>
    <w:rsid w:val="001229C1"/>
    <w:rsid w:val="00132182"/>
    <w:rsid w:val="0015500C"/>
    <w:rsid w:val="001641EE"/>
    <w:rsid w:val="00165217"/>
    <w:rsid w:val="001655CA"/>
    <w:rsid w:val="00175965"/>
    <w:rsid w:val="001852A9"/>
    <w:rsid w:val="00185BD9"/>
    <w:rsid w:val="0018638E"/>
    <w:rsid w:val="001A3C91"/>
    <w:rsid w:val="001A52E7"/>
    <w:rsid w:val="001A5D53"/>
    <w:rsid w:val="001A5F7E"/>
    <w:rsid w:val="001A6435"/>
    <w:rsid w:val="001B0B3F"/>
    <w:rsid w:val="001B5994"/>
    <w:rsid w:val="001B65F4"/>
    <w:rsid w:val="001C2F8A"/>
    <w:rsid w:val="001D0750"/>
    <w:rsid w:val="001E5D0F"/>
    <w:rsid w:val="001F10CA"/>
    <w:rsid w:val="00203C48"/>
    <w:rsid w:val="00205C10"/>
    <w:rsid w:val="002110B7"/>
    <w:rsid w:val="00212DAE"/>
    <w:rsid w:val="00227505"/>
    <w:rsid w:val="0023002A"/>
    <w:rsid w:val="00232CED"/>
    <w:rsid w:val="0023374C"/>
    <w:rsid w:val="002479DA"/>
    <w:rsid w:val="00250FCF"/>
    <w:rsid w:val="00251EAD"/>
    <w:rsid w:val="00251F03"/>
    <w:rsid w:val="0025657E"/>
    <w:rsid w:val="002576FA"/>
    <w:rsid w:val="00260302"/>
    <w:rsid w:val="00263143"/>
    <w:rsid w:val="00272B48"/>
    <w:rsid w:val="00281A9D"/>
    <w:rsid w:val="00283168"/>
    <w:rsid w:val="0029727D"/>
    <w:rsid w:val="002D492B"/>
    <w:rsid w:val="002E75B2"/>
    <w:rsid w:val="002F0602"/>
    <w:rsid w:val="00300F51"/>
    <w:rsid w:val="00305C7E"/>
    <w:rsid w:val="00312604"/>
    <w:rsid w:val="0031264C"/>
    <w:rsid w:val="003155A2"/>
    <w:rsid w:val="003167FA"/>
    <w:rsid w:val="00331A86"/>
    <w:rsid w:val="00334950"/>
    <w:rsid w:val="00334CBE"/>
    <w:rsid w:val="00362F13"/>
    <w:rsid w:val="00363A8B"/>
    <w:rsid w:val="0039080B"/>
    <w:rsid w:val="00395A03"/>
    <w:rsid w:val="003B10DF"/>
    <w:rsid w:val="003B6306"/>
    <w:rsid w:val="003B7DB7"/>
    <w:rsid w:val="003D7BEC"/>
    <w:rsid w:val="003E7BA5"/>
    <w:rsid w:val="00400009"/>
    <w:rsid w:val="00404623"/>
    <w:rsid w:val="00427725"/>
    <w:rsid w:val="00452165"/>
    <w:rsid w:val="00467678"/>
    <w:rsid w:val="0049747B"/>
    <w:rsid w:val="004A0FDF"/>
    <w:rsid w:val="004B4377"/>
    <w:rsid w:val="004B52EF"/>
    <w:rsid w:val="004B6D7C"/>
    <w:rsid w:val="004C0048"/>
    <w:rsid w:val="004D2165"/>
    <w:rsid w:val="004D49B3"/>
    <w:rsid w:val="004D4E5C"/>
    <w:rsid w:val="004E5E62"/>
    <w:rsid w:val="004F1AEA"/>
    <w:rsid w:val="00500E75"/>
    <w:rsid w:val="00502033"/>
    <w:rsid w:val="00502FE5"/>
    <w:rsid w:val="005056D5"/>
    <w:rsid w:val="00506E70"/>
    <w:rsid w:val="0051327E"/>
    <w:rsid w:val="0052476C"/>
    <w:rsid w:val="00530620"/>
    <w:rsid w:val="00556945"/>
    <w:rsid w:val="005571FC"/>
    <w:rsid w:val="005578AD"/>
    <w:rsid w:val="00575750"/>
    <w:rsid w:val="00585833"/>
    <w:rsid w:val="005916E0"/>
    <w:rsid w:val="005A3289"/>
    <w:rsid w:val="005A7558"/>
    <w:rsid w:val="005B2E9F"/>
    <w:rsid w:val="005B561C"/>
    <w:rsid w:val="005C1152"/>
    <w:rsid w:val="005C3787"/>
    <w:rsid w:val="00601D3A"/>
    <w:rsid w:val="00610C7F"/>
    <w:rsid w:val="00611F58"/>
    <w:rsid w:val="00613C92"/>
    <w:rsid w:val="00617C8B"/>
    <w:rsid w:val="00621BA7"/>
    <w:rsid w:val="00632BFF"/>
    <w:rsid w:val="0063695F"/>
    <w:rsid w:val="006379FB"/>
    <w:rsid w:val="00642BE4"/>
    <w:rsid w:val="006453C1"/>
    <w:rsid w:val="006506A1"/>
    <w:rsid w:val="00654561"/>
    <w:rsid w:val="00656E8D"/>
    <w:rsid w:val="00661963"/>
    <w:rsid w:val="00667BDC"/>
    <w:rsid w:val="00674ECE"/>
    <w:rsid w:val="00677037"/>
    <w:rsid w:val="00677B05"/>
    <w:rsid w:val="006855D4"/>
    <w:rsid w:val="006A633B"/>
    <w:rsid w:val="006B76D2"/>
    <w:rsid w:val="006C1C9C"/>
    <w:rsid w:val="006D3058"/>
    <w:rsid w:val="006E7DB9"/>
    <w:rsid w:val="00714AF1"/>
    <w:rsid w:val="0071779D"/>
    <w:rsid w:val="00725B8D"/>
    <w:rsid w:val="00761BE4"/>
    <w:rsid w:val="00773EF9"/>
    <w:rsid w:val="007753E6"/>
    <w:rsid w:val="0078295A"/>
    <w:rsid w:val="007829FD"/>
    <w:rsid w:val="0078380E"/>
    <w:rsid w:val="0079185B"/>
    <w:rsid w:val="00791979"/>
    <w:rsid w:val="00797A1D"/>
    <w:rsid w:val="007A2C78"/>
    <w:rsid w:val="007A51E5"/>
    <w:rsid w:val="007A547E"/>
    <w:rsid w:val="007B13C4"/>
    <w:rsid w:val="007B78D9"/>
    <w:rsid w:val="007D2299"/>
    <w:rsid w:val="007D2EF4"/>
    <w:rsid w:val="007E1EFE"/>
    <w:rsid w:val="007F1491"/>
    <w:rsid w:val="00806078"/>
    <w:rsid w:val="00831717"/>
    <w:rsid w:val="00842051"/>
    <w:rsid w:val="00850E87"/>
    <w:rsid w:val="00852B51"/>
    <w:rsid w:val="00862ECA"/>
    <w:rsid w:val="00865524"/>
    <w:rsid w:val="00876472"/>
    <w:rsid w:val="008822A9"/>
    <w:rsid w:val="00882735"/>
    <w:rsid w:val="00883DDA"/>
    <w:rsid w:val="008A1730"/>
    <w:rsid w:val="008A478D"/>
    <w:rsid w:val="008B2014"/>
    <w:rsid w:val="008B42BC"/>
    <w:rsid w:val="008B5FA0"/>
    <w:rsid w:val="008B7439"/>
    <w:rsid w:val="008C1DEE"/>
    <w:rsid w:val="008D0D42"/>
    <w:rsid w:val="008F56BD"/>
    <w:rsid w:val="00900BCE"/>
    <w:rsid w:val="00906579"/>
    <w:rsid w:val="0091587C"/>
    <w:rsid w:val="00925E44"/>
    <w:rsid w:val="009309C0"/>
    <w:rsid w:val="0093505A"/>
    <w:rsid w:val="00945575"/>
    <w:rsid w:val="009529D8"/>
    <w:rsid w:val="00957768"/>
    <w:rsid w:val="00967F5F"/>
    <w:rsid w:val="00976850"/>
    <w:rsid w:val="00986A03"/>
    <w:rsid w:val="00986A2F"/>
    <w:rsid w:val="009958F4"/>
    <w:rsid w:val="00997466"/>
    <w:rsid w:val="009A49BD"/>
    <w:rsid w:val="009B0443"/>
    <w:rsid w:val="009B51E8"/>
    <w:rsid w:val="009C0D89"/>
    <w:rsid w:val="009C41DC"/>
    <w:rsid w:val="009C5FD1"/>
    <w:rsid w:val="009D5395"/>
    <w:rsid w:val="009E29AB"/>
    <w:rsid w:val="00A07564"/>
    <w:rsid w:val="00A10928"/>
    <w:rsid w:val="00A12248"/>
    <w:rsid w:val="00A12263"/>
    <w:rsid w:val="00A14772"/>
    <w:rsid w:val="00A14F06"/>
    <w:rsid w:val="00A24DC8"/>
    <w:rsid w:val="00A517B5"/>
    <w:rsid w:val="00A62070"/>
    <w:rsid w:val="00A66813"/>
    <w:rsid w:val="00A675B5"/>
    <w:rsid w:val="00A701CB"/>
    <w:rsid w:val="00A74BCD"/>
    <w:rsid w:val="00A85A62"/>
    <w:rsid w:val="00A917A6"/>
    <w:rsid w:val="00AB7963"/>
    <w:rsid w:val="00AC5BF5"/>
    <w:rsid w:val="00AD38E7"/>
    <w:rsid w:val="00AE149C"/>
    <w:rsid w:val="00AF739B"/>
    <w:rsid w:val="00B009CC"/>
    <w:rsid w:val="00B30EE5"/>
    <w:rsid w:val="00B33D38"/>
    <w:rsid w:val="00B41C69"/>
    <w:rsid w:val="00B514FC"/>
    <w:rsid w:val="00B541B9"/>
    <w:rsid w:val="00B73391"/>
    <w:rsid w:val="00B74F74"/>
    <w:rsid w:val="00B95E29"/>
    <w:rsid w:val="00BB6827"/>
    <w:rsid w:val="00BC78DA"/>
    <w:rsid w:val="00BD61F8"/>
    <w:rsid w:val="00BD7300"/>
    <w:rsid w:val="00BE0303"/>
    <w:rsid w:val="00BE3963"/>
    <w:rsid w:val="00BE6D58"/>
    <w:rsid w:val="00BF011A"/>
    <w:rsid w:val="00BF36DE"/>
    <w:rsid w:val="00C000FD"/>
    <w:rsid w:val="00C05CC5"/>
    <w:rsid w:val="00C43AB7"/>
    <w:rsid w:val="00C4500E"/>
    <w:rsid w:val="00C5446B"/>
    <w:rsid w:val="00C6195D"/>
    <w:rsid w:val="00C665B6"/>
    <w:rsid w:val="00C70585"/>
    <w:rsid w:val="00C70D41"/>
    <w:rsid w:val="00C80C0B"/>
    <w:rsid w:val="00C820A4"/>
    <w:rsid w:val="00C925B8"/>
    <w:rsid w:val="00C92D90"/>
    <w:rsid w:val="00CA7560"/>
    <w:rsid w:val="00CC43AE"/>
    <w:rsid w:val="00CD3EDC"/>
    <w:rsid w:val="00CD5797"/>
    <w:rsid w:val="00CE55D7"/>
    <w:rsid w:val="00CF5731"/>
    <w:rsid w:val="00CF5E13"/>
    <w:rsid w:val="00D02B77"/>
    <w:rsid w:val="00D038FA"/>
    <w:rsid w:val="00D070D6"/>
    <w:rsid w:val="00D2445F"/>
    <w:rsid w:val="00D26484"/>
    <w:rsid w:val="00D31C54"/>
    <w:rsid w:val="00D32E83"/>
    <w:rsid w:val="00D35E44"/>
    <w:rsid w:val="00D469B9"/>
    <w:rsid w:val="00D66D20"/>
    <w:rsid w:val="00D86013"/>
    <w:rsid w:val="00D91E43"/>
    <w:rsid w:val="00D934DA"/>
    <w:rsid w:val="00D95B20"/>
    <w:rsid w:val="00DB2D2B"/>
    <w:rsid w:val="00DD11C7"/>
    <w:rsid w:val="00DD5D5F"/>
    <w:rsid w:val="00DE6AB5"/>
    <w:rsid w:val="00E00368"/>
    <w:rsid w:val="00E100BA"/>
    <w:rsid w:val="00E13227"/>
    <w:rsid w:val="00E25EEC"/>
    <w:rsid w:val="00E300E8"/>
    <w:rsid w:val="00E30CC0"/>
    <w:rsid w:val="00E32FCF"/>
    <w:rsid w:val="00E4330B"/>
    <w:rsid w:val="00E4721E"/>
    <w:rsid w:val="00E53827"/>
    <w:rsid w:val="00E700BB"/>
    <w:rsid w:val="00E70F66"/>
    <w:rsid w:val="00E7578B"/>
    <w:rsid w:val="00E76144"/>
    <w:rsid w:val="00E857F6"/>
    <w:rsid w:val="00E9369D"/>
    <w:rsid w:val="00EB4451"/>
    <w:rsid w:val="00EC24F3"/>
    <w:rsid w:val="00ED7AFE"/>
    <w:rsid w:val="00EE4368"/>
    <w:rsid w:val="00EE6A88"/>
    <w:rsid w:val="00EE73FF"/>
    <w:rsid w:val="00EF3B19"/>
    <w:rsid w:val="00F02B94"/>
    <w:rsid w:val="00F041C1"/>
    <w:rsid w:val="00F041E2"/>
    <w:rsid w:val="00F14404"/>
    <w:rsid w:val="00F16BFE"/>
    <w:rsid w:val="00F209A8"/>
    <w:rsid w:val="00F2305F"/>
    <w:rsid w:val="00F242A5"/>
    <w:rsid w:val="00F27725"/>
    <w:rsid w:val="00F37E85"/>
    <w:rsid w:val="00F4320E"/>
    <w:rsid w:val="00F51BEA"/>
    <w:rsid w:val="00F6409F"/>
    <w:rsid w:val="00F64CB0"/>
    <w:rsid w:val="00F6509E"/>
    <w:rsid w:val="00F72EF7"/>
    <w:rsid w:val="00F75079"/>
    <w:rsid w:val="00F75B8C"/>
    <w:rsid w:val="00F96A36"/>
    <w:rsid w:val="00F96FBF"/>
    <w:rsid w:val="00FA4A8C"/>
    <w:rsid w:val="00FB52E7"/>
    <w:rsid w:val="00FB5736"/>
    <w:rsid w:val="00FB635B"/>
    <w:rsid w:val="00FB72D4"/>
    <w:rsid w:val="00FC3F60"/>
    <w:rsid w:val="00FC7A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89812BD"/>
  <w15:docId w15:val="{84BDC9B7-1D16-46E4-A2EF-0F5A38B4E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C70585"/>
    <w:rPr>
      <w:sz w:val="16"/>
      <w:szCs w:val="16"/>
    </w:rPr>
  </w:style>
  <w:style w:type="paragraph" w:styleId="CommentText">
    <w:name w:val="annotation text"/>
    <w:basedOn w:val="Normal"/>
    <w:link w:val="CommentTextChar"/>
    <w:uiPriority w:val="99"/>
    <w:semiHidden/>
    <w:unhideWhenUsed/>
    <w:rsid w:val="00C70585"/>
    <w:rPr>
      <w:sz w:val="20"/>
      <w:szCs w:val="20"/>
    </w:rPr>
  </w:style>
  <w:style w:type="character" w:customStyle="1" w:styleId="CommentTextChar">
    <w:name w:val="Comment Text Char"/>
    <w:basedOn w:val="DefaultParagraphFont"/>
    <w:link w:val="CommentText"/>
    <w:uiPriority w:val="99"/>
    <w:semiHidden/>
    <w:rsid w:val="00C70585"/>
    <w:rPr>
      <w:sz w:val="20"/>
      <w:szCs w:val="20"/>
    </w:rPr>
  </w:style>
  <w:style w:type="paragraph" w:styleId="CommentSubject">
    <w:name w:val="annotation subject"/>
    <w:basedOn w:val="CommentText"/>
    <w:next w:val="CommentText"/>
    <w:link w:val="CommentSubjectChar"/>
    <w:uiPriority w:val="99"/>
    <w:semiHidden/>
    <w:unhideWhenUsed/>
    <w:rsid w:val="00C70585"/>
    <w:rPr>
      <w:b/>
      <w:bCs/>
    </w:rPr>
  </w:style>
  <w:style w:type="character" w:customStyle="1" w:styleId="CommentSubjectChar">
    <w:name w:val="Comment Subject Char"/>
    <w:basedOn w:val="CommentTextChar"/>
    <w:link w:val="CommentSubject"/>
    <w:uiPriority w:val="99"/>
    <w:semiHidden/>
    <w:rsid w:val="00C70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CAB85-5621-4AF1-A355-20C6082A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2841</Words>
  <Characters>16198</Characters>
  <Application>Microsoft Office Word</Application>
  <DocSecurity>4</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Ocegueda</dc:creator>
  <cp:lastModifiedBy>Antonio Ocegueda</cp:lastModifiedBy>
  <cp:revision>2</cp:revision>
  <cp:lastPrinted>2015-05-20T15:17:00Z</cp:lastPrinted>
  <dcterms:created xsi:type="dcterms:W3CDTF">2015-06-02T16:58:00Z</dcterms:created>
  <dcterms:modified xsi:type="dcterms:W3CDTF">2015-06-02T16:58:00Z</dcterms:modified>
</cp:coreProperties>
</file>